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have aimed to provide broad discussions on the use of such methods. However, given the virtually unlimited variety of quantitative approaches potentially relevant to historians of economics—and the wide array of research questions they can address—these reflections often remain abstract and offer little practical guidance. As a result, they tend to provide useful broad overviews, but without clearly articulating what quantification entails in practice, and how it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 </w:t>
      </w:r>
    </w:p>
    <w:p w:rsidR="00000000" w:rsidDel="00000000" w:rsidP="00000000" w:rsidRDefault="00000000" w:rsidRPr="00000000" w14:paraId="00000004">
      <w:pPr>
        <w:rPr/>
      </w:pPr>
      <w:r w:rsidDel="00000000" w:rsidR="00000000" w:rsidRPr="00000000">
        <w:rPr>
          <w:rtl w:val="0"/>
        </w:rPr>
        <w:t xml:space="preserve">We focus our discussion on unsupervised methods that have been particularly influential in the history of economics. Unsupervised methods are machine-learning techniques in which algorithms identify patterns from unlabelled data, as opposed to supervised learning methods—such as regressions—that learn patterns from labelled data to make inferences. The goal of unsupervised methods is not necessarily to provide a “measure” [@grimmerText2022]—though they can be adapted to do so—but to organise in categories large corpora and enable accelerated and “distant reading” [@morettiDistant2013; @guldiDangerous2023]. They are well suited to historical inquiry because their unsupervised nature reduces the risk of presentism: rather than imposing present-day categories on the past, unsupervised algorithms uncover patterns directly from the data. When time is explicitly incorporated, they allow researchers to map the discipline at different points of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uses two types of data, texts and citations. The analysis of textual corpora offers a direct window into the semantic content of debates, while citation data provides a lens through which to view intellectual interconnections and channels of influence within the discipline. We show how a large corpus of documents can be classified based on the information contained in textual and citation data—what we call “semantic clusters” and “bibliometric communities.”</w:t>
      </w:r>
      <w:r w:rsidDel="00000000" w:rsidR="00000000" w:rsidRPr="00000000">
        <w:rPr>
          <w:vertAlign w:val="superscript"/>
        </w:rPr>
        <w:footnoteReference w:customMarkFollows="0" w:id="0"/>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a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around 290 000 articles in economics extending back to 1900 to show how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 </w:t>
      </w:r>
      <w:commentRangeStart w:id="0"/>
      <w:r w:rsidDel="00000000" w:rsidR="00000000" w:rsidRPr="00000000">
        <w:rPr>
          <w:rtl w:val="0"/>
        </w:rPr>
        <w:t xml:space="preserve">The analysis of the results relies on the use of an interactive application that we have built for this article.</w:t>
      </w:r>
      <w:commentRangeEnd w:id="0"/>
      <w:r w:rsidDel="00000000" w:rsidR="00000000" w:rsidRPr="00000000">
        <w:commentReference w:id="0"/>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 {#sec-sources_data}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analysis and interpretation come last. Most effort goes into collecting, cleaning, and structuring data, much of which remains invisible in published work. Sources rarely arrive as ready-to-use datasets; they must be transformed from somewhat raw materials into usable corpora. In short, the quantitative historian must be as much a data wrangler as a data analyst.</w:t>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output—such as authors, journals and affiliations, </w:t>
      </w:r>
      <w:r w:rsidDel="00000000" w:rsidR="00000000" w:rsidRPr="00000000">
        <w:rPr>
          <w:i w:val="1"/>
          <w:iCs w:val="1"/>
          <w:rtl w:val="0"/>
        </w:rPr>
        <w:t xml:space="preserve">etc</w:t>
      </w:r>
      <w:r w:rsidDel="00000000" w:rsidR="00000000" w:rsidRPr="00000000">
        <w:rPr>
          <w:rtl w:val="0"/>
        </w:rPr>
        <w:t xml:space="preserve">. Some of these databases, such as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diffusion patterns, and mapping scholarly contributions over time. </w:t>
      </w:r>
    </w:p>
    <w:p w:rsidR="00000000" w:rsidDel="00000000" w:rsidP="00000000" w:rsidRDefault="00000000" w:rsidRPr="00000000" w14:paraId="0000000D">
      <w:pPr>
        <w:rPr/>
      </w:pPr>
      <w:r w:rsidDel="00000000" w:rsidR="00000000" w:rsidRPr="00000000">
        <w:rPr>
          <w:rtl w:val="0"/>
        </w:rPr>
        <w:t xml:space="preserve">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5 economics journals before the 1990s and while being openaccess, OpenAlex has been less curated than the products of private publishers. Whatever the provider, less successful or now-defunct journals are also more likely to have incomplete or discontinuous digital coverage, impeding their inclusion for historical analyses. Additionally, databases are oriented toward English-speaking contributions; these databases may thus be deficient for a research project targeting another or multiple languages.</w:t>
      </w:r>
      <w:r w:rsidDel="00000000" w:rsidR="00000000" w:rsidRPr="00000000">
        <w:rPr>
          <w:vertAlign w:val="superscript"/>
        </w:rPr>
        <w:footnoteReference w:customMarkFollows="0" w:id="3"/>
      </w:r>
      <w:r w:rsidDel="00000000" w:rsidR="00000000" w:rsidRPr="00000000">
        <w:rPr>
          <w:rtl w:val="0"/>
        </w:rPr>
        <w:t xml:space="preserve"> More generally, citation practices have only standardised progressively in the postwar period. Consequently, citation data are most of the time relatively poor before the 1960s. Last but not least, although they provide useful metadata and citation information, these databases generally lack full text, which is subject to copyright and therefore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amount and quality of information that can be reliably encoded remain limited. </w:t>
      </w:r>
      <w:r w:rsidDel="00000000" w:rsidR="00000000" w:rsidRPr="00000000">
        <w:rPr>
          <w:rtl w:val="0"/>
        </w:rPr>
        <w:t xml:space="preserve">Citation data are notoriously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 such as tables, are often poorly captured or inconsistently encoded by providers.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A first important point is, therefore, that data availability shapes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available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In practice,  research may be shaped as much by the scarcity of</w:t>
      </w:r>
      <w:r w:rsidDel="00000000" w:rsidR="00000000" w:rsidRPr="00000000">
        <w:rPr>
          <w:rtl w:val="0"/>
        </w:rPr>
        <w:t xml:space="preserve"> our data as by researchers’ own preferences. </w:t>
      </w:r>
      <w:r w:rsidDel="00000000" w:rsidR="00000000" w:rsidRPr="00000000">
        <w:rPr>
          <w:rtl w:val="0"/>
        </w:rPr>
        <w:t xml:space="preserve">It is of course possible to build handmade datasets from scratch, but, in the case of textual and citation data,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[@goutsmedtIndependent2023]—few thousands documents—required to combine three heterogenous databases: Econlit (for JEL codes classification) Web of Science, and Scopus (due to imperfect coverage of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(WoS) provides the most reliable and consistent coverage for our period and has been widely used in the history of economics.</w:t>
      </w:r>
      <w:r w:rsidDel="00000000" w:rsidR="00000000" w:rsidRPr="00000000">
        <w:rPr>
          <w:rtl w:val="0"/>
        </w:rPr>
        <w:t xml:space="preserve"> As for full text, we relied on three providers. First, JSTOR’s full-text collection offers high-quality scans of most leading economics journals [@jstorText2025]. </w:t>
      </w:r>
      <w:r w:rsidDel="00000000" w:rsidR="00000000" w:rsidRPr="00000000">
        <w:rPr>
          <w:rtl w:val="0"/>
        </w:rPr>
        <w:t xml:space="preserve">Second, we used Scopus to identify peer-reviewed economics journals not included in JSTOR and to compile a complementary list of articles; for these, we retrieved full texts first through the Elsevier Full-Text API, when available. Third, remaining full texts were obtained through the ISTEX project [@istexInfrastructure2025], which provides access to a substantial corpus of documents for researchers affiliated with French universities.</w:t>
      </w:r>
      <w:r w:rsidDel="00000000" w:rsidR="00000000" w:rsidRPr="00000000">
        <w:rPr>
          <w:vertAlign w:val="superscript"/>
        </w:rPr>
        <w:footnoteReference w:customMarkFollows="0" w:id="4"/>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corpus. It can be already noted that our corpus disproportionately represents Anglo-Saxon journals, which are also those most systematically digitized and preserved. Not only do we tend to overlook other traditions of research, but this also raises a serious issue of presentism: the fact that retrospective data on these journals are easily accessible today does not imply that they were equally central in earlier ones, nor that articles were the dominant vehicle for the diffusion of ideas. </w:t>
      </w:r>
      <w:r w:rsidDel="00000000" w:rsidR="00000000" w:rsidRPr="00000000">
        <w:rPr>
          <w:rtl w:val="0"/>
        </w:rPr>
        <w:t xml:space="preserve">Rather, it reflects the fact that they had the resources and opportunities to digitize and maintain comprehensive digital archives of their publications. </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This challenge is particularly true in the history of economics, where the primary sources are the texts themselves—often unstructured and interspersed with various layers of textual content, such as section headings, footnotes, bibliographic references, or editorial annotations</w:t>
      </w:r>
      <w:r w:rsidDel="00000000" w:rsidR="00000000" w:rsidRPr="00000000">
        <w:rPr>
          <w:rtl w:val="0"/>
        </w:rPr>
        <w:t xml:space="preserve">. This requires making important choices well before the actual stage of analysis.</w:t>
      </w:r>
    </w:p>
    <w:p w:rsidR="00000000" w:rsidDel="00000000" w:rsidP="00000000" w:rsidRDefault="00000000" w:rsidRPr="00000000" w14:paraId="00000013">
      <w:pPr>
        <w:rPr>
          <w:b w:val="1"/>
          <w:bCs w:val="1"/>
          <w:shd w:fill="f1c232" w:val="clear"/>
        </w:rPr>
      </w:pPr>
      <w:r w:rsidDel="00000000" w:rsidR="00000000" w:rsidRPr="00000000">
        <w:rPr>
          <w:rtl w:val="0"/>
        </w:rPr>
        <w:t xml:space="preserve">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5"/>
      </w:r>
      <w:r w:rsidDel="00000000" w:rsidR="00000000" w:rsidRPr="00000000">
        <w:rPr>
          <w:rtl w:val="0"/>
        </w:rPr>
        <w:t xml:space="preserve"> We also restrain our analysis to research articles and filter out book reviews, comments, editorial reports or obituaries.</w:t>
      </w:r>
      <w:r w:rsidDel="00000000" w:rsidR="00000000" w:rsidRPr="00000000">
        <w:rPr>
          <w:vertAlign w:val="superscript"/>
        </w:rPr>
        <w:footnoteReference w:customMarkFollows="0" w:id="6"/>
      </w:r>
      <w:r w:rsidDel="00000000" w:rsidR="00000000" w:rsidRPr="00000000">
        <w:rPr>
          <w:rtl w:val="0"/>
        </w:rPr>
        <w:t xml:space="preserve">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This data wrangling is not a tedious prelude to “real” historical analysis.</w:t>
      </w:r>
      <w:r w:rsidDel="00000000" w:rsidR="00000000" w:rsidRPr="00000000">
        <w:rPr>
          <w:rtl w:val="0"/>
        </w:rPr>
        <w:t xml:space="preserve">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 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required to engage with some of the material available. </w:t>
      </w:r>
    </w:p>
    <w:p w:rsidR="00000000" w:rsidDel="00000000" w:rsidP="00000000" w:rsidRDefault="00000000" w:rsidRPr="00000000" w14:paraId="00000015">
      <w:pPr>
        <w:rPr/>
      </w:pPr>
      <w:r w:rsidDel="00000000" w:rsidR="00000000" w:rsidRPr="00000000">
        <w:rPr>
          <w:rtl w:val="0"/>
        </w:rPr>
        <w:t xml:space="preserve">To give an illustration, it is only after a first batch of exploratory analysis that we notice that some important economics journals were missing in JSTOR. If it was obvious from preliminary results that the emergence of behavioral economics impacted how economists discussed rationality, from our own expertise on the matter, we observed that some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in places where they should be predominant.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to already engage with your material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WoS—like many databases—does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In our case, approximately one-quarter of the full-text documents after 1945 could not be matched to WoS records, which prevents us from analyzing their citation data.</w:t>
      </w:r>
      <w:r w:rsidDel="00000000" w:rsidR="00000000" w:rsidRPr="00000000">
        <w:rPr>
          <w:vertAlign w:val="superscript"/>
        </w:rPr>
        <w:footnoteReference w:customMarkFollows="0" w:id="7"/>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a process that involves selecting materials either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this required us first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define the extent of our corpus a priori, i.e. to delineate economics as an object of study. Some research objects are relatively easier to delineate, and the transition from a database to a well-defined corpus is therefore straightforward. For example, writing the history of a particular journal [@edwardsFifty2020; @charlesRevue2025] or of one or several individuals [@trucDisciplinary2025; @delceyDissemination2025] entails comparatively definitional or boundary challenges. While some large-scale studies focus on the discipline as a whole [@claveauMacrodynamics2016; @trucInterdisciplinarityEconomics2023; @ambrosinoWhat2018], such work still requires an operational definition of what are documents in “economics.” This definitional issue becomes even more pronounced when the object of study is a specific “field” (Cherrier, this issue) </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methods tend to address large objects by focusing on their “core” rather than their boundaries:</w:t>
      </w:r>
      <w:r w:rsidDel="00000000" w:rsidR="00000000" w:rsidRPr="00000000">
        <w:rPr>
          <w:rtl w:val="0"/>
        </w:rPr>
        <w:t xml:space="preserve"> historians of economics typically reconstruct the history of materials that are unambiguously part of the object under study, thus making a narrow definition often unnecessary</w:t>
      </w:r>
      <w:r w:rsidDel="00000000" w:rsidR="00000000" w:rsidRPr="00000000">
        <w:rPr>
          <w:rtl w:val="0"/>
        </w:rPr>
        <w:t xml:space="preserve">. Quantitative approaches, however, require a well-defined corpus and consequently oblige researchers to impose simple, clear-cut boundaries on complex and ambivalent categories such as “economics”. Defining the relevant historical materials therefore requires the adoption of specific conventions to approximate the object under study [@desrosieresPolitics2011]. Defining a corpus constitutes a quantification convention—one that must always be assessed instrumentally, not as an absolute definition but as an operational hypothesis serving a specific research question. </w:t>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For instance, [@goutsmedtIndependent2023] used the JEL codes to select macroeconomic documents in a corpus of well-established economics journals,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 To choose a particular proxy, it is important to understand how it relates to the object under study. Both JEL codes and journal classifications—like JSTOR or Scopus classifications—can structure a corpus in ways that reflect their own histories, and researchers must therefore consider how these proxies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first define economic documents by building the corpus from peer-review journals. This convention has both advantages and limitations. </w:t>
      </w:r>
      <w:r w:rsidDel="00000000" w:rsidR="00000000" w:rsidRPr="00000000">
        <w:rPr>
          <w:rtl w:val="0"/>
        </w:rPr>
        <w:t xml:space="preserve">On the one hand, this approach is unambiguous, as it relies on agreeing upon a predefined list of journals, rather than, for instance, determining at the document level which individual articles qualify as economics. Moreover, journals constitute one of the main legitimate institutional markers of a discipline, alongside training programs and professional associations. On the other hand, focusing on journals means excluding other publication outlets, such as books or working pa</w:t>
      </w:r>
      <w:r w:rsidDel="00000000" w:rsidR="00000000" w:rsidRPr="00000000">
        <w:rPr>
          <w:rtl w:val="0"/>
        </w:rPr>
        <w:t xml:space="preserve">pers.</w:t>
      </w:r>
      <w:r w:rsidDel="00000000" w:rsidR="00000000" w:rsidRPr="00000000">
        <w:rPr>
          <w:vertAlign w:val="superscript"/>
        </w:rPr>
        <w:footnoteReference w:customMarkFollows="0" w:id="8"/>
      </w:r>
      <w:r w:rsidDel="00000000" w:rsidR="00000000" w:rsidRPr="00000000">
        <w:rPr>
          <w:rtl w:val="0"/>
        </w:rPr>
        <w:t xml:space="preserve"> In addition, it struggles to capture interdisciplinarity, whether in the form of interdisciplinary journals or of economists publishing in other disciplinary journals. Finally, this strategy requires the use of arbitrary criteria to decide which journals to include and which to exclude—particularly for journals at the margins of “economics”, either because of their interdisciplinary orientation or because of uncertainty regarding their peer-review standards or academic practices.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9"/>
      </w:r>
      <w:r w:rsidDel="00000000" w:rsidR="00000000" w:rsidRPr="00000000">
        <w:rPr>
          <w:rtl w:val="0"/>
        </w:rPr>
        <w:t xml:space="preserve"> We were able to retrieve 289538 articles published in these journals from 1900 to 2009. </w:t>
      </w:r>
      <w:r w:rsidDel="00000000" w:rsidR="00000000" w:rsidRPr="00000000">
        <w:rPr>
          <w:rtl w:val="0"/>
        </w:rPr>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restrain our corpus to documents engaging with the issue of rationality. One of the most straightforward proxies are keywords [@trucNeuroeconomics2023]. Based on a predefined list of target terms (often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display several limitations when it is not the case. Indeed, it focuses on spotting occurrences of a term rather than a general idea. Just think about the various ways rationality could be discussed in the history of economics: beyond the term “rationality”, economists employ various expressions that refer to close ideas such as maximising profits or expected utility, the </w:t>
      </w:r>
      <w:r w:rsidDel="00000000" w:rsidR="00000000" w:rsidRPr="00000000">
        <w:rPr>
          <w:i w:val="1"/>
          <w:iCs w:val="1"/>
          <w:rtl w:val="0"/>
        </w:rPr>
        <w:t xml:space="preserve">homo oeconomicus</w:t>
      </w:r>
      <w:r w:rsidDel="00000000" w:rsidR="00000000" w:rsidRPr="00000000">
        <w:rPr>
          <w:rtl w:val="0"/>
        </w:rPr>
        <w:t xml:space="preserve">, or the transitivity and completeness of preferences. </w:t>
      </w:r>
    </w:p>
    <w:p w:rsidR="00000000" w:rsidDel="00000000" w:rsidP="00000000" w:rsidRDefault="00000000" w:rsidRPr="00000000" w14:paraId="0000001E">
      <w:pPr>
        <w:ind w:right="0"/>
        <w:rPr/>
      </w:pPr>
      <w:r w:rsidDel="00000000" w:rsidR="00000000" w:rsidRPr="00000000">
        <w:rPr>
          <w:rtl w:val="0"/>
        </w:rPr>
        <w:t xml:space="preserve">Going beyond simply searching for occurrences of “rationality” and “rational,” we could have constructed an extensive dictionary of terms associated with the concept of rationality. This task requires substantial knowledge of the history of economics and of debates surrounding rationality, and thus presupposes that researchers possess adequate historical and conceptual background. Despite this, it remains difficult to prevent the dictionary-building process from introducing biases—for 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this approach also constrains the potential for discovery: by setting the boundaries of the dictionary in advance, researchers may unintentionally exclude terms or themes of which they were unaware, and thus remain unaware of them throughout the analysis.</w:t>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corpus of economic articles.</w:t>
      </w:r>
      <w:r w:rsidDel="00000000" w:rsidR="00000000" w:rsidRPr="00000000">
        <w:rPr>
          <w:vertAlign w:val="superscript"/>
        </w:rPr>
        <w:footnoteReference w:customMarkFollows="0" w:id="10"/>
      </w:r>
      <w:r w:rsidDel="00000000" w:rsidR="00000000" w:rsidRPr="00000000">
        <w:rPr>
          <w:rtl w:val="0"/>
        </w:rPr>
        <w:t xml:space="preserve"> LLMs are trained on extremely large collections of text to learn patterns in language. In simple terms, they learn to predict missing words in a sentence or to determine whether two sentences follow each other. Through this training, the model develops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When we input text into such a model, it translates sentences into vectors that summarize their context and meaning. This enables us to compare sentences not by the exact words they use but by their underlying ideas.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an LLM designed specifically to produce sentence embeddings, that is, numerical vectors that represent the meaning of a sentence. The model assigns one vector to each sentence, which allows for straightforward semantic comparison: sentences that express similar ideas end up with vectors that are mathematically close to each other. Using Sentence-BERT, we vectorized more than 61 million sentences published between 1900 and 2009 from our database. Starting from sentences including “rationality” and “rational”, we then searched for the sentences most similar to these anchor sentences. Thus, if sentence A explicitly uses the word “rationality,” and its vector is close to that of sentence B—which never mentions the term—sentence B likely discusses a related idea.</w:t>
      </w:r>
    </w:p>
    <w:p w:rsidR="00000000" w:rsidDel="00000000" w:rsidP="00000000" w:rsidRDefault="00000000" w:rsidRPr="00000000" w14:paraId="00000021">
      <w:pPr>
        <w:rPr/>
      </w:pPr>
      <w:r w:rsidDel="00000000" w:rsidR="00000000" w:rsidRPr="00000000">
        <w:rPr>
          <w:rtl w:val="0"/>
        </w:rPr>
        <w:t xml:space="preserve">Our approach does not simply consist of finding sentences that are close to the words “rationality” and “rational” over a 110-year period, though. Because our project is historical, it is crucial to consider how LLMs themselves handle historical language. LLMs are trained on billions of texts, but the overwhelming majority of these texts are recent.</w:t>
      </w:r>
      <w:r w:rsidDel="00000000" w:rsidR="00000000" w:rsidRPr="00000000">
        <w:rPr>
          <w:vertAlign w:val="superscript"/>
        </w:rPr>
        <w:footnoteReference w:customMarkFollows="0" w:id="11"/>
      </w:r>
      <w:r w:rsidDel="00000000" w:rsidR="00000000" w:rsidRPr="00000000">
        <w:rPr>
          <w:rtl w:val="0"/>
        </w:rPr>
        <w:t xml:space="preserve"> As a result, they tend to offer a “presentist,” numerical view of language. For example, current models struggle to reproduce writing styles from earlier periods and cannot reliably infer the publication date of a text [@underwoodCan2025]. Sentence-BERT is subject to the same limitations, and the sentence embeddings it produces inevitably reflect this bias. Besides, as illustrated by @</w:t>
      </w:r>
      <w:r w:rsidDel="00000000" w:rsidR="00000000" w:rsidRPr="00000000">
        <w:rPr>
          <w:rtl w:val="0"/>
        </w:rPr>
        <w:t xml:space="preserve">fig-distribution</w:t>
      </w:r>
      <w:r w:rsidDel="00000000" w:rsidR="00000000" w:rsidRPr="00000000">
        <w:rPr>
          <w:rtl w:val="0"/>
        </w:rPr>
        <w:t xml:space="preserve">, our corpus is exponential according to years and most sentences come from recent articles. Taken together, these effects make it very likely that the sentences the model identifies as closest to “rationality” will predominantly come from recent articles. To limit this presentist effect, we adapted the way we compare sentences over time. Instead of comparing a sentence from, say, 1910 directly to a “representative vector” of </w:t>
      </w:r>
      <w:r w:rsidDel="00000000" w:rsidR="00000000" w:rsidRPr="00000000">
        <w:rPr>
          <w:rtl w:val="0"/>
        </w:rPr>
        <w:t xml:space="preserve">all</w:t>
      </w:r>
      <w:r w:rsidDel="00000000" w:rsidR="00000000" w:rsidRPr="00000000">
        <w:rPr>
          <w:rtl w:val="0"/>
        </w:rPr>
        <w:t xml:space="preserve"> sentences in our corpus that contain the words “rationality” or “rational,” we constructed a series of representative vectors. For each year, we build a moving average vector, with a five-year symmetric window, of all the sentences mentioning “rationality” or “rational”. Concretely, for the year 1910, we averaged the vectors of all sentences containing “rationality” or “rational” from 1905 to 1915. This produces a period-specific reference point that reflects how these terms were used </w:t>
      </w:r>
      <w:r w:rsidDel="00000000" w:rsidR="00000000" w:rsidRPr="00000000">
        <w:rPr>
          <w:rtl w:val="0"/>
        </w:rPr>
        <w:t xml:space="preserve">at that particular moment in time</w:t>
      </w:r>
      <w:r w:rsidDel="00000000" w:rsidR="00000000" w:rsidRPr="00000000">
        <w:rPr>
          <w:rtl w:val="0"/>
        </w:rPr>
        <w:t xml:space="preserve">. A sentence from 1910 is therefore judged similar not to the general, and likely modern-day meaning of rationality, but to the way the concept was expressed during its own historical period. </w:t>
      </w:r>
      <w:ins w:author="Thomas Delcey" w:id="0" w:date="2025-12-21T06:20:39Z">
        <w:r w:rsidDel="00000000" w:rsidR="00000000" w:rsidRPr="00000000">
          <w:rPr>
            <w:rtl w:val="0"/>
          </w:rPr>
          <w:t xml:space="preserve">The representative vector should be interpreted as an operational summary of the various semantic contexts in which ‘rationality’ is used in a given year, not as a unique theoretical definition of rationality itself. </w:t>
        </w:r>
      </w:ins>
      <w:r w:rsidDel="00000000" w:rsidR="00000000" w:rsidRPr="00000000">
        <w:rPr>
          <w:rtl w:val="0"/>
        </w:rPr>
        <w:t xml:space="preserve">This helps ensure that our analysis is sensitive to historical changes in language. </w:t>
      </w:r>
      <w:r w:rsidDel="00000000" w:rsidR="00000000" w:rsidRPr="00000000">
        <w:rPr>
          <w:rtl w:val="0"/>
        </w:rPr>
        <w:t xml:space="preserve">Since each document is a set of sentences, we also identify the documents—and the authors—that discuss rationality most intensively or frequently. @tbl-illustrative_sentences and @tbl-illustrative_documents illustrate respectively the closest sentence and documents from our representative vectors in 1910. </w:t>
      </w:r>
      <w:r w:rsidDel="00000000" w:rsidR="00000000" w:rsidRPr="00000000">
        <w:rPr>
          <w:rtl w:val="0"/>
        </w:rPr>
      </w:r>
    </w:p>
    <w:p w:rsidR="00000000" w:rsidDel="00000000" w:rsidP="00000000" w:rsidRDefault="00000000" w:rsidRPr="00000000" w14:paraId="00000022">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3">
      <w:pPr>
        <w:pStyle w:val="Heading1"/>
        <w:ind w:firstLine="720"/>
        <w:rPr>
          <w:sz w:val="32"/>
          <w:szCs w:val="32"/>
        </w:rPr>
      </w:pPr>
      <w:bookmarkStart w:colFirst="0" w:colLast="0" w:name="_57osrl8kii9f" w:id="5"/>
      <w:bookmarkEnd w:id="5"/>
      <w:r w:rsidDel="00000000" w:rsidR="00000000" w:rsidRPr="00000000">
        <w:rPr>
          <w:sz w:val="32"/>
          <w:szCs w:val="32"/>
          <w:rtl w:val="0"/>
        </w:rPr>
        <w:t xml:space="preserve">Simple </w:t>
      </w:r>
      <w:r w:rsidDel="00000000" w:rsidR="00000000" w:rsidRPr="00000000">
        <w:rPr>
          <w:sz w:val="32"/>
          <w:szCs w:val="32"/>
          <w:rtl w:val="0"/>
        </w:rPr>
        <w:t xml:space="preserve">exploration</w:t>
      </w:r>
    </w:p>
    <w:p w:rsidR="00000000" w:rsidDel="00000000" w:rsidP="00000000" w:rsidRDefault="00000000" w:rsidRPr="00000000" w14:paraId="00000024">
      <w:pPr>
        <w:rPr/>
      </w:pPr>
      <w:r w:rsidDel="00000000" w:rsidR="00000000" w:rsidRPr="00000000">
        <w:rPr>
          <w:rtl w:val="0"/>
        </w:rPr>
        <w:t xml:space="preserve">Before returning to our specific corpus on rationality and diving into more advanced LLM-based analyses, we first step back and examine simpler quantitative methods applied to our broader set of economics articles. Indeed, quantitative approaches come in many forms and levels of complexity. In fact, quantification does not need to be sophisticated to be useful. </w:t>
      </w:r>
      <w:r w:rsidDel="00000000" w:rsidR="00000000" w:rsidRPr="00000000">
        <w:rPr>
          <w:rtl w:val="0"/>
        </w:rPr>
        <w:t xml:space="preserve">Simple indicators may not always provide the clearest answers to research questions, but they play an important exploratory role: helping researchers refine their questions, identify anomalies, or detect unexpected patterns.</w:t>
      </w:r>
    </w:p>
    <w:p w:rsidR="00000000" w:rsidDel="00000000" w:rsidP="00000000" w:rsidRDefault="00000000" w:rsidRPr="00000000" w14:paraId="00000025">
      <w:pPr>
        <w:rPr/>
      </w:pPr>
      <w:r w:rsidDel="00000000" w:rsidR="00000000" w:rsidRPr="00000000">
        <w:rPr>
          <w:rtl w:val="0"/>
        </w:rPr>
        <w:t xml:space="preserve">For</w:t>
      </w:r>
      <w:r w:rsidDel="00000000" w:rsidR="00000000" w:rsidRPr="00000000">
        <w:rPr>
          <w:rtl w:val="0"/>
        </w:rPr>
        <w:t xml:space="preserve"> textual data, term frequency, that is counting how often particular words or expressions appear, is a straightforward indicator.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6">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w:t>
      </w:r>
      <w:r w:rsidDel="00000000" w:rsidR="00000000" w:rsidRPr="00000000">
        <w:rPr>
          <w:rtl w:val="0"/>
        </w:rPr>
        <w:t xml:space="preserve">Of course, we cannot easily infer the precise drivers of these trends from such simple metrics. However, the clear upward movement signals an important moment in the evolution of rationality within economics—at least in terms of textual intensity—thereby motivating more targeted forms of investigation.</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While our usage of a large language model will shed light on the context surrounding this rise, such context can also be approximated with simple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“systems” or “organizations.”simplersimpler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8">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[see, e.g., @TahamtanCore1979].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w:t>
      </w:r>
    </w:p>
    <w:p w:rsidR="00000000" w:rsidDel="00000000" w:rsidP="00000000" w:rsidRDefault="00000000" w:rsidRPr="00000000" w14:paraId="00000029">
      <w:pPr>
        <w:rPr/>
      </w:pPr>
      <w:r w:rsidDel="00000000" w:rsidR="00000000" w:rsidRPr="00000000">
        <w:rPr>
          <w:rtl w:val="0"/>
        </w:rPr>
        <w:t xml:space="preserve">Counting the citations of specific documents offers a first, simple approach to assessing the impact of an author or a particular publication. There are clear reasons to incorporate citation studies into historical research.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 [@teplitskiyHow2022].</w:t>
      </w: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(with contributions by, e.g., Simon and George Katona), to the emergence of “new” behavioral economics is organized around such milestones. In this sense, citations serve as a complementary proxy alongside these traditional indicators. For instance, although both Simon and Daniel Kahneman received the Nobel Prize, Kahneman ultimately exerted a broader influence on the discipline—something that is reflected in citation patterns. </w:t>
      </w:r>
    </w:p>
    <w:p w:rsidR="00000000" w:rsidDel="00000000" w:rsidP="00000000" w:rsidRDefault="00000000" w:rsidRPr="00000000" w14:paraId="0000002B">
      <w:pPr>
        <w:rPr/>
      </w:pPr>
      <w:r w:rsidDel="00000000" w:rsidR="00000000" w:rsidRPr="00000000">
        <w:rPr>
          <w:rtl w:val="0"/>
        </w:rPr>
        <w:t xml:space="preserve">In a large qualitative–quantitative study of the Nobel Prize, @offerNobel2016 distinguished several trajectories among laureates: those who peak at the prize and subsequently decline, “innovators with staying power,” “still rising” winners honored before their citation peak, and late winners recognized long after their peak. @fig-rationality-paper-citations plots citation patterns across all WoS economics journals and across the top five journals for four seminal references that critiqued the standard approach to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 The influence of “new” behavioral economics clearly exceeds that of the earlier tradition, both in the top five journals and in the broader set of economics journals indexed in WoS. Whereas @simonBehavioral1955 and @allaisComportementHommeRationnel1953 are cited by no more than 0.2% of all economics articles, @kahnemanProspect1979 surpasses 1% by the late 2010s and continues to rise. The contrast lies not only in the scale of influence but also in the speed and timing of acceptance: citations to the two “new” behavioral papers grow rapidly and steadily from the moment of publication, while Simon and Allais reach their modest peaks only around the time of their Nobel Prizes—or even later in the 2000s, with the renewed attention generated by “new” behavioral economics. As argued by @offerNobel2016, many laureates experience a “Nobel premium,” a modest increase in citations following the award. Simon and Allais conform to this pattern, but Kahneman and Tversky represent an exceptional case: after the Nobel, their previously declining citation trajectory reverses and climbs sharply throughout the period studied [@offerNobel2016].</w:t>
      </w:r>
      <w:r w:rsidDel="00000000" w:rsidR="00000000" w:rsidRPr="00000000">
        <w:rPr>
          <w:rtl w:val="0"/>
        </w:rPr>
      </w:r>
    </w:p>
    <w:p w:rsidR="00000000" w:rsidDel="00000000" w:rsidP="00000000" w:rsidRDefault="00000000" w:rsidRPr="00000000" w14:paraId="0000002C">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2D">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they appear? Moreover, focusing on a small set of references introduces a degree of arbitrariness into the analysis. Likewise, simply counting the words that appear next to “rationality” tells us little about whether these words and expressions are used jointly within the same argument or whether they belong to distinct topics and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2E">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full texts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12"/>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2F">
      <w:pPr>
        <w:rPr/>
      </w:pPr>
      <w:r w:rsidDel="00000000" w:rsidR="00000000" w:rsidRPr="00000000">
        <w:rPr>
          <w:rtl w:val="0"/>
        </w:rPr>
        <w:t xml:space="preserve">The counterpart of unsupervised methods are supervised methods—such as regressions—which estimate predefined relationships in the data. While supervised methods require clearly specified hypotheses and well-defined variables, unsupervised approaches allow researchers to let a </w:t>
      </w:r>
      <w:r w:rsidDel="00000000" w:rsidR="00000000" w:rsidRPr="00000000">
        <w:rPr>
          <w:i w:val="1"/>
          <w:iCs w:val="1"/>
          <w:rtl w:val="0"/>
        </w:rPr>
        <w:t xml:space="preserve">chosen </w:t>
      </w:r>
      <w:r w:rsidDel="00000000" w:rsidR="00000000" w:rsidRPr="00000000">
        <w:rPr>
          <w:rtl w:val="0"/>
        </w:rPr>
        <w:t xml:space="preserve">structure of the material emerge. This is especially true for large-scale and long-run analysis, where the risk of imposing categories that are inadequate or anachronistic relative to the historical context increases. 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In this paper, for citation data, we use a method commonly employed in the history of economic thought: bibliographic coupling [see e.g., @claveauMacrodynamics2016; trucForty2022]. We begin with a corpus composed of the 10% of articles whose average embeddings are most similar to our annual representative vectors for “rationality” and “rational.” In this network, articles are represented as nodes, and connections between them depend on the number of shared references in their bibliographies. The more references two articles share, the stronger their link—and the closer they appear in a two-dimensional network visualization. The underlying premise is that shared references serve as a proxy for intellectual proximity. These maps help delineate the boundaries of disciplines, fields, or sub-specialties and reveal core–periphery structures.</w:t>
      </w:r>
    </w:p>
    <w:p w:rsidR="00000000" w:rsidDel="00000000" w:rsidP="00000000" w:rsidRDefault="00000000" w:rsidRPr="00000000" w14:paraId="00000031">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field [@goutsmedtIndependent2023; @camilottoNavigating2023], we therefore split our corpus into overlapping eight-year windows, starting in 1960 (1960–1967; 1961–1968; … ; 2002–2009), and built a series of 43 separate networks. Using community-detection algorithms [@traagLouvain2019], we identify groups of documents that share a substantial fraction of references and therefore have a similar intellectual background; we refer to these groups as “bibliometric communities.” Our next step is to identify communities that persist over time. When two communities from consecutive networks share many of the same nodes (i.e. articles), we treat them as instances of the same underlying group—an “intertemporal bibliometric community.” In this way, our bibliometric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For textual data, historians of economics frequently rely on topic modeling [bakeevAcademic2023; fontanaFragmentation2023; acostaSix2024]. Topic modeling identifies the latent themes in a corpus by learning distributions of words associated with each topic. Each document is then represented by a mixture of these topics—often with one or two dominating—while each topic can be described through its most representative words and expressions. While topic modeling is a convenient tool for historical analysis, our research question pushed us toward a more targeted approach.</w:t>
      </w:r>
    </w:p>
    <w:p w:rsidR="00000000" w:rsidDel="00000000" w:rsidP="00000000" w:rsidRDefault="00000000" w:rsidRPr="00000000" w14:paraId="00000033">
      <w:pPr>
        <w:rPr/>
      </w:pPr>
      <w:r w:rsidDel="00000000" w:rsidR="00000000" w:rsidRPr="00000000">
        <w:rPr>
          <w:rtl w:val="0"/>
        </w:rPr>
        <w:t xml:space="preserve">Because we focus on one large and historically fluid concept, we draw on the literature on semantic drift [@kutuzovDiachronic2018; montanelliSurvey2024] and take inspiration from @giulianelliAnalysing2020a. Rather than starting with full documents, </w:t>
      </w:r>
      <w:r w:rsidDel="00000000" w:rsidR="00000000" w:rsidRPr="00000000">
        <w:rPr>
          <w:rtl w:val="0"/>
        </w:rPr>
        <w:t xml:space="preserve">we filter each year’s corpus to retain only the</w:t>
      </w:r>
      <w:r w:rsidDel="00000000" w:rsidR="00000000" w:rsidRPr="00000000">
        <w:rPr>
          <w:rtl w:val="0"/>
        </w:rPr>
        <w:t xml:space="preserve"> top 1% of sentences that are most similar to our annual representative vectors of sentences with “rationality” and “rational.” In other words, we extract the sentences most likely to engage with the concept of rationality in any form.</w:t>
      </w:r>
      <w:r w:rsidDel="00000000" w:rsidR="00000000" w:rsidRPr="00000000">
        <w:rPr>
          <w:vertAlign w:val="superscript"/>
        </w:rPr>
        <w:footnoteReference w:customMarkFollows="0" w:id="13"/>
      </w:r>
      <w:r w:rsidDel="00000000" w:rsidR="00000000" w:rsidRPr="00000000">
        <w:rPr>
          <w:rtl w:val="0"/>
        </w:rPr>
        <w:t xml:space="preserve"> As with bibliographic coupling, we want a method that groups together sentences that employ similar meanings of rationality. We therefore cluster the sentence embeddings using the HDBSCAN algorithm, a widely used unsupervised method for clustering LLM-generated vectors. </w:t>
      </w:r>
    </w:p>
    <w:p w:rsidR="00000000" w:rsidDel="00000000" w:rsidP="00000000" w:rsidRDefault="00000000" w:rsidRPr="00000000" w14:paraId="00000034">
      <w:pPr>
        <w:rPr/>
      </w:pPr>
      <w:r w:rsidDel="00000000" w:rsidR="00000000" w:rsidRPr="00000000">
        <w:rPr>
          <w:rtl w:val="0"/>
        </w:rPr>
        <w:t xml:space="preserve">Again, historical perspective matters. 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14"/>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15"/>
      </w:r>
      <w:r w:rsidDel="00000000" w:rsidR="00000000" w:rsidRPr="00000000">
        <w:rPr>
          <w:rtl w:val="0"/>
        </w:rPr>
        <w:t xml:space="preserve"> </w:t>
      </w:r>
    </w:p>
    <w:p w:rsidR="00000000" w:rsidDel="00000000" w:rsidP="00000000" w:rsidRDefault="00000000" w:rsidRPr="00000000" w14:paraId="00000035">
      <w:pPr>
        <w:rPr/>
      </w:pPr>
      <w:r w:rsidDel="00000000" w:rsidR="00000000" w:rsidRPr="00000000">
        <w:rPr>
          <w:rtl w:val="0"/>
        </w:rPr>
        <w:t xml:space="preserve">With both methods, we thus obtain a list of “intertemporal bibliometric communities” (from 1960 to 2009) and “intertemporal semantic clusters” (from 1900 to 2009).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w:t>
      </w:r>
    </w:p>
    <w:p w:rsidR="00000000" w:rsidDel="00000000" w:rsidP="00000000" w:rsidRDefault="00000000" w:rsidRPr="00000000" w14:paraId="00000036">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w:t>
      </w:r>
      <w:r w:rsidDel="00000000" w:rsidR="00000000" w:rsidRPr="00000000">
        <w:rPr>
          <w:vertAlign w:val="superscript"/>
        </w:rPr>
        <w:footnoteReference w:customMarkFollows="0" w:id="16"/>
      </w:r>
      <w:r w:rsidDel="00000000" w:rsidR="00000000" w:rsidRPr="00000000">
        <w:rPr>
          <w:rtl w:val="0"/>
        </w:rPr>
        <w:t xml:space="preserve">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7">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8">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In our case, they generate statistical categories—bibliometric communities and semantic clusters—that lack predefined conceptual “labels.” This strategy—reducing a large and complex corpus to a smaller number of coherent groups—is well established. Yet the groups themselves are created solely on the basis of statistical similarities, and their historical or conceptual significance emerges only through subsequent analysis. To make sense of what brings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9">
      <w:pPr>
        <w:ind w:right="0"/>
        <w:rPr/>
      </w:pPr>
      <w:r w:rsidDel="00000000" w:rsidR="00000000" w:rsidRPr="00000000">
        <w:rPr>
          <w:rtl w:val="0"/>
        </w:rPr>
        <w:t xml:space="preserve">Therefore, whether at the stage of data construction or in the interpretation of statistical patterns, quantitative methods demand a continuous dialogue with qualitative interpretation, supported by a close reading of the secondary literature on the issues at stake. Only through this back-and-forth can we turn algorithmic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w:t>
      </w:r>
      <w:commentRangeStart w:id="1"/>
      <w:r w:rsidDel="00000000" w:rsidR="00000000" w:rsidRPr="00000000">
        <w:rPr>
          <w:rtl w:val="0"/>
        </w:rPr>
        <w:t xml:space="preserve">—such as our interactive applications—</w:t>
      </w:r>
      <w:commentRangeEnd w:id="1"/>
      <w:r w:rsidDel="00000000" w:rsidR="00000000" w:rsidRPr="00000000">
        <w:commentReference w:id="1"/>
      </w:r>
      <w:r w:rsidDel="00000000" w:rsidR="00000000" w:rsidRPr="00000000">
        <w:rPr>
          <w:rtl w:val="0"/>
        </w:rPr>
        <w:t xml:space="preserve">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For the purpose of the exploration and interpretation of our results, we have built an online interactive application, where we can find all the semantic clusters and bibliometric communities, and their corresponding indicators. Let us take as an example the semantic cluster 11, which gathers close to 20,000 sentences from 1920 to 2009. How can we get a sense of what this cluster actually coalesces around? Before any qualitative interpretation or contextualization with the secondary literature, we must first produce a series of indicators to characterize the cluster. Such indicators include:</w:t>
      </w:r>
    </w:p>
    <w:p w:rsidR="00000000" w:rsidDel="00000000" w:rsidP="00000000" w:rsidRDefault="00000000" w:rsidRPr="00000000" w14:paraId="0000003B">
      <w:pPr>
        <w:numPr>
          <w:ilvl w:val="0"/>
          <w:numId w:val="1"/>
        </w:numPr>
        <w:spacing w:after="0" w:afterAutospacing="0"/>
        <w:ind w:left="720" w:hanging="360"/>
        <w:rPr/>
      </w:pPr>
      <w:r w:rsidDel="00000000" w:rsidR="00000000" w:rsidRPr="00000000">
        <w:rPr>
          <w:rtl w:val="0"/>
        </w:rPr>
        <w:t xml:space="preserve">The most identifying words of the cluster for each decade. While the first period of the cluster (the 1920s) deals notably with “rationalisation” and “human reason,” the 1950s are more directly focused on “rationalism,” “rationality,” and “rational behavior.” After the 1970s and until 2009, “bounded rationality” emerges as a core concept in this cluster.</w:t>
      </w:r>
    </w:p>
    <w:p w:rsidR="00000000" w:rsidDel="00000000" w:rsidP="00000000" w:rsidRDefault="00000000" w:rsidRPr="00000000" w14:paraId="0000003C">
      <w:pPr>
        <w:numPr>
          <w:ilvl w:val="0"/>
          <w:numId w:val="1"/>
        </w:numPr>
        <w:spacing w:after="0" w:afterAutospacing="0" w:before="0" w:beforeAutospacing="0"/>
        <w:ind w:left="720" w:hanging="360"/>
        <w:rPr/>
      </w:pPr>
      <w:r w:rsidDel="00000000" w:rsidR="00000000" w:rsidRPr="00000000">
        <w:rPr>
          <w:rtl w:val="0"/>
        </w:rPr>
        <w:t xml:space="preserve">The most recurring authors. Talcott Parsons and Frank Knight appear frequently in the 1920s and 1930s, and Herbert Simon becomes a central author in the 1950s and 1970s. In the 1990s, we notably find Robert Sugden, a behavioral economist.</w:t>
      </w:r>
    </w:p>
    <w:p w:rsidR="00000000" w:rsidDel="00000000" w:rsidP="00000000" w:rsidRDefault="00000000" w:rsidRPr="00000000" w14:paraId="0000003D">
      <w:pPr>
        <w:numPr>
          <w:ilvl w:val="0"/>
          <w:numId w:val="1"/>
        </w:numPr>
        <w:spacing w:after="0" w:afterAutospacing="0" w:before="0" w:beforeAutospacing="0"/>
        <w:ind w:left="720" w:hanging="360"/>
        <w:rPr/>
      </w:pPr>
      <w:r w:rsidDel="00000000" w:rsidR="00000000" w:rsidRPr="00000000">
        <w:rPr>
          <w:rtl w:val="0"/>
        </w:rPr>
        <w:t xml:space="preserve">The journals that contain the most sentences associated with this cluster. The </w:t>
      </w:r>
      <w:r w:rsidDel="00000000" w:rsidR="00000000" w:rsidRPr="00000000">
        <w:rPr>
          <w:i w:val="1"/>
          <w:iCs w:val="1"/>
          <w:rtl w:val="0"/>
        </w:rPr>
        <w:t xml:space="preserve">Journal of Economic Issues</w:t>
      </w:r>
      <w:r w:rsidDel="00000000" w:rsidR="00000000" w:rsidRPr="00000000">
        <w:rPr>
          <w:rtl w:val="0"/>
        </w:rPr>
        <w:t xml:space="preserve">, oriented toward evolutionary economics, figures prominently, as do more 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E">
      <w:pPr>
        <w:numPr>
          <w:ilvl w:val="0"/>
          <w:numId w:val="1"/>
        </w:numPr>
        <w:spacing w:after="0" w:afterAutospacing="0" w:before="0" w:beforeAutospacing="0"/>
        <w:ind w:left="720" w:hanging="360"/>
        <w:rPr/>
      </w:pPr>
      <w:r w:rsidDel="00000000" w:rsidR="00000000" w:rsidRPr="00000000">
        <w:rPr>
          <w:rtl w:val="0"/>
        </w:rPr>
        <w:t xml:space="preserve">The sentences within the semantic cluster that are closest to its year-representative vector, i.e., those closest to “rational” and “rationality,” as well as the most representative sentences of the cluster itself for each period. The first category tends to highlight how the concept of rationality is discussed, while the second category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most representative sentences,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rtl w:val="0"/>
        </w:rPr>
        <w:t xml:space="preserve">The articles with the most sentences in the cluster for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w:t>
      </w:r>
    </w:p>
    <w:p w:rsidR="00000000" w:rsidDel="00000000" w:rsidP="00000000" w:rsidRDefault="00000000" w:rsidRPr="00000000" w14:paraId="00000040">
      <w:pPr>
        <w:numPr>
          <w:ilvl w:val="0"/>
          <w:numId w:val="1"/>
        </w:numPr>
        <w:spacing w:before="0" w:beforeAutospacing="0"/>
        <w:ind w:left="720" w:hanging="360"/>
        <w:rPr/>
      </w:pPr>
      <w:r w:rsidDel="00000000" w:rsidR="00000000" w:rsidRPr="00000000">
        <w:rPr>
          <w:rtl w:val="0"/>
        </w:rPr>
        <w:t xml:space="preserve">For the periods after the 1950s, the most cited references (based on the number of citations per article, whether the article has one or ten sentences in the cluster). In the 1950s, for example,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1">
      <w:pPr>
        <w:rPr/>
      </w:pPr>
      <w:r w:rsidDel="00000000" w:rsidR="00000000" w:rsidRPr="00000000">
        <w:rPr>
          <w:rtl w:val="0"/>
        </w:rPr>
        <w:t xml:space="preserve">With all these indicators—and prior to any further qualitative investigation—we can already see that this semantic cluster is centrally relevant to our study, as it bears directly on the concept of rationality itself. Our textual approach is thus able to extract some specific uses of rationality, here debates on the meaning of rationality itself in economics, allowing us to observe the evolution of these uses across time but also across topics and subdisciplines (in game theory, macroeconomics, behavioral economics, or evolutionary economics).</w:t>
      </w:r>
    </w:p>
    <w:p w:rsidR="00000000" w:rsidDel="00000000" w:rsidP="00000000" w:rsidRDefault="00000000" w:rsidRPr="00000000" w14:paraId="00000042">
      <w:pPr>
        <w:rPr/>
      </w:pPr>
      <w:r w:rsidDel="00000000" w:rsidR="00000000" w:rsidRPr="00000000">
        <w:rPr>
          <w:rtl w:val="0"/>
        </w:rPr>
        <w:t xml:space="preserve">The bibliometric approach does not allow for such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texts from authors in close academic communities. I</w:t>
      </w:r>
      <w:r w:rsidDel="00000000" w:rsidR="00000000" w:rsidRPr="00000000">
        <w:rPr>
          <w:rtl w:val="0"/>
        </w:rPr>
        <w:t xml:space="preserve">n relation to semantic cluster 11, we observe, for instance, the emergence of a </w:t>
      </w:r>
      <w:commentRangeStart w:id="2"/>
      <w:commentRangeStart w:id="3"/>
      <w:r w:rsidDel="00000000" w:rsidR="00000000" w:rsidRPr="00000000">
        <w:rPr>
          <w:rtl w:val="0"/>
        </w:rPr>
        <w:t xml:space="preserve">“Behavioral Economics and Choice Theory”</w:t>
      </w:r>
      <w:commentRangeEnd w:id="2"/>
      <w:r w:rsidDel="00000000" w:rsidR="00000000" w:rsidRPr="00000000">
        <w:commentReference w:id="2"/>
      </w:r>
      <w:commentRangeEnd w:id="3"/>
      <w:r w:rsidDel="00000000" w:rsidR="00000000" w:rsidRPr="00000000">
        <w:commentReference w:id="3"/>
      </w:r>
      <w:r w:rsidDel="00000000" w:rsidR="00000000" w:rsidRPr="00000000">
        <w:rPr>
          <w:rtl w:val="0"/>
        </w:rPr>
        <w:t xml:space="preserve"> community in the 1977-1984 window. As with the semantic clusters, for each bibliometric community in each temporal window we extract, notably, the sentences closest to the representative vectors—based on the articles belonging to the community—as well as the most cited references and the most identifying words. We also examine how each community in a given window originates (i.e., whether it derives primarily from the same or from different communities in preceding periods) and what it becomes in the following period (i.e., its subsequent “destiny”).</w:t>
      </w:r>
      <w:r w:rsidDel="00000000" w:rsidR="00000000" w:rsidRPr="00000000">
        <w:rPr>
          <w:rtl w:val="0"/>
        </w:rPr>
      </w:r>
    </w:p>
    <w:p w:rsidR="00000000" w:rsidDel="00000000" w:rsidP="00000000" w:rsidRDefault="00000000" w:rsidRPr="00000000" w14:paraId="00000043">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4">
      <w:pPr>
        <w:rPr/>
      </w:pPr>
      <w:r w:rsidDel="00000000" w:rsidR="00000000" w:rsidRPr="00000000">
        <w:rPr>
          <w:rtl w:val="0"/>
        </w:rPr>
        <w:t xml:space="preserve">Equipped with these groupings and series of indicators, we can begin to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5">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transformation and the interpretative challenges inherent to large-scale analysis. </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Our goal is also to show how we navigate the results and triangulate the indicators in order to produce coherent historical narratives. While we rely on the secondary literature, the articles we foreground are only those identified by our indicators as some of the most significant for understanding the semantic clusters or bibliometric communities.</w:t>
      </w:r>
      <w:r w:rsidDel="00000000" w:rsidR="00000000" w:rsidRPr="00000000">
        <w:rPr>
          <w:vertAlign w:val="superscript"/>
        </w:rPr>
        <w:footnoteReference w:customMarkFollows="0" w:id="17"/>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7">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9">
      <w:pPr>
        <w:rPr/>
      </w:pPr>
      <w:r w:rsidDel="00000000" w:rsidR="00000000" w:rsidRPr="00000000">
        <w:rPr>
          <w:rtl w:val="0"/>
        </w:rPr>
        <w:t xml:space="preserve">In our first two decades, cluster 14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4 also captures discussions about utility: economic theory is debated through the history of economic thought. Arguments about utility were framed as interpretations, critiques, or extensions of classical authors—most notably Mill, Ricardo or Malthus. Yet, if anything,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18"/>
      </w: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Semantic cluster 9—concerned throughout the period with general methodological issues in economics—captures a significant share of sentences from 1900–1920 that articulate such institutionalist critiques. For instance, @veblenLimitations1909[622–624] attacked the “marginal-utility school” for relying on the simplistic depiction of human behavior implied by the “hedonistic calculus.”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19"/>
      </w:r>
      <w:r w:rsidDel="00000000" w:rsidR="00000000" w:rsidRPr="00000000">
        <w:rPr>
          <w:rtl w:val="0"/>
        </w:rPr>
        <w:t xml:space="preserve"> Such criticism did not falter in the 1920s. In cluster 11—centered at the time on “rationalisation” and “human reason”—@tugwellHuman1922[317] encouraged economists to move beyond the “rigid classical </w:t>
      </w:r>
      <w:r w:rsidDel="00000000" w:rsidR="00000000" w:rsidRPr="00000000">
        <w:rPr>
          <w:i w:val="1"/>
          <w:iCs w:val="1"/>
          <w:rtl w:val="0"/>
        </w:rPr>
        <w:t xml:space="preserve">homo 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B">
      <w:pPr>
        <w:rPr/>
      </w:pPr>
      <w:r w:rsidDel="00000000" w:rsidR="00000000" w:rsidRPr="00000000">
        <w:rPr>
          <w:rtl w:val="0"/>
        </w:rPr>
        <w:t xml:space="preserve">Second, for institutionalist economists,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cluster 9, @veblenLimitations1909[620] again argued against the “statical character” of marginal-utility theory, which offered “no theory of a movement of any kind,” being occupied solely with “the adjustment of values to a given situation.” Similarly, E. H. @downeyFutility1910[253], in the cluster 14,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Charles Cooley [@cooleyProgress1915] underlined that “pecuniary valuation,” or economic valuation, is only possible because of the institutions that make such valuation possible [see also @rutherfordInstitutionalist2013, 58–59]. Figure @fig-co-occurence shows well the importance of “pecuniary” as a neighbor to “rational” and “rationality” in the first twenty years of the twentieth century.</w:t>
      </w:r>
    </w:p>
    <w:p w:rsidR="00000000" w:rsidDel="00000000" w:rsidP="00000000" w:rsidRDefault="00000000" w:rsidRPr="00000000" w14:paraId="0000004C">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(semantic cluster 8), progressive taxation (cluster 17), tariffs and commercial policy in the United States (cluster 8 again and part of cluster 2), or agriculture (cluster 13).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In these clusters, “rationality” is rarely mentioned explicitly, even if we find discussions on the behavior of “business men” (cluster 12), “workmen” (cluster 8) or “owners of land” and “farmers” (cluster 13). </w:t>
      </w:r>
      <w:r w:rsidDel="00000000" w:rsidR="00000000" w:rsidRPr="00000000">
        <w:rPr>
          <w:rtl w:val="0"/>
        </w:rPr>
        <w:t xml:space="preserve">  These clusters gradually decline in importance, and most of them disappear in the postwar period. Indeed, the period from 1930 to 1959 displays substantial transformations in the structure of debates concerning rationality.</w:t>
      </w:r>
    </w:p>
    <w:p w:rsidR="00000000" w:rsidDel="00000000" w:rsidP="00000000" w:rsidRDefault="00000000" w:rsidRPr="00000000" w14:paraId="0000004D">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4E">
      <w:pPr>
        <w:rPr/>
      </w:pPr>
      <w:r w:rsidDel="00000000" w:rsidR="00000000" w:rsidRPr="00000000">
        <w:rPr>
          <w:rtl w:val="0"/>
        </w:rPr>
        <w:t xml:space="preserve">While cluster 14 (on utility) constituted only a tiny share of sentences between 1900 and 1919, and was absent in the 1920s, it gains importance in the 1930s to the 1950s (though still representing less than 5% of all sentences). During this period, the heart of the debate concerned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 In other words, “Subjective and psychological concepts have been discarded from pure economic theory” (ibid.).</w:t>
      </w:r>
    </w:p>
    <w:p w:rsidR="00000000" w:rsidDel="00000000" w:rsidP="00000000" w:rsidRDefault="00000000" w:rsidRPr="00000000" w14:paraId="0000004F">
      <w:pPr>
        <w:rPr/>
      </w:pPr>
      <w:r w:rsidDel="00000000" w:rsidR="00000000" w:rsidRPr="00000000">
        <w:rPr>
          <w:rtl w:val="0"/>
        </w:rPr>
        <w:t xml:space="preserve">Yet this position was not uncontested. Indeed, </w:t>
      </w:r>
      <w:r w:rsidDel="00000000" w:rsidR="00000000" w:rsidRPr="00000000">
        <w:rPr>
          <w:rtl w:val="0"/>
        </w:rPr>
        <w:t xml:space="preserve">in these debates, terms such as “introspection,” “satisfaction(s),” and “pleasure” recur frequently in the cluster during the 1930s and 1940s [see for instance </w:t>
      </w:r>
      <w:r w:rsidDel="00000000" w:rsidR="00000000" w:rsidRPr="00000000">
        <w:rPr>
          <w:rtl w:val="0"/>
        </w:rPr>
        <w:t xml:space="preserve">@armstrongDeterminateness1939]</w:t>
      </w:r>
      <w:r w:rsidDel="00000000" w:rsidR="00000000" w:rsidRPr="00000000">
        <w:rPr>
          <w:rtl w:val="0"/>
        </w:rPr>
        <w:t xml:space="preserve">. But they disappear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cluster (cluster 5), which appears in the 1940s and grows substantially (to nearly 8% of all sentences) in the 1950s. This cluster concerns the formalization of agents’ preferences and choices. Here, we encounter what would become the standard vocabulary of decision theory: “individual orderings,” “preferences,” “decisions,” “transitive,” etc., and @vonneumannTheory1944, @friedmanUtility1948, and @savageFoundations1954 appear as the most cited references in the core articles of the cluster.  To complete this panorama, a game-theory cluster emerges in the 1950s, which ultimately comes to represent nearly 15% of all sentences after 1990.</w:t>
      </w:r>
    </w:p>
    <w:p w:rsidR="00000000" w:rsidDel="00000000" w:rsidP="00000000" w:rsidRDefault="00000000" w:rsidRPr="00000000" w14:paraId="00000050">
      <w:pPr>
        <w:rPr/>
      </w:pPr>
      <w:r w:rsidDel="00000000" w:rsidR="00000000" w:rsidRPr="00000000">
        <w:rPr>
          <w:rtl w:val="0"/>
        </w:rPr>
        <w:t xml:space="preserve">Transformations in the conception of rationality are also visible through clusters that remain thematically stable over time, yet reflect profound shifts in the discipline’s methodology and the growing centrality of rational choice theory</w:t>
      </w:r>
      <w:r w:rsidDel="00000000" w:rsidR="00000000" w:rsidRPr="00000000">
        <w:rPr>
          <w:i w:val="1"/>
          <w:iCs w:val="1"/>
          <w:rtl w:val="0"/>
        </w:rPr>
        <w:t xml:space="preserve">.</w:t>
      </w:r>
      <w:r w:rsidDel="00000000" w:rsidR="00000000" w:rsidRPr="00000000">
        <w:rPr>
          <w:rtl w:val="0"/>
        </w:rPr>
        <w:t xml:space="preserve"> Semantic cluster 12, for instance, which spans the period from 1900 to 1979, deals with firms and entrepreneurs.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mounted a defense of profit maximization and, more broadly, of marginalist theory.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20"/>
      </w:r>
      <w:r w:rsidDel="00000000" w:rsidR="00000000" w:rsidRPr="00000000">
        <w:rPr>
          <w:rtl w:val="0"/>
        </w:rPr>
        <w:t xml:space="preserve"> The marginalist controversy more generally provided a key intellectual background for Friedman’s essay on positive economics [-@friedmanMethodology1953], in which he formulated the famous “as if” principle to justify, among other assumptions, profit maximization. Interestingly, in the 1950s the most cited articles within cluster 12 were Machlup’s [-@machlupMarginal1946] and Friedman’s [@friedmanUtility1948], both of which relied heavily on “as if” reasoning, notably to justify, in the latter, the behavior of agents regarding expected utility.</w:t>
      </w:r>
    </w:p>
    <w:p w:rsidR="00000000" w:rsidDel="00000000" w:rsidP="00000000" w:rsidRDefault="00000000" w:rsidRPr="00000000" w14:paraId="00000051">
      <w:pPr>
        <w:rPr/>
      </w:pPr>
      <w:r w:rsidDel="00000000" w:rsidR="00000000" w:rsidRPr="00000000">
        <w:rPr>
          <w:rtl w:val="0"/>
        </w:rPr>
        <w:t xml:space="preserve">Shifts in the discipline’s methodology are also captured by semantic cluster 9, which gathers sentences in which authors reflect on their own methodological choices</w:t>
      </w:r>
      <w:r w:rsidDel="00000000" w:rsidR="00000000" w:rsidRPr="00000000">
        <w:rPr>
          <w:i w:val="1"/>
          <w:iCs w:val="1"/>
          <w:rtl w:val="0"/>
        </w:rPr>
        <w:t xml:space="preserve">.</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of “rationalizing” policies [@ericksonHow2013; @handsNormative2015].</w:t>
      </w:r>
    </w:p>
    <w:p w:rsidR="00000000" w:rsidDel="00000000" w:rsidP="00000000" w:rsidRDefault="00000000" w:rsidRPr="00000000" w14:paraId="00000053">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In the 1930s, cluster 11 focused on the concept—relatively neglected in the history of economic thought—of “rationalization.”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cluster 13, devoted to agricultural economics and the rise of “farm management” aimed at improving farmers’ living conditions. It becomes even more pronounced with the multiplication of debates on economic planning and the rationalization of policy decisions from the 1940s onward, particularly in cluster 8.</w:t>
      </w:r>
    </w:p>
    <w:p w:rsidR="00000000" w:rsidDel="00000000" w:rsidP="00000000" w:rsidRDefault="00000000" w:rsidRPr="00000000" w14:paraId="00000054">
      <w:pPr>
        <w:rPr/>
      </w:pPr>
      <w:r w:rsidDel="00000000" w:rsidR="00000000" w:rsidRPr="00000000">
        <w:rPr>
          <w:rtl w:val="0"/>
        </w:rPr>
        <w:t xml:space="preserve">As rationality increasingly came to be framed through modern microeconomics, the concept was extended to collective choice.</w:t>
      </w:r>
      <w:r w:rsidDel="00000000" w:rsidR="00000000" w:rsidRPr="00000000">
        <w:rPr>
          <w:i w:val="1"/>
          <w:iCs w:val="1"/>
          <w:rtl w:val="0"/>
        </w:rPr>
        <w:t xml:space="preserve"> </w:t>
      </w:r>
      <w:r w:rsidDel="00000000" w:rsidR="00000000" w:rsidRPr="00000000">
        <w:rPr>
          <w:rtl w:val="0"/>
        </w:rPr>
        <w:t xml:space="preserve">In semantic c</w:t>
      </w:r>
      <w:r w:rsidDel="00000000" w:rsidR="00000000" w:rsidRPr="00000000">
        <w:rPr>
          <w:rtl w:val="0"/>
        </w:rPr>
        <w:t xml:space="preserve">luster 5—gathering sentences on decision theory—the  rational “decision making” is applied not only for individuals but also for firms and public policy. It is in this cluster that issues of social choice emerge, notably through debates on the implications of Arrow’s impossibility theorem [-@arrowSocial1951; see e.g. @igersheimDeath2019].</w:t>
      </w:r>
      <w:r w:rsidDel="00000000" w:rsidR="00000000" w:rsidRPr="00000000">
        <w:rPr>
          <w:vertAlign w:val="superscript"/>
        </w:rPr>
        <w:footnoteReference w:customMarkFollows="0" w:id="21"/>
      </w:r>
      <w:r w:rsidDel="00000000" w:rsidR="00000000" w:rsidRPr="00000000">
        <w:rPr>
          <w:rtl w:val="0"/>
        </w:rPr>
        <w:t xml:space="preserve"> Arrow’s contribution also stimulated the formation of cluster 16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is organized around public goods and externalities, with James Buchanan, Ronald Coase, and Richard Musgrave as central references. The prominence of public finance increases further in subsequent decades, with the appearance of another community devoted to optimal taxation after 1968; taken together, these two communities account for nearly one fifth of the entire network in this period.</w:t>
      </w: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Macro-oriented issues constituted a relatively important semantic cluster from the beginning of our period, in 1900, notably through monetary economics (cluster 1). This cluster grew in importance in the 1930s,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22"/>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(“Rational Expectations and Business Cycles,” “Exchange Rate Economics,” and “Inflation, Expectations, and Interest Rates”).</w:t>
      </w:r>
    </w:p>
    <w:p w:rsidR="00000000" w:rsidDel="00000000" w:rsidP="00000000" w:rsidRDefault="00000000" w:rsidRPr="00000000" w14:paraId="00000056">
      <w:pPr>
        <w:rPr/>
      </w:pPr>
      <w:r w:rsidDel="00000000" w:rsidR="00000000" w:rsidRPr="00000000">
        <w:rPr>
          <w:rtl w:val="0"/>
        </w:rPr>
        <w:t xml:space="preserve">A similar trajectory to macroeconomics can also be observed in finance. The origins of financial issues can be traced to semantic cluster 3 which focused initially on the theory of investment. Until the 1930s, the issue was framed around the returns of capital. For instance, the cluster includes the so-called Hayek-Knight controversy on the conception of capital [@c</w:t>
      </w:r>
      <w:r w:rsidDel="00000000" w:rsidR="00000000" w:rsidRPr="00000000">
        <w:rPr>
          <w:rtl w:val="0"/>
        </w:rPr>
        <w:t xml:space="preserve">ohenHayek2003]. After the 1940s, decision-making under uncertainty becomes a central theme, crystallized by works such as @shackleTheory1942 on investment under radical uncertainty, which figures among the most representative articles.</w:t>
      </w:r>
      <w:r w:rsidDel="00000000" w:rsidR="00000000" w:rsidRPr="00000000">
        <w:rPr>
          <w:rtl w:val="0"/>
        </w:rPr>
        <w:t xml:space="preserve"> One decade later, Jack @hirshleiferTheory1958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cluster 3 </w:t>
      </w:r>
      <w:r w:rsidDel="00000000" w:rsidR="00000000" w:rsidRPr="00000000">
        <w:rPr>
          <w:rtl w:val="0"/>
        </w:rPr>
        <w:t xml:space="preserve">became</w:t>
      </w:r>
      <w:r w:rsidDel="00000000" w:rsidR="00000000" w:rsidRPr="00000000">
        <w:rPr>
          <w:rtl w:val="0"/>
        </w:rPr>
        <w:t xml:space="preserve"> much more prominent, consistently accounting for more than 10% of all sentences. In this period, rationality is increasingly framed in formal decision-theoretic terms and focused on appropriate investment choices under uncertainty.  Hence, our analysis shows that rationality in finance enters primarily through corporate finance, rather than through asset-pricing issues such as market efficiency, where rationality long remains an implicit assumption and rarely discussed explicitly prior to the emergence of behavioral finance.</w:t>
      </w:r>
    </w:p>
    <w:p w:rsidR="00000000" w:rsidDel="00000000" w:rsidP="00000000" w:rsidRDefault="00000000" w:rsidRPr="00000000" w14:paraId="00000057">
      <w:pPr>
        <w:rPr/>
      </w:pPr>
      <w:r w:rsidDel="00000000" w:rsidR="00000000" w:rsidRPr="00000000">
        <w:rPr>
          <w:rtl w:val="0"/>
        </w:rPr>
        <w:t xml:space="preserve">From the 1980s onward, modern asset pricing becomes dominant within cluster 3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both visible in the semantic clusters and in the bibliometric communities, in particular, the “Rational Expectations and Market Information,” which emerges in the 1976-1983 window.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begins to change gradually from the 1980s onward. In the 1979-1986 bibliometric network, a “Behavioral Decision Theory” community appears (representing around 2%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9">
      <w:pPr>
        <w:rPr/>
      </w:pPr>
      <w:r w:rsidDel="00000000" w:rsidR="00000000" w:rsidRPr="00000000">
        <w:rPr>
          <w:rtl w:val="0"/>
        </w:rPr>
        <w:t xml:space="preserve">We have sought here to offer a broad panorama of the major transformations in the concept of “rationality” in economics. This approach allows us to identify large-scale changes when they become visible in the data—namely, when particular clusters come to represent a significant share of sentences (or of the bibliometric networks). However, historians of economic thought are often concerned with understanding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A">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5B">
      <w:pPr>
        <w:rPr/>
      </w:pPr>
      <w:r w:rsidDel="00000000" w:rsidR="00000000" w:rsidRPr="00000000">
        <w:rPr>
          <w:rtl w:val="0"/>
        </w:rPr>
        <w:t xml:space="preserve">The term “behavioral economics” has a complex history. While it is now mostly associated with the work of Kahneman and Amos Tversky, George Katona is often credited as an early adopter of a behavioral approach [@giladEconomic1984; @hosseiniGeorge2011]. To distinguish among different strands of behavioral economics, @sent_behavioral_2004 proposed an influential distinction between “old” and “new” behavioral economics. This distinction separates the heterogeneous and reformist efforts of Katona, Simon, and others to challenge mainstream economics from the more homogeneous heuristics-and-biases research program developed by Kahneman and Tversky. Sent argues that “new” behavioral economics succeeded in part because it was less radical than earlier approaches and because it emerged in the 1980s, at a moment when economic theory faced multiple epistemological challenges, thereby creating an opportune context for alternative frameworks.</w:t>
      </w:r>
    </w:p>
    <w:p w:rsidR="00000000" w:rsidDel="00000000" w:rsidP="00000000" w:rsidRDefault="00000000" w:rsidRPr="00000000" w14:paraId="0000005C">
      <w:pPr>
        <w:rPr/>
      </w:pPr>
      <w:r w:rsidDel="00000000" w:rsidR="00000000" w:rsidRPr="00000000">
        <w:rPr>
          <w:rtl w:val="0"/>
        </w:rPr>
        <w:t xml:space="preserve">The divergent fates of Simon’s bounded rationality and Kahneman and Tversky’s heuristics-and-biases approach thus present a striking puzzle in the history of economic thought. Both challenged standard assumptions of rationality under the banner of behavioral economics, and both were ultimately recognized with Nobel Prizes, yet their patterns of reception and adoption differed. While our methods cannot identify the precise epistemological mechanisms behind this divergence, they allow us to trace and compare the trajectories of reception and influence of these two approaches, shedding light on how and when they followed different paths.</w:t>
      </w:r>
    </w:p>
    <w:p w:rsidR="00000000" w:rsidDel="00000000" w:rsidP="00000000" w:rsidRDefault="00000000" w:rsidRPr="00000000" w14:paraId="0000005D">
      <w:pPr>
        <w:rPr/>
      </w:pPr>
      <w:r w:rsidDel="00000000" w:rsidR="00000000" w:rsidRPr="00000000">
        <w:rPr>
          <w:rtl w:val="0"/>
        </w:rPr>
        <w:t xml:space="preserve">Our analysis suggests that Simon’s concept of “bounded rationality” stands as one of the most influential critiques of standard rationality in economics, particularly in its role in structuring debates about rationality itself. Simon’s work dominated discussions in the 1960s and 1970s, with his seminal articles [@simonBehavioral1955; @simonTheories1959] and his Nobel lecture [@simonRational1979] appearing across a wide range of research areas, from social choice theory to the theory of the firm and price setting. The textual analysis highlights Simon’s conceptual centrality. Semantic cluster 11, which captures discussions about individual rationality, undergoes a marked transformation following the rise of Simon’s influence. In the 1950s, discourse centered on terms such as “rational,” “empirical reality,” and “irrationality.” By the 1970s, “bounded rationality” had become the most prevalent expression in the cluster, and by the 1990s, references to “boundedly rational agents” and “procedural rationality” clearly positioned Simon’s concepts at the core of economic discussions, reflecting a delayed but substantial integration into the discipline.</w:t>
      </w:r>
    </w:p>
    <w:p w:rsidR="00000000" w:rsidDel="00000000" w:rsidP="00000000" w:rsidRDefault="00000000" w:rsidRPr="00000000" w14:paraId="0000005E">
      <w:pPr>
        <w:rPr/>
      </w:pPr>
      <w:r w:rsidDel="00000000" w:rsidR="00000000" w:rsidRPr="00000000">
        <w:rPr>
          <w:rtl w:val="0"/>
        </w:rPr>
        <w:t xml:space="preserve">Moreover, Simon’s impact is visible not only in the changing language of rationality but also in the growing prominence of these debates within economics. Semantic cluster 11 expands from 5.76% of all sentences in the 1950s to 7.85% in the 1980s, peaking at 9.56% in the 1990s. This growth signals a significant increase in the attention devoted to foundational questions of rationality. Citation analysis corroborates this pattern of late recognition: references to @simonBehavioral1955 rise gradually after publication, with citation peaks occurring only in the post-2000s period (see @fig-rationality-paper-citations).</w:t>
      </w:r>
    </w:p>
    <w:p w:rsidR="00000000" w:rsidDel="00000000" w:rsidP="00000000" w:rsidRDefault="00000000" w:rsidRPr="00000000" w14:paraId="0000005F">
      <w:pPr>
        <w:rPr/>
      </w:pPr>
      <w:r w:rsidDel="00000000" w:rsidR="00000000" w:rsidRPr="00000000">
        <w:rPr>
          <w:rtl w:val="0"/>
        </w:rPr>
        <w:t xml:space="preserve">However, Simon’s influence remained limited in two critical respects. First, the slow diffusion of his framework meant that, by the time it achieved broad conceptual prominence, it faced direct competition from “new” behavioral economics. From the 1980s onward, semantic cluster 11 declined in relative importance, and attention shifted toward more specialized clusters addressing distinct dimensions of rationality. Clusters 5 and 15 focused on expected utility theory, risk, and ambiguity, while clusters 6 and 7 examined intertemporal and other-regarding behavior. All of these clusters expanded rapidly in the 1980s, with most of them individually surpassing cluster 11 in their share of sentences. Although these strands incorporated elements of bounded rationality, they did so primarily through the conceptual tools of “new” behavioral economics—ranging from prospect theory in the analysis of risk to experimental paradigms such as the ultimatum game in the study of other-regarding behavior [@gualaParadigmatic2008].</w:t>
      </w:r>
    </w:p>
    <w:p w:rsidR="00000000" w:rsidDel="00000000" w:rsidP="00000000" w:rsidRDefault="00000000" w:rsidRPr="00000000" w14:paraId="00000060">
      <w:pPr>
        <w:rPr/>
      </w:pPr>
      <w:r w:rsidDel="00000000" w:rsidR="00000000" w:rsidRPr="00000000">
        <w:rPr>
          <w:rtl w:val="0"/>
        </w:rPr>
        <w:t xml:space="preserve">Second, Simon's conceptual influence, spearheaded by bounded rationality, never translated into stable research communities. While his framework shaped how many economists approached rationality, very few actually developed the research program he initiated. Bibliometrically, only small, unstable communities formed around Simon's work. In the 1960s and early 1970s, his ideas appeared in operations research circles (</w:t>
      </w:r>
      <w:r w:rsidDel="00000000" w:rsidR="00000000" w:rsidRPr="00000000">
        <w:rPr>
          <w:i w:val="1"/>
          <w:iCs w:val="1"/>
          <w:rtl w:val="0"/>
        </w:rPr>
        <w:t xml:space="preserve">Firm Behavior and Planning</w:t>
      </w:r>
      <w:r w:rsidDel="00000000" w:rsidR="00000000" w:rsidRPr="00000000">
        <w:rPr>
          <w:rtl w:val="0"/>
        </w:rPr>
        <w:t xml:space="preserve">) and organizational theory critiques of profit maximization (</w:t>
      </w:r>
      <w:r w:rsidDel="00000000" w:rsidR="00000000" w:rsidRPr="00000000">
        <w:rPr>
          <w:i w:val="1"/>
          <w:iCs w:val="1"/>
          <w:rtl w:val="0"/>
        </w:rPr>
        <w:t xml:space="preserve">Organizational Efficiency and Firm Theory</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Together, Simon, Winter, Cyert, and Leibenstein formed a diverse organizational theory critique of how rationality, especially through profit maximization, is employed in economics. While this collective movement had some momentum, none of these research had an individual effect on economics structure [see also @sent_behavioral_2004]. After 1969-1976, this research stream coalesced into a smaller, short-lived community before fragmenting. References to Simon and critiques of profit maximization remained scattered, moving through several small communities (e.g., </w:t>
      </w:r>
      <w:r w:rsidDel="00000000" w:rsidR="00000000" w:rsidRPr="00000000">
        <w:rPr>
          <w:i w:val="1"/>
          <w:iCs w:val="1"/>
          <w:rtl w:val="0"/>
        </w:rPr>
        <w:t xml:space="preserve">cl_761</w:t>
      </w:r>
      <w:r w:rsidDel="00000000" w:rsidR="00000000" w:rsidRPr="00000000">
        <w:rPr>
          <w:rtl w:val="0"/>
        </w:rPr>
        <w:t xml:space="preserve">, </w:t>
      </w:r>
      <w:r w:rsidDel="00000000" w:rsidR="00000000" w:rsidRPr="00000000">
        <w:rPr>
          <w:i w:val="1"/>
          <w:iCs w:val="1"/>
          <w:rtl w:val="0"/>
        </w:rPr>
        <w:t xml:space="preserve">cl_251</w:t>
      </w:r>
      <w:r w:rsidDel="00000000" w:rsidR="00000000" w:rsidRPr="00000000">
        <w:rPr>
          <w:rtl w:val="0"/>
        </w:rPr>
        <w:t xml:space="preserve">, </w:t>
      </w:r>
      <w:r w:rsidDel="00000000" w:rsidR="00000000" w:rsidRPr="00000000">
        <w:rPr>
          <w:i w:val="1"/>
          <w:iCs w:val="1"/>
          <w:rtl w:val="0"/>
        </w:rPr>
        <w:t xml:space="preserve">Welfare Economics and Public Finance</w:t>
      </w:r>
      <w:r w:rsidDel="00000000" w:rsidR="00000000" w:rsidRPr="00000000">
        <w:rPr>
          <w:rtl w:val="0"/>
        </w:rPr>
        <w:t xml:space="preserve">, </w:t>
      </w:r>
      <w:r w:rsidDel="00000000" w:rsidR="00000000" w:rsidRPr="00000000">
        <w:rPr>
          <w:i w:val="1"/>
          <w:iCs w:val="1"/>
          <w:rtl w:val="0"/>
        </w:rPr>
        <w:t xml:space="preserve">Evolutionary Economic Theory</w:t>
      </w:r>
      <w:r w:rsidDel="00000000" w:rsidR="00000000" w:rsidRPr="00000000">
        <w:rPr>
          <w:rtl w:val="0"/>
        </w:rPr>
        <w:t xml:space="preserve">) without ever achieving the critical mass. While Simon’s influence in economics was conceptually enduring, it remained marginal as a structuring force, unable to generate coherent, large and stable research communities.</w:t>
      </w:r>
    </w:p>
    <w:p w:rsidR="00000000" w:rsidDel="00000000" w:rsidP="00000000" w:rsidRDefault="00000000" w:rsidRPr="00000000" w14:paraId="00000061">
      <w:pPr>
        <w:ind w:right="0"/>
        <w:rPr/>
      </w:pPr>
      <w:r w:rsidDel="00000000" w:rsidR="00000000" w:rsidRPr="00000000">
        <w:rPr>
          <w:rtl w:val="0"/>
        </w:rPr>
        <w:t xml:space="preserve">“New” behavioral economics reception reveals a dramatic contrast. Unlike Simon’s trajectory, the heuristics and biases research program of Kahneman, Tversky, and other “new” behavioral economists generated multiple stable clusters that formed well-identified and substantial research communities. A main “Behavioral Decision Theory” cluster emerged in 1979-1987, structured by early adopters of the new approach. The crystallization of this distinct cluster signaled the beginning of explosive growth and the spinning off of several autonomous communities that captured emerging specialized areas of behavioral economics: pro-social behavior and behavioral game theory (</w:t>
      </w:r>
      <w:r w:rsidDel="00000000" w:rsidR="00000000" w:rsidRPr="00000000">
        <w:rPr>
          <w:i w:val="1"/>
          <w:iCs w:val="1"/>
          <w:rtl w:val="0"/>
        </w:rPr>
        <w:t xml:space="preserve">Behavioral Game Theory</w:t>
      </w:r>
      <w:r w:rsidDel="00000000" w:rsidR="00000000" w:rsidRPr="00000000">
        <w:rPr>
          <w:rtl w:val="0"/>
        </w:rPr>
        <w:t xml:space="preserve">), intertemporal decision-making and risk (</w:t>
      </w:r>
      <w:r w:rsidDel="00000000" w:rsidR="00000000" w:rsidRPr="00000000">
        <w:rPr>
          <w:i w:val="1"/>
          <w:iCs w:val="1"/>
          <w:rtl w:val="0"/>
        </w:rPr>
        <w:t xml:space="preserve">Behavioral Economics and Choice</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Financial Market Expectations</w:t>
      </w:r>
      <w:r w:rsidDel="00000000" w:rsidR="00000000" w:rsidRPr="00000000">
        <w:rPr>
          <w:rtl w:val="0"/>
        </w:rPr>
        <w:t xml:space="preserve">).</w:t>
      </w:r>
    </w:p>
    <w:p w:rsidR="00000000" w:rsidDel="00000000" w:rsidP="00000000" w:rsidRDefault="00000000" w:rsidRPr="00000000" w14:paraId="00000062">
      <w:pPr>
        <w:ind w:right="0"/>
        <w:rPr/>
      </w:pPr>
      <w:r w:rsidDel="00000000" w:rsidR="00000000" w:rsidRPr="00000000">
        <w:rPr>
          <w:rtl w:val="0"/>
        </w:rPr>
        <w:t xml:space="preserve">By the 2000s, behavioral economics had become the dominant venue for research on rationality. Three behavioral economics communities represented approximately 30% of the entire network with many additional communities structured by behavioral economics research without being explicitly characterized as such. The scale and speed of acceptance differed dramatically from Simon’s experience. By 1980, @kahnemanProspect1979 had already surpassed @simonBehavioral1955 in annual citations</w:t>
      </w:r>
      <w:r w:rsidDel="00000000" w:rsidR="00000000" w:rsidRPr="00000000">
        <w:rPr>
          <w:rtl w:val="0"/>
        </w:rPr>
        <w:t xml:space="preserve"> (@fig-rationality-paper-citations).</w:t>
      </w:r>
      <w:r w:rsidDel="00000000" w:rsidR="00000000" w:rsidRPr="00000000">
        <w:rPr>
          <w:rtl w:val="0"/>
        </w:rPr>
        <w:t xml:space="preserve"> </w:t>
      </w:r>
      <w:r w:rsidDel="00000000" w:rsidR="00000000" w:rsidRPr="00000000">
        <w:rPr>
          <w:rtl w:val="0"/>
        </w:rPr>
        <w:t xml:space="preserve">By 1985, prospect theory had already surpassed the lifetime citation peak that Simon’s work would ever reach within economics. By the 2000s, most microeconomic publications addressing rationality were explicitly connected to the behavioral economics research program. While bounded and procedural rationality remained frequently invoked concepts, no subsequent research community clearly carried Simon’s legacy as a stable bibliometric anchor.</w:t>
      </w:r>
    </w:p>
    <w:p w:rsidR="00000000" w:rsidDel="00000000" w:rsidP="00000000" w:rsidRDefault="00000000" w:rsidRPr="00000000" w14:paraId="00000063">
      <w:pPr>
        <w:rPr/>
      </w:pPr>
      <w:r w:rsidDel="00000000" w:rsidR="00000000" w:rsidRPr="00000000">
        <w:rPr>
          <w:rtl w:val="0"/>
        </w:rPr>
        <w:t xml:space="preserve">The contrast is stark and raises fundamental questions about disciplinary reception. Our quantitative study yields two particularly surprising results regarding the contrasting influence of Kahneman and Simon. First, the temporal patterns of adoption differ radically. For the historian @heukelomBehavioral2014, a pivotal moment in the history of behavioral economics was the explicit creation of research programs within the Sloan and Russell Sage Foundations between 1984 and 1992, notably fostering the Kahneman–Thaler collaboration that decisively transformed the field’s trajectory. Our analysis, however, suggests that a distinctive dynamic was already underway by the early 1980s in the reception of Kahneman and Tversky’s work. Despite the fact that @kahnemanProspect1979 was the duo’s only publication in an economics journal until 1985—well before the Sloan–Russell Sage programs formally institutionalized behavioral economics—prospect theory experienced rapid and sustained citation growth (@fig-rationality-paper-citations). As early as the 1977–1984 bibliometric network, we identify a cluster structured around their work, indicating that the article not only attracted citations but quickly catalyzed new research strands, in a way Simon’s work never did within economics [@heukelomSense2012].</w:t>
      </w:r>
    </w:p>
    <w:p w:rsidR="00000000" w:rsidDel="00000000" w:rsidP="00000000" w:rsidRDefault="00000000" w:rsidRPr="00000000" w14:paraId="00000064">
      <w:pPr>
        <w:rPr/>
      </w:pPr>
      <w:r w:rsidDel="00000000" w:rsidR="00000000" w:rsidRPr="00000000">
        <w:rPr>
          <w:rtl w:val="0"/>
        </w:rPr>
        <w:t xml:space="preserve">The second surprising finding concerns the relationship between “old” and “new” behavioral economics. Contrary to narratives of rupture or forgetting, citations to @simonBehavioral1955 have never been as high as during the rise of new behavioral economics—a paradoxical pattern given recurrent claims that the field has neglected its intellectual roots. @earlPrinciples2022 criticizes this apparent amnesia:</w:t>
      </w:r>
    </w:p>
    <w:p w:rsidR="00000000" w:rsidDel="00000000" w:rsidP="00000000" w:rsidRDefault="00000000" w:rsidRPr="00000000" w14:paraId="00000065">
      <w:pPr>
        <w:spacing w:before="0" w:lineRule="auto"/>
        <w:ind w:left="0" w:firstLine="0"/>
        <w:rPr/>
      </w:pPr>
      <w:r w:rsidDel="00000000" w:rsidR="00000000" w:rsidRPr="00000000">
        <w:rPr>
          <w:rtl w:val="0"/>
        </w:rPr>
        <w:t xml:space="preserve">&gt; </w:t>
      </w: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and that theory’s use by Thaler (1980). All in all, this is a very curious state of affairs: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[@earlPrinciples2022, 2]</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The rising citations to earlier work by Simon and Allais demonstrate that, while “new” behavioral economists may not consistently acknowledge the contributions of “old” behavioral economics, the rapid expansion and growing scale of the field have nevertheless drawn unprecedented attention to these earlier works, far exceeding the recognition they received at the time of their original publication. This pattern admits at least three interpretations, each carrying distinct implications for how we understand the evolution of economic thought.</w:t>
      </w:r>
    </w:p>
    <w:p w:rsidR="00000000" w:rsidDel="00000000" w:rsidP="00000000" w:rsidRDefault="00000000" w:rsidRPr="00000000" w14:paraId="00000067">
      <w:pPr>
        <w:rPr/>
      </w:pPr>
      <w:r w:rsidDel="00000000" w:rsidR="00000000" w:rsidRPr="00000000">
        <w:rPr>
          <w:rtl w:val="0"/>
        </w:rPr>
        <w:t xml:space="preserve">A favorable interpretation holds that “new” behavioral economics has genuinely revived previously abandoned research directions, moving toward a reconciliation with earlier strands—a trajectory explicitly advocated by @sentRationality2008 and more recently by @earlPrinciples2022. A more critical reading emphasizes intellectual appropriation, whereby classic references are selectively reframed to fit the new agenda, renewing interest but through a biased and presentist lens, as Mongin has argued in the case of Allais [@monginAllais2019]. A third interpretation suggests that rising citation counts reflect a growing backlash against the “new” behavioral program, as defenders of “old” behavioral economics increasingly invoke Simon and others to challenge the heuristics-and-biases framework.</w:t>
      </w:r>
    </w:p>
    <w:p w:rsidR="00000000" w:rsidDel="00000000" w:rsidP="00000000" w:rsidRDefault="00000000" w:rsidRPr="00000000" w14:paraId="00000068">
      <w:pPr>
        <w:rPr/>
      </w:pPr>
      <w:r w:rsidDel="00000000" w:rsidR="00000000" w:rsidRPr="00000000">
        <w:rPr>
          <w:rtl w:val="0"/>
        </w:rPr>
        <w:t xml:space="preserve">Our findings tentatively support the second interpretation. The sparse and weakly structured citation patterns associated with “old” behavioral economics, combined with the fact that contemporary discussions of rationality are increasingly framed through the concepts and tools of “new” behavioral and experimental economics, point toward appropriation rather than genuine integration. Citations may acknowledge earlier work without engaging its distinctive methodological commitments or theoretical ambitions. Simon’s influence thus persists primarily as a symbolic and framing reference, useful for situating debates and reconstructing intellectual lineages, while his substantive framework remains only superficially incorporated. Although a definitive assessment would require closer qualitative analysis of how these citations function in contemporary texts, our study provides a quantitative roadmap for future research on the complex and ambivalent relationship between “old” and “new” behavioral economics.</w:t>
      </w:r>
      <w:r w:rsidDel="00000000" w:rsidR="00000000" w:rsidRPr="00000000">
        <w:rPr>
          <w:rtl w:val="0"/>
        </w:rPr>
      </w:r>
    </w:p>
    <w:p w:rsidR="00000000" w:rsidDel="00000000" w:rsidP="00000000" w:rsidRDefault="00000000" w:rsidRPr="00000000" w14:paraId="00000069">
      <w:pPr>
        <w:pStyle w:val="Heading1"/>
        <w:rPr>
          <w:b w:val="1"/>
          <w:bCs w:val="1"/>
        </w:rPr>
        <w:sectPr>
          <w:headerReference r:id="rId8" w:type="default"/>
          <w:footerReference r:id="rId9"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A">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290,000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broader literature on quantitative text analysis [@montanelliSurvey2024].</w:t>
      </w:r>
    </w:p>
    <w:p w:rsidR="00000000" w:rsidDel="00000000" w:rsidP="00000000" w:rsidRDefault="00000000" w:rsidRPr="00000000" w14:paraId="0000006B">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We want to conclude by drawing several general methodological and historiographic claims from the approaches developed in this article.</w:t>
      </w:r>
    </w:p>
    <w:p w:rsidR="00000000" w:rsidDel="00000000" w:rsidP="00000000" w:rsidRDefault="00000000" w:rsidRPr="00000000" w14:paraId="0000006D">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6E">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6F">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r w:rsidDel="00000000" w:rsidR="00000000" w:rsidRPr="00000000">
        <w:rPr>
          <w:rtl w:val="0"/>
        </w:rPr>
        <w:t xml:space="preserve">We have briefly pointed to some of these patterns above.</w:t>
      </w:r>
      <w:r w:rsidDel="00000000" w:rsidR="00000000" w:rsidRPr="00000000">
        <w:rPr>
          <w:rtl w:val="0"/>
        </w:rPr>
        <w:t xml:space="preserve"> By making available </w:t>
      </w:r>
      <w:commentRangeStart w:id="4"/>
      <w:r w:rsidDel="00000000" w:rsidR="00000000" w:rsidRPr="00000000">
        <w:rPr>
          <w:rtl w:val="0"/>
        </w:rPr>
        <w:t xml:space="preserve">two interactive applications </w:t>
      </w:r>
      <w:commentRangeEnd w:id="4"/>
      <w:r w:rsidDel="00000000" w:rsidR="00000000" w:rsidRPr="00000000">
        <w:commentReference w:id="4"/>
      </w:r>
      <w:r w:rsidDel="00000000" w:rsidR="00000000" w:rsidRPr="00000000">
        <w:rPr>
          <w:rtl w:val="0"/>
        </w:rPr>
        <w:t xml:space="preserve">to explore our results, we hope to encourage readers to pursue their own paths of discovery within the corpus.</w:t>
      </w:r>
    </w:p>
    <w:p w:rsidR="00000000" w:rsidDel="00000000" w:rsidP="00000000" w:rsidRDefault="00000000" w:rsidRPr="00000000" w14:paraId="00000070">
      <w:pPr>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urélien Goutsmedt" w:id="0" w:date="2025-12-19T14:41:23Z">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the link</w:t>
      </w:r>
    </w:p>
  </w:comment>
  <w:comment w:author="Aurélien Goutsmedt" w:id="1" w:date="2025-12-19T14:42:06Z">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if 1 or 2 at the end</w:t>
      </w:r>
    </w:p>
  </w:comment>
  <w:comment w:author="Thomas Delcey" w:id="2" w:date="2025-12-13T01:11:21Z">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Est-ce qu'on garde le label IA dans la version finale ? On a pas vraiment checké à quel point c'était pertinent.</w:t>
      </w:r>
    </w:p>
  </w:comment>
  <w:comment w:author="Aurélien Goutsmedt" w:id="3" w:date="2025-12-13T11:14:16Z">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voir si on a le temps de renommer...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J'aurais bien changé pour les semantic cluster, tout en gardant le numéro.</w:t>
      </w:r>
    </w:p>
  </w:comment>
  <w:comment w:author="Aurélien Goutsmedt" w:id="5" w:date="2025-12-19T15:03:23Z">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or two</w:t>
      </w:r>
    </w:p>
  </w:comment>
  <w:comment w:author="Aurélien Goutsmedt" w:id="4" w:date="2025-12-19T16:53:00Z">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or two?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74">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6">
    <w:p w:rsidR="00000000" w:rsidDel="00000000" w:rsidP="00000000" w:rsidRDefault="00000000" w:rsidRPr="00000000" w14:paraId="0000007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filtering draws on JSTOR’s and Scopus’ own classifications, supplemented by some additional filtering from ourselves. Despite these safeguards, a perfectly clean restriction to research articles was not feasible, and some residual non-article items likely remain.</w:t>
      </w:r>
    </w:p>
  </w:footnote>
  <w:footnote w:id="0">
    <w:p w:rsidR="00000000" w:rsidDel="00000000" w:rsidP="00000000" w:rsidRDefault="00000000" w:rsidRPr="00000000" w14:paraId="00000076">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in order to distinguish them from the “semantic clusters”.</w:t>
      </w:r>
    </w:p>
  </w:footnote>
  <w:footnote w:id="3">
    <w:p w:rsidR="00000000" w:rsidDel="00000000" w:rsidP="00000000" w:rsidRDefault="00000000" w:rsidRPr="00000000" w14:paraId="0000007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5">
    <w:p w:rsidR="00000000" w:rsidDel="00000000" w:rsidP="00000000" w:rsidRDefault="00000000" w:rsidRPr="00000000" w14:paraId="0000007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4">
    <w:p w:rsidR="00000000" w:rsidDel="00000000" w:rsidP="00000000" w:rsidRDefault="00000000" w:rsidRPr="00000000" w14:paraId="0000007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For more detailed information on the collection of data, see the appendix.</w:t>
      </w:r>
    </w:p>
  </w:footnote>
  <w:footnote w:id="7">
    <w:p w:rsidR="00000000" w:rsidDel="00000000" w:rsidP="00000000" w:rsidRDefault="00000000" w:rsidRPr="00000000" w14:paraId="0000007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w:t>
      </w:r>
    </w:p>
  </w:footnote>
  <w:footnote w:id="8">
    <w:p w:rsidR="00000000" w:rsidDel="00000000" w:rsidP="00000000" w:rsidRDefault="00000000" w:rsidRPr="00000000" w14:paraId="0000007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9">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10">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the LLMs, to understand the building of our corpus.</w:t>
      </w:r>
    </w:p>
  </w:footnote>
  <w:footnote w:id="11">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p w:rsidR="00000000" w:rsidDel="00000000" w:rsidP="00000000" w:rsidRDefault="00000000" w:rsidRPr="00000000" w14:paraId="0000007F">
      <w:pPr>
        <w:spacing w:after="0" w:before="0" w:line="240" w:lineRule="auto"/>
        <w:rPr>
          <w:sz w:val="20"/>
          <w:szCs w:val="20"/>
        </w:rPr>
      </w:pPr>
      <w:r w:rsidDel="00000000" w:rsidR="00000000" w:rsidRPr="00000000">
        <w:rPr>
          <w:rtl w:val="0"/>
        </w:rPr>
      </w:r>
    </w:p>
  </w:footnote>
  <w:footnote w:id="13">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Taking the top 1% means that we consider, once excluded as much as we can, bibliographies, headings, etc, that 1 sentence over 100 in economics articles deal with rationality. This threshold is, of course, open to discussion and can easily be adjusted.</w:t>
      </w:r>
    </w:p>
  </w:footnote>
  <w:footnote w:id="14">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don’t use overlapping windows in this case, notably for computational reasons: finding HDSBCAN clusters on a set of tens of thousands of sentences is much more computationally intensive than finding bibliometric communities for at most five thousands of articles.</w:t>
      </w:r>
    </w:p>
  </w:footnote>
  <w:footnote w:id="15">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16">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Modeling choices (for example, the minimum size of clusters in the HDBSCAN algorithm) affect the partition in communities and clusters. Since these outputs are never self-interpreting and always require human qualitative assessment, it is time consuming to conduct robustness checks. </w:t>
      </w:r>
    </w:p>
  </w:footnote>
  <w:footnote w:id="12">
    <w:p w:rsidR="00000000" w:rsidDel="00000000" w:rsidP="00000000" w:rsidRDefault="00000000" w:rsidRPr="00000000" w14:paraId="0000008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 must choose a particular model and its parameters and these choices embed methodological priors about the types of patterns the procedure is likely to reveal. For instance, one crucial parameter in many unsupervised models is the number of categories that will emerge from the algorithm.</w:t>
      </w:r>
    </w:p>
  </w:footnote>
  <w:footnote w:id="18">
    <w:p w:rsidR="00000000" w:rsidDel="00000000" w:rsidP="00000000" w:rsidRDefault="00000000" w:rsidRPr="00000000" w14:paraId="0000008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likely biased toward American journals, notably in the first decades.</w:t>
      </w:r>
    </w:p>
  </w:footnote>
  <w:footnote w:id="17">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all the more so given that the scope of our study is too broad to summarize every pattern revealed by our results. Other scholars could have, at various junctures, pursued different interpretive directions on the basis of the same material. The publication of the </w:t>
      </w:r>
      <w:commentRangeStart w:id="5"/>
      <w:r w:rsidDel="00000000" w:rsidR="00000000" w:rsidRPr="00000000">
        <w:rPr>
          <w:sz w:val="20"/>
          <w:szCs w:val="20"/>
          <w:rtl w:val="0"/>
        </w:rPr>
        <w:t xml:space="preserve">interactive applications</w:t>
      </w:r>
      <w:commentRangeEnd w:id="5"/>
      <w:r w:rsidDel="00000000" w:rsidR="00000000" w:rsidRPr="00000000">
        <w:commentReference w:id="5"/>
      </w:r>
      <w:r w:rsidDel="00000000" w:rsidR="00000000" w:rsidRPr="00000000">
        <w:rPr>
          <w:sz w:val="20"/>
          <w:szCs w:val="20"/>
          <w:rtl w:val="0"/>
        </w:rPr>
        <w:t xml:space="preserve"> we used to explore the results thus serves as an exercise in transparency and—in addition to being, we hope, useful for historians of economic thought more generally—allows readers to assess the robustness and limits of our narrative.</w:t>
      </w:r>
    </w:p>
  </w:footnote>
  <w:footnote w:id="19">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 [@mitchellRationality1910, 97; see semantic cluster 9 and 4] already pushed forward similar claims, regretting that “few economists have regarded the study of psychology as a necessary part of the equipment of their work”, often relying on “tacit preconceptions” rather than to seek to “psychologists to gain a knowledge of the mind and its modes of operation”.</w:t>
      </w:r>
    </w:p>
  </w:footnote>
  <w:footnote w:id="21">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semantic cluster 14 on utility, which ended in the 1960s, with a focus on welfare economics.</w:t>
      </w:r>
    </w:p>
  </w:footnote>
  <w:footnote w:id="22">
    <w:p w:rsidR="00000000" w:rsidDel="00000000" w:rsidP="00000000" w:rsidRDefault="00000000" w:rsidRPr="00000000" w14:paraId="00000089">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of our methods.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20">
    <w:p w:rsidR="00000000" w:rsidDel="00000000" w:rsidP="00000000" w:rsidRDefault="00000000" w:rsidRPr="00000000" w14:paraId="0000008A">
      <w:pPr>
        <w:spacing w:after="0" w:before="0"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sz w:val="20"/>
          <w:szCs w:val="20"/>
          <w:rtl w:val="0"/>
        </w:rPr>
        <w:t xml:space="preserve">herfeldTheories2018]</w:t>
      </w:r>
      <w:r w:rsidDel="00000000" w:rsidR="00000000" w:rsidRPr="00000000">
        <w:rPr>
          <w:sz w:val="20"/>
          <w:szCs w:val="20"/>
          <w:rtl w:val="0"/>
        </w:rPr>
        <w:t xml:space="preserve">.</w:t>
      </w:r>
      <w:r w:rsidDel="00000000" w:rsidR="00000000" w:rsidRPr="00000000">
        <w:rPr>
          <w:rtl w:val="0"/>
        </w:rPr>
      </w:r>
    </w:p>
  </w:footnote>
  <w:footnote w:id="2">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here: LINK</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