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articles employing quantitative methods has increased [see e.g., @goutsmedtQuantitative2023].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based on pre-defined categories,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in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economic contributions,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1"/>
      </w:r>
      <w:r w:rsidDel="00000000" w:rsidR="00000000" w:rsidRPr="00000000">
        <w:rPr>
          <w:rtl w:val="0"/>
        </w:rPr>
        <w:t xml:space="preserve"> </w:t>
      </w:r>
      <w:r w:rsidDel="00000000" w:rsidR="00000000" w:rsidRPr="00000000">
        <w:rPr>
          <w:rtl w:val="0"/>
        </w:rPr>
        <w:t xml:space="preserve">Combining both allows us to illustrate concretely the use of two popular sets of data for the history of economics. This combination is also justified by what we regard as a crucial principle of quantitative analysis in the history of economics and other disciplines: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as well as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2"/>
      </w:r>
      <w:r w:rsidDel="00000000" w:rsidR="00000000" w:rsidRPr="00000000">
        <w:rPr>
          <w:rtl w:val="0"/>
        </w:rPr>
        <w:t xml:space="preserve"> We use a corpus of 259,165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w:t>
      </w:r>
      <w:r w:rsidDel="00000000" w:rsidR="00000000" w:rsidRPr="00000000">
        <w:rPr>
          <w:i w:val="1"/>
          <w:iCs w:val="1"/>
          <w:rtl w:val="0"/>
        </w:rPr>
        <w:t xml:space="preserve">(a)</w:t>
      </w:r>
      <w:r w:rsidDel="00000000" w:rsidR="00000000" w:rsidRPr="00000000">
        <w:rPr>
          <w:rtl w:val="0"/>
        </w:rPr>
        <w:t xml:space="preserve"> the crucial issue of selecting sources and building data; </w:t>
      </w:r>
      <w:r w:rsidDel="00000000" w:rsidR="00000000" w:rsidRPr="00000000">
        <w:rPr>
          <w:i w:val="1"/>
          <w:iCs w:val="1"/>
          <w:rtl w:val="0"/>
        </w:rPr>
        <w:t xml:space="preserve">(b)</w:t>
      </w:r>
      <w:r w:rsidDel="00000000" w:rsidR="00000000" w:rsidRPr="00000000">
        <w:rPr>
          <w:rtl w:val="0"/>
        </w:rPr>
        <w:t xml:space="preserve"> how even simple quantitative assessments can be informative; </w:t>
      </w:r>
      <w:r w:rsidDel="00000000" w:rsidR="00000000" w:rsidRPr="00000000">
        <w:rPr>
          <w:i w:val="1"/>
          <w:iCs w:val="1"/>
          <w:rtl w:val="0"/>
        </w:rPr>
        <w:t xml:space="preserve">(c)</w:t>
      </w:r>
      <w:r w:rsidDel="00000000" w:rsidR="00000000" w:rsidRPr="00000000">
        <w:rPr>
          <w:rtl w:val="0"/>
        </w:rPr>
        <w:t xml:space="preserve"> the challenges and subjective choices involved in building and adapting tools; and </w:t>
      </w:r>
      <w:r w:rsidDel="00000000" w:rsidR="00000000" w:rsidRPr="00000000">
        <w:rPr>
          <w:i w:val="1"/>
          <w:iCs w:val="1"/>
          <w:rtl w:val="0"/>
        </w:rPr>
        <w:t xml:space="preserve">(d)</w:t>
      </w:r>
      <w:r w:rsidDel="00000000" w:rsidR="00000000" w:rsidRPr="00000000">
        <w:rPr>
          <w:rtl w:val="0"/>
        </w:rPr>
        <w:t xml:space="preserve">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3"/>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4"/>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that is subject to copyright.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materials, such as those included in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[@goutsmedtIndependent2023]—a few thousand documents—required combining three heterogeneous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a reliable and consistent coverage for our period </w:t>
      </w:r>
      <w:r w:rsidDel="00000000" w:rsidR="00000000" w:rsidRPr="00000000">
        <w:rPr>
          <w:rtl w:val="0"/>
        </w:rPr>
        <w:t xml:space="preserve">[@culbertReference2025;@martin-martinGoogleScholarMicrosoft2021] </w:t>
      </w:r>
      <w:r w:rsidDel="00000000" w:rsidR="00000000" w:rsidRPr="00000000">
        <w:rPr>
          <w:rtl w:val="0"/>
        </w:rPr>
        <w:t xml:space="preserve">and has been widely used in the history of economics</w:t>
      </w:r>
      <w:r w:rsidDel="00000000" w:rsidR="00000000" w:rsidRPr="00000000">
        <w:rPr>
          <w:rtl w:val="0"/>
        </w:rPr>
        <w:t xml:space="preserve"> [@claveauMacrodynamics2016]</w:t>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relatively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from  Elsevier, when available.</w:t>
      </w:r>
      <w:r w:rsidDel="00000000" w:rsidR="00000000" w:rsidRPr="00000000">
        <w:rPr>
          <w:vertAlign w:val="superscript"/>
        </w:rPr>
        <w:footnoteReference w:customMarkFollows="0" w:id="5"/>
      </w:r>
      <w:r w:rsidDel="00000000" w:rsidR="00000000" w:rsidRPr="00000000">
        <w:rPr>
          <w:rtl w:val="0"/>
        </w:rPr>
        <w:t xml:space="preserve"> </w:t>
      </w:r>
      <w:r w:rsidDel="00000000" w:rsidR="00000000" w:rsidRPr="00000000">
        <w:rPr>
          <w:rtl w:val="0"/>
        </w:rPr>
        <w:t xml:space="preserve">Third, remaining full texts were obtained from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6"/>
      </w:r>
      <w:r w:rsidDel="00000000" w:rsidR="00000000" w:rsidRPr="00000000">
        <w:rPr>
          <w:rtl w:val="0"/>
        </w:rPr>
        <w:t xml:space="preserve"> We obtain a raw corpus of 812,191 documents, written in different languages and of heterogeneous types (research articles, book reviews, etc.), which will subsequently be filtered. </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raw 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raw 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noisy 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requires engaging with some of the material available at hand.</w:t>
      </w:r>
      <w:r w:rsidDel="00000000" w:rsidR="00000000" w:rsidRPr="00000000">
        <w:rPr>
          <w:vertAlign w:val="superscript"/>
        </w:rPr>
        <w:footnoteReference w:customMarkFollows="0" w:id="8"/>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9"/>
      </w:r>
      <w:r w:rsidDel="00000000" w:rsidR="00000000" w:rsidRPr="00000000">
        <w:rPr>
          <w:rtl w:val="0"/>
        </w:rPr>
        <w:t xml:space="preserve"> We also restrict our analysis to research articles and filter out book reviews, comments, editorial reports or obituaries.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already engaging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25%  of the full-text documents after 1960 could not be matched to WoS records, which prevents us from analyzing their citation data.</w:t>
      </w:r>
      <w:r w:rsidDel="00000000" w:rsidR="00000000" w:rsidRPr="00000000">
        <w:rPr>
          <w:vertAlign w:val="superscript"/>
        </w:rPr>
        <w:footnoteReference w:customMarkFollows="0" w:id="10"/>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This selection can be made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delineate economics as an object of study. Some research objects are relatively easier to delineate, and the transition from a database to a well-defined corpus is therefore straightforward. For example, writing the history of a particular journal [@charlesRevue2025;@edwardsFifty2020], or of one or several individuals [@andradaUnderstanding2017; @trucDisciplinary2025] entails comparatively fewer definitional or boundary challenges. While some large-scale studies focus on the discipline as a whole [@ambrosinoWhat2018;@bacciniExploring2025;@claveauMacrodynamics2016],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 or “research specialty” [@lyutovMachine2021;@morrisMapping2008]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an act must be  assessed instrumentally, not as a definitive delineation, but as an operational hypothesis tailored to a specific research question or even an act of “drawing impossible boundaries” </w:t>
      </w:r>
      <w:r w:rsidDel="00000000" w:rsidR="00000000" w:rsidRPr="00000000">
        <w:rPr>
          <w:rtl w:val="0"/>
        </w:rPr>
        <w:t xml:space="preserve">[@lietzDrawing2020; @zittBibliometric2019]</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the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economics</w:t>
      </w:r>
      <w:r w:rsidDel="00000000" w:rsidR="00000000" w:rsidRPr="00000000">
        <w:rPr>
          <w:rtl w:val="0"/>
        </w:rPr>
        <w:t xml:space="preserve"> documents by building the corpus from a list of </w:t>
      </w:r>
      <w:r w:rsidDel="00000000" w:rsidR="00000000" w:rsidRPr="00000000">
        <w:rPr>
          <w:i w:val="1"/>
          <w:iCs w:val="1"/>
          <w:rtl w:val="0"/>
        </w:rPr>
        <w:t xml:space="preserve">peer-reviewed</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1"/>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2"/>
      </w:r>
      <w:r w:rsidDel="00000000" w:rsidR="00000000" w:rsidRPr="00000000">
        <w:rPr>
          <w:rtl w:val="0"/>
        </w:rPr>
        <w:t xml:space="preserve"> </w:t>
      </w:r>
      <w:r w:rsidDel="00000000" w:rsidR="00000000" w:rsidRPr="00000000">
        <w:rPr>
          <w:rtl w:val="0"/>
        </w:rPr>
        <w:t xml:space="preserve">Filtering the raw corpus to retain only English-language research articles from these journals, we obtain 259,165 articles published between 1900 and 2009. These articles constitute what we have called our </w:t>
      </w:r>
      <w:r w:rsidDel="00000000" w:rsidR="00000000" w:rsidRPr="00000000">
        <w:rPr>
          <w:i w:val="1"/>
          <w:iCs w:val="1"/>
          <w:rtl w:val="0"/>
        </w:rPr>
        <w:t xml:space="preserve">meta-corpus</w:t>
      </w:r>
      <w:r w:rsidDel="00000000" w:rsidR="00000000" w:rsidRPr="00000000">
        <w:rPr>
          <w:rtl w:val="0"/>
        </w:rPr>
        <w:t xml:space="preserve">. </w:t>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restrict our corpus to documents engaging with the issue of rationality. One of the most straightforward proxies is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meta-corpus of economic articles.</w:t>
      </w:r>
      <w:r w:rsidDel="00000000" w:rsidR="00000000" w:rsidRPr="00000000">
        <w:rPr>
          <w:vertAlign w:val="superscript"/>
        </w:rPr>
        <w:footnoteReference w:customMarkFollows="0" w:id="13"/>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Such a model represents texts as vectors—called embeddings—that capture their context and meaning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4"/>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 LLM designed specifically to produce sentence embeddings, that is, numerical vectors that represent the meaning of a sentence. </w:t>
      </w:r>
      <w:r w:rsidDel="00000000" w:rsidR="00000000" w:rsidRPr="00000000">
        <w:rPr>
          <w:rtl w:val="0"/>
        </w:rPr>
        <w:t xml:space="preserve">The model is fine-tuned for semantic comparison between sentences</w:t>
      </w:r>
      <w:r w:rsidDel="00000000" w:rsidR="00000000" w:rsidRPr="00000000">
        <w:rPr>
          <w:rtl w:val="0"/>
        </w:rPr>
        <w:t xml:space="preserve">: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words “rationality” and “rational,”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Despite their remarkable potential, LLMs have important limitations for historical analysis. Computing a single representative vector over 110 years raises serious historical issues: these models are trained on vast amounts of text, the majority of which are recent, and therefore reflect a presentist bias in their representation of language.</w:t>
      </w:r>
      <w:r w:rsidDel="00000000" w:rsidR="00000000" w:rsidRPr="00000000">
        <w:rPr>
          <w:vertAlign w:val="superscript"/>
        </w:rPr>
        <w:footnoteReference w:customMarkFollows="0" w:id="15"/>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in the appendix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(11 years) window,</w:t>
      </w:r>
      <w:r w:rsidDel="00000000" w:rsidR="00000000" w:rsidRPr="00000000">
        <w:rPr>
          <w:rtl w:val="0"/>
        </w:rPr>
        <w:t xml:space="preserve"> based on all the sentences containing “rationality” or “rational.”</w:t>
      </w:r>
      <w:r w:rsidDel="00000000" w:rsidR="00000000" w:rsidRPr="00000000">
        <w:rPr>
          <w:vertAlign w:val="superscript"/>
        </w:rPr>
        <w:footnoteReference w:customMarkFollows="0" w:id="16"/>
      </w:r>
      <w:r w:rsidDel="00000000" w:rsidR="00000000" w:rsidRPr="00000000">
        <w:rPr>
          <w:rtl w:val="0"/>
        </w:rPr>
        <w:t xml:space="preserve">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7"/>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w:t>
      </w:r>
      <w:r w:rsidDel="00000000" w:rsidR="00000000" w:rsidRPr="00000000">
        <w:rPr>
          <w:i w:val="1"/>
          <w:iCs w:val="1"/>
          <w:rtl w:val="0"/>
        </w:rPr>
        <w:t xml:space="preserve">representative vectors.</w:t>
      </w:r>
      <w:r w:rsidDel="00000000" w:rsidR="00000000" w:rsidRPr="00000000">
        <w:rPr>
          <w:rtl w:val="0"/>
        </w:rPr>
        <w:t xml:space="preserve">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they are close in the vector space from real sentences. </w:t>
      </w:r>
      <w:r w:rsidDel="00000000" w:rsidR="00000000" w:rsidRPr="00000000">
        <w:rPr>
          <w:rtl w:val="0"/>
        </w:rPr>
        <w:t xml:space="preserve">This method allows for the identification of  discussions on rationality across large corpora at low computational cost. For illustration, @tbl-illustrative_sentences reports the 5 sentences closest to the representative vector, ranked by cosine similarity for the years 1910, 1950, and 2000.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Thus, from our meta-corpus, we </w:t>
      </w:r>
      <w:r w:rsidDel="00000000" w:rsidR="00000000" w:rsidRPr="00000000">
        <w:rPr>
          <w:rtl w:val="0"/>
        </w:rPr>
        <w:t xml:space="preserve">built</w:t>
      </w:r>
      <w:r w:rsidDel="00000000" w:rsidR="00000000" w:rsidRPr="00000000">
        <w:rPr>
          <w:rtl w:val="0"/>
        </w:rPr>
        <w:t xml:space="preserve"> a first sub-corpus, that we call the </w:t>
      </w:r>
      <w:r w:rsidDel="00000000" w:rsidR="00000000" w:rsidRPr="00000000">
        <w:rPr>
          <w:i w:val="1"/>
          <w:iCs w:val="1"/>
          <w:rtl w:val="0"/>
        </w:rPr>
        <w:t xml:space="preserve">sentences-corpus</w:t>
      </w:r>
      <w:r w:rsidDel="00000000" w:rsidR="00000000" w:rsidRPr="00000000">
        <w:rPr>
          <w:rtl w:val="0"/>
        </w:rPr>
        <w:t xml:space="preserve">. F</w:t>
      </w:r>
      <w:r w:rsidDel="00000000" w:rsidR="00000000" w:rsidRPr="00000000">
        <w:rPr>
          <w:rtl w:val="0"/>
        </w:rPr>
        <w:t xml:space="preserve">or each year, we select the 1% of sentences from our meta-corpus whose embeddings are closest to the corresponding representative vector.</w:t>
      </w:r>
      <w:r w:rsidDel="00000000" w:rsidR="00000000" w:rsidRPr="00000000">
        <w:rPr>
          <w:vertAlign w:val="superscript"/>
        </w:rPr>
        <w:footnoteReference w:customMarkFollows="0" w:id="18"/>
      </w:r>
      <w:r w:rsidDel="00000000" w:rsidR="00000000" w:rsidRPr="00000000">
        <w:rPr>
          <w:rtl w:val="0"/>
        </w:rPr>
        <w:t xml:space="preserve"> This sentences-corpus is composed  of 499,157 </w:t>
      </w:r>
      <w:r w:rsidDel="00000000" w:rsidR="00000000" w:rsidRPr="00000000">
        <w:rPr>
          <w:rtl w:val="0"/>
        </w:rPr>
        <w:t xml:space="preserve">sentences that</w:t>
      </w:r>
      <w:r w:rsidDel="00000000" w:rsidR="00000000" w:rsidRPr="00000000">
        <w:rPr>
          <w:rtl w:val="0"/>
        </w:rPr>
        <w:t xml:space="preserve"> will be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on rationality. </w:t>
      </w:r>
    </w:p>
    <w:p w:rsidR="00000000" w:rsidDel="00000000" w:rsidP="00000000" w:rsidRDefault="00000000" w:rsidRPr="00000000" w14:paraId="00000025">
      <w:pPr>
        <w:rPr/>
      </w:pPr>
      <w:r w:rsidDel="00000000" w:rsidR="00000000" w:rsidRPr="00000000">
        <w:rPr>
          <w:rtl w:val="0"/>
        </w:rPr>
        <w:t xml:space="preserve">We built a second corpus, at the document level, that we call the </w:t>
      </w:r>
      <w:r w:rsidDel="00000000" w:rsidR="00000000" w:rsidRPr="00000000">
        <w:rPr>
          <w:i w:val="1"/>
          <w:iCs w:val="1"/>
          <w:rtl w:val="0"/>
        </w:rPr>
        <w:t xml:space="preserve">articles-corpus</w:t>
      </w:r>
      <w:r w:rsidDel="00000000" w:rsidR="00000000" w:rsidRPr="00000000">
        <w:rPr>
          <w:rtl w:val="0"/>
        </w:rPr>
        <w:t xml:space="preserve">. </w:t>
      </w:r>
      <w:r w:rsidDel="00000000" w:rsidR="00000000" w:rsidRPr="00000000">
        <w:rPr>
          <w:rtl w:val="0"/>
        </w:rPr>
        <w:t xml:space="preserve"> We extract from our meta-corpus the </w:t>
      </w:r>
      <w:r w:rsidDel="00000000" w:rsidR="00000000" w:rsidRPr="00000000">
        <w:rPr>
          <w:i w:val="1"/>
          <w:iCs w:val="1"/>
          <w:rtl w:val="0"/>
        </w:rPr>
        <w:t xml:space="preserve">documents </w:t>
      </w:r>
      <w:r w:rsidDel="00000000" w:rsidR="00000000" w:rsidRPr="00000000">
        <w:rPr>
          <w:rtl w:val="0"/>
        </w:rPr>
        <w:t xml:space="preserve">that are closest to the corresponding representative vector. Because </w:t>
      </w:r>
      <w:r w:rsidDel="00000000" w:rsidR="00000000" w:rsidRPr="00000000">
        <w:rPr>
          <w:rtl w:val="0"/>
        </w:rPr>
        <w:t xml:space="preserve">each article consists of a set of sentences (and thus is represented by a set of vectors),  we can also give a vectorial representation to the article by computing the centroid of its sentence vectors. We select the 10% of articles published after 1960 whose centroids are closest to the corresponding representative vector. This articles-corpus, composed of 25,916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9"/>
      </w:r>
      <w:r w:rsidDel="00000000" w:rsidR="00000000" w:rsidRPr="00000000">
        <w:rPr>
          <w:rtl w:val="0"/>
        </w:rPr>
        <w:t xml:space="preserve"> Equivalent to </w:t>
      </w:r>
      <w:r w:rsidDel="00000000" w:rsidR="00000000" w:rsidRPr="00000000">
        <w:rPr>
          <w:rtl w:val="0"/>
        </w:rPr>
        <w:t xml:space="preserve">@tbl-illustrative_sentences but for documents, </w:t>
      </w:r>
      <w:r w:rsidDel="00000000" w:rsidR="00000000" w:rsidRPr="00000000">
        <w:rPr>
          <w:rtl w:val="0"/>
        </w:rPr>
        <w:t xml:space="preserve">@tbl-illustrative_documents displays the five closest documents to the corresponding representative vectors for years 1910, 1950 and 2000.</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@fig-method-schema-general summarises this whole process of building our two corpora from our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2"/>
        <w:ind w:firstLine="720"/>
        <w:rPr/>
      </w:pPr>
      <w:bookmarkStart w:colFirst="0" w:colLast="0" w:name="_57osrl8kii9f" w:id="5"/>
      <w:bookmarkEnd w:id="5"/>
      <w:r w:rsidDel="00000000" w:rsidR="00000000" w:rsidRPr="00000000">
        <w:rPr>
          <w:rtl w:val="0"/>
        </w:rPr>
        <w:t xml:space="preserve">Simple </w:t>
      </w:r>
      <w:r w:rsidDel="00000000" w:rsidR="00000000" w:rsidRPr="00000000">
        <w:rPr>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 or “organization.”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 @tahamtanCore2018 for a literature review on the issue]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[@teixeiradasilvaMatthew2021; @teplitskiyHow2022</w:t>
      </w:r>
      <w:r w:rsidDel="00000000" w:rsidR="00000000" w:rsidRPr="00000000">
        <w:rPr>
          <w:rtl w:val="0"/>
        </w:rPr>
        <w:t xml:space="preserve">; @eikaStarstruck2022].</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 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 the analysis. Likewise, simply counting the words that appear next to “rationality” tells us little about whether these words and expressions are used jointly within the same argument or whether they belong to distinct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20"/>
      </w:r>
      <w:r w:rsidDel="00000000" w:rsidR="00000000" w:rsidRPr="00000000">
        <w:rPr>
          <w:rtl w:val="0"/>
        </w:rPr>
        <w:t xml:space="preserve"> Assigning such categories imposes a form of internal organization on large and otherwise unwieldy bodies of material, enabling an accelerated or “distant reading” </w:t>
      </w:r>
      <w:r w:rsidDel="00000000" w:rsidR="00000000" w:rsidRPr="00000000">
        <w:rPr>
          <w:rtl w:val="0"/>
        </w:rPr>
        <w:t xml:space="preserve">[@morettiDistant2013; @guldiDangerous2023]</w:t>
      </w:r>
      <w:r w:rsidDel="00000000" w:rsidR="00000000" w:rsidRPr="00000000">
        <w:rPr>
          <w:rtl w:val="0"/>
        </w:rPr>
        <w:t xml:space="preserve">.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1"/>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2"/>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@bacciniDoes2025;@claveauMacrodynamics2016; @trucForty2022].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history of economics </w:t>
      </w:r>
      <w:r w:rsidDel="00000000" w:rsidR="00000000" w:rsidRPr="00000000">
        <w:rPr>
          <w:rtl w:val="0"/>
        </w:rPr>
        <w:t xml:space="preserve">[@camilottoNavigating2023;@</w:t>
      </w:r>
      <w:r w:rsidDel="00000000" w:rsidR="00000000" w:rsidRPr="00000000">
        <w:rPr>
          <w:rtl w:val="0"/>
        </w:rPr>
        <w:t xml:space="preserve">claveauMacrodynamics2016</w:t>
      </w:r>
      <w:r w:rsidDel="00000000" w:rsidR="00000000" w:rsidRPr="00000000">
        <w:rPr>
          <w:rtl w:val="0"/>
        </w:rPr>
        <w:t xml:space="preserve">; @goutsmedtIndependent2023]</w:t>
      </w:r>
      <w:r w:rsidDel="00000000" w:rsidR="00000000" w:rsidRPr="00000000">
        <w:rPr>
          <w:rtl w:val="0"/>
        </w:rPr>
        <w:t xml:space="preserve">, </w:t>
      </w:r>
      <w:r w:rsidDel="00000000" w:rsidR="00000000" w:rsidRPr="00000000">
        <w:rPr>
          <w:rtl w:val="0"/>
        </w:rPr>
        <w:t xml:space="preserve">we therefore split our corpus into overlapping eight-year windows,</w:t>
      </w:r>
      <w:r w:rsidDel="00000000" w:rsidR="00000000" w:rsidRPr="00000000">
        <w:rPr>
          <w:vertAlign w:val="superscript"/>
        </w:rPr>
        <w:footnoteReference w:customMarkFollows="0" w:id="23"/>
      </w:r>
      <w:r w:rsidDel="00000000" w:rsidR="00000000" w:rsidRPr="00000000">
        <w:rPr>
          <w:rtl w:val="0"/>
        </w:rPr>
        <w:t xml:space="preserve"> starting in 1960 (1960–1967; 1961–1968; … ; 2002–2009), and built a series of 43 separate networks. </w:t>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4"/>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 in the appendix</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@giulianelliAnalysing2020; @montanelliSurvey2024; @peritiSystematic2024a].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5"/>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6"/>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but reduce large and complex data to a smaller number of coherent groups. In our case, they generate statistical categories—bibliometric communities and semantic clusters—that lack predefined conceptual “labels.” They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This point illustrates again that,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statistical groupings into meaningful historical insights. This is both a weakness and a strength. </w:t>
      </w:r>
      <w:r w:rsidDel="00000000" w:rsidR="00000000" w:rsidRPr="00000000">
        <w:rPr>
          <w:rtl w:val="0"/>
        </w:rPr>
        <w:t xml:space="preserve">On the one hand, the results are not immediately transparent, as it requires intermediate analyses to make an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 key step for the interpretation of our results is thus the process by which we </w:t>
      </w:r>
      <w:r w:rsidDel="00000000" w:rsidR="00000000" w:rsidRPr="00000000">
        <w:rPr>
          <w:i w:val="1"/>
          <w:iCs w:val="1"/>
          <w:rtl w:val="0"/>
        </w:rPr>
        <w:t xml:space="preserve">select</w:t>
      </w:r>
      <w:r w:rsidDel="00000000" w:rsidR="00000000" w:rsidRPr="00000000">
        <w:rPr>
          <w:rtl w:val="0"/>
        </w:rPr>
        <w:t xml:space="preserve"> and </w:t>
      </w:r>
      <w:r w:rsidDel="00000000" w:rsidR="00000000" w:rsidRPr="00000000">
        <w:rPr>
          <w:i w:val="1"/>
          <w:iCs w:val="1"/>
          <w:rtl w:val="0"/>
        </w:rPr>
        <w:t xml:space="preserve">rank </w:t>
      </w:r>
      <w:r w:rsidDel="00000000" w:rsidR="00000000" w:rsidRPr="00000000">
        <w:rPr>
          <w:rtl w:val="0"/>
        </w:rPr>
        <w:t xml:space="preserve">observations (in our case, sentences or documents) that will make sense of clusters. This selection and ranking relies on a series of indicators and a back-and-forth process between them and qualitative analysis. To make this crucial step as transparent and replicable as possible</w:t>
      </w:r>
      <w:r w:rsidDel="00000000" w:rsidR="00000000" w:rsidRPr="00000000">
        <w:rPr>
          <w:rtl w:val="0"/>
        </w:rPr>
        <w:t xml:space="preserve">, we have built an application, where readers can explore all the semantic clusters and bibliometric communities, together with their corresponding indicators.</w:t>
      </w:r>
      <w:r w:rsidDel="00000000" w:rsidR="00000000" w:rsidRPr="00000000">
        <w:rPr>
          <w:vertAlign w:val="superscript"/>
        </w:rPr>
        <w:footnoteReference w:customMarkFollows="0" w:id="27"/>
      </w:r>
      <w:r w:rsidDel="00000000" w:rsidR="00000000" w:rsidRPr="00000000">
        <w:rPr>
          <w:rtl w:val="0"/>
        </w:rPr>
        <w:t xml:space="preserve"> Let us take as an example the semantic cluster we labelled “Rationality and its Limits,” which gathers close to 20,000 sentences from 1920 to 2009.</w:t>
      </w:r>
      <w:r w:rsidDel="00000000" w:rsidR="00000000" w:rsidRPr="00000000">
        <w:rPr>
          <w:vertAlign w:val="superscript"/>
        </w:rPr>
        <w:footnoteReference w:customMarkFollows="0" w:id="28"/>
      </w:r>
      <w:r w:rsidDel="00000000" w:rsidR="00000000" w:rsidRPr="00000000">
        <w:rPr>
          <w:rtl w:val="0"/>
        </w:rPr>
        <w:t xml:space="preserve"> How can we get a sense of what this cluster actually coalesces around? We choose the following indicators: </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b w:val="1"/>
          <w:bCs w:val="1"/>
          <w:rtl w:val="0"/>
        </w:rPr>
        <w:t xml:space="preserve">The TF-IDF. </w:t>
      </w:r>
      <w:r w:rsidDel="00000000" w:rsidR="00000000" w:rsidRPr="00000000">
        <w:rPr>
          <w:rtl w:val="0"/>
        </w:rPr>
        <w:t xml:space="preserve">We</w:t>
      </w:r>
      <w:r w:rsidDel="00000000" w:rsidR="00000000" w:rsidRPr="00000000">
        <w:rPr>
          <w:b w:val="1"/>
          <w:bCs w:val="1"/>
          <w:rtl w:val="0"/>
        </w:rPr>
        <w:t xml:space="preserve"> </w:t>
      </w:r>
      <w:r w:rsidDel="00000000" w:rsidR="00000000" w:rsidRPr="00000000">
        <w:rPr>
          <w:rtl w:val="0"/>
        </w:rPr>
        <w:t xml:space="preserve">identify words specific to the cluster for each decade, based on Term Frequency-Inverse Document Frequency (TF-IDF). For instance, while the first period of the cluster (the 1920s) deals notably with “rationalisation” and “human reason,” the 1950s are more directly focused on “rationalism,” “rationality,” and “rational behavior.” After the 1970s and until 2009, “bounded rationality” </w:t>
      </w:r>
      <w:r w:rsidDel="00000000" w:rsidR="00000000" w:rsidRPr="00000000">
        <w:rPr>
          <w:rtl w:val="0"/>
        </w:rPr>
        <w:t xml:space="preserve">emerges</w:t>
      </w:r>
      <w:r w:rsidDel="00000000" w:rsidR="00000000" w:rsidRPr="00000000">
        <w:rPr>
          <w:rtl w:val="0"/>
        </w:rPr>
        <w:t xml:space="preserve">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b w:val="1"/>
          <w:bCs w:val="1"/>
          <w:rtl w:val="0"/>
        </w:rPr>
        <w:t xml:space="preserve">The closest sentences.</w:t>
      </w:r>
      <w:r w:rsidDel="00000000" w:rsidR="00000000" w:rsidRPr="00000000">
        <w:rPr>
          <w:rtl w:val="0"/>
        </w:rPr>
        <w:t xml:space="preserve"> W</w:t>
      </w:r>
      <w:r w:rsidDel="00000000" w:rsidR="00000000" w:rsidRPr="00000000">
        <w:rPr>
          <w:rtl w:val="0"/>
        </w:rPr>
        <w:t xml:space="preserve">e use two different definitions. First, the sentences within the semantic cluster that are closest to its year-representative vector. Second, the closest sentences from the  cluster’s centroid itself for each period. The first tends to highlight how the concept of rationality is discussed, while the second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b w:val="1"/>
          <w:bCs w:val="1"/>
          <w:rtl w:val="0"/>
        </w:rPr>
        <w:t xml:space="preserve">The closest articles</w:t>
      </w:r>
      <w:r w:rsidDel="00000000" w:rsidR="00000000" w:rsidRPr="00000000">
        <w:rPr>
          <w:rtl w:val="0"/>
        </w:rPr>
        <w:t xml:space="preserve">. We define the closest articles as those containing the highest number of sentences belonging to the cluster within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b w:val="1"/>
          <w:bCs w:val="1"/>
          <w:rtl w:val="0"/>
        </w:rPr>
        <w:t xml:space="preserve">The most cited references.</w:t>
      </w:r>
      <w:r w:rsidDel="00000000" w:rsidR="00000000" w:rsidRPr="00000000">
        <w:rPr>
          <w:rtl w:val="0"/>
        </w:rPr>
        <w:t xml:space="preserve"> From the 1950s onward, we compute the most cited references in the cluster (based on the number of citations per article, whether the article has one or ten sentences in the cluster). For instance,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w:t>
      </w:r>
      <w:r w:rsidDel="00000000" w:rsidR="00000000" w:rsidRPr="00000000">
        <w:rPr>
          <w:rtl w:val="0"/>
        </w:rPr>
        <w:t xml:space="preserve">“Behavioral Economics: Risk &amp; Uncertainty”</w:t>
      </w:r>
      <w:r w:rsidDel="00000000" w:rsidR="00000000" w:rsidRPr="00000000">
        <w:rPr>
          <w:rtl w:val="0"/>
        </w:rPr>
        <w:t xml:space="preserve"> community in the 1981-1988 window, that remains until the last window (2002-2009). As with the semantic clusters, for each bibliometric community in each temporal window we extract equivalent indicators: the most identifying words, the sentences closest to the representative vectors—based on the articles belonging to the community—as well as the most cited references. We also examine the flows of each community in a given window: that is, whether its nodes derive primarily from the same or from different communities in preceding periods (“origins”)  and what they become in the following period (“destinies”).</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 comprehensive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9"/>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that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30"/>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From 1900–1920, the semantic cluster “Methodological Discussions” captures a significant share of sentences that address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1"/>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A second line of criticism held that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These transformations are visible in the intertemporal semantic cluster “Utility Theory”. While it constituted only a tiny share of sentences between 1900 and 1919, and was absent in the 1920s, it gained importance in the 1930s to the 1950s (though still representing less than 5% of all sentences). During this period, the cluster captures the heart of the debate concerning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also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2"/>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 same cluster, terms such as “introspection,” “satisfaction(s),” and “pleasure” recur frequently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disappeared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emerged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the internal evolution of intertemporal semantic clusters</w:t>
      </w:r>
      <w:r w:rsidDel="00000000" w:rsidR="00000000" w:rsidRPr="00000000">
        <w:rPr>
          <w:i w:val="1"/>
          <w:iCs w:val="1"/>
          <w:rtl w:val="0"/>
        </w:rPr>
        <w:t xml:space="preserve">.</w:t>
      </w:r>
      <w:r w:rsidDel="00000000" w:rsidR="00000000" w:rsidRPr="00000000">
        <w:rPr>
          <w:rtl w:val="0"/>
        </w:rPr>
        <w:t xml:space="preserve"> For instance,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3"/>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4"/>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Discussions.”</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5"/>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6"/>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Finance shows a trajectory similar to macroeconomics. Discussions on rationality in the context of finance are captured in the semantic cluster “Capital &amp; Investment Theory.” Until the 1930s, the issue was framed around the concept of capital. For instance, the cluster includes the so-called Hayek-Knight controversy on the conception of capital [@c</w:t>
      </w:r>
      <w:r w:rsidDel="00000000" w:rsidR="00000000" w:rsidRPr="00000000">
        <w:rPr>
          <w:rtl w:val="0"/>
        </w:rPr>
        <w:t xml:space="preserve">ohenHayek2003]. After the 1940s, decision-making under uncertainty became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suggests that rationality in finance enters primarily through corporate finance, rather than through asset pricing, where rationality seems to have  remained an implicit assumption, rarely discussed explicitly prior to the emergence of behavioral finance. </w:t>
      </w:r>
    </w:p>
    <w:p w:rsidR="00000000" w:rsidDel="00000000" w:rsidP="00000000" w:rsidRDefault="00000000" w:rsidRPr="00000000" w14:paraId="00000058">
      <w:pPr>
        <w:rPr/>
      </w:pPr>
      <w:r w:rsidDel="00000000" w:rsidR="00000000" w:rsidRPr="00000000">
        <w:rPr>
          <w:rtl w:val="0"/>
        </w:rPr>
        <w:t xml:space="preserve">However, from the 1980s onward, modern asset pricing became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emerged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began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These results are largely consistent with an established historiography, although this approach could be particularly useful in less studied areas or to assess more </w:t>
      </w:r>
      <w:r w:rsidDel="00000000" w:rsidR="00000000" w:rsidRPr="00000000">
        <w:rPr>
          <w:rtl w:val="0"/>
        </w:rPr>
        <w:t xml:space="preserve">accurately</w:t>
      </w:r>
      <w:r w:rsidDel="00000000" w:rsidR="00000000" w:rsidRPr="00000000">
        <w:rPr>
          <w:rtl w:val="0"/>
        </w:rPr>
        <w:t xml:space="preserve"> the timing of change. Here, it allows us to identify large-scale changes when they become visible in the data—namely, when particular clusters come to represent a significant share of sentences (or of the bibliometric networks). For instance, we observe that the “social” dimension of rationality became prominent already in the 1930s, when the issue of “rationalising” economic processes and policy arose. Still, historians of economic thought are often concerned with uncovering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Why did these two conceptually-related research programs follow such different trajectories and levels of influence in economics?  Both challenged standard assumptions of rationality under the banner of behavioral economics, and both were ultimately recognized with Nobel Prizes, yet their patterns of reception and adoption differed. While our methods cannot identify the comprehensive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The semantic cluster “Rationality &amp; its Limits” undergoes a marked transformation following the rise of Simon’s influence. In the 1950s, the TF-IDF</w:t>
      </w:r>
      <w:r w:rsidDel="00000000" w:rsidR="00000000" w:rsidRPr="00000000">
        <w:rPr>
          <w:b w:val="1"/>
          <w:bCs w:val="1"/>
          <w:rtl w:val="0"/>
        </w:rPr>
        <w:t xml:space="preserve"> </w:t>
      </w:r>
      <w:r w:rsidDel="00000000" w:rsidR="00000000" w:rsidRPr="00000000">
        <w:rPr>
          <w:rtl w:val="0"/>
        </w:rPr>
        <w:t xml:space="preserve">associated with this cluster was centered on terms such as “rational behavior,” “rationalization,” and “irrationality.” By the 1970s, “bounded rationality” had become one of the most prevalent expressions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the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bibliometric communities. While his framework shaped how many economists approached rationality, very few actually developed the research program he initiated. In our bibliometric networks,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communities,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programs had an individual effect on economics structure [see also @sent_behavioral_2004]. After 1969-1976, these different research streams coalesced into a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institutionalist approache</w:t>
      </w:r>
      <w:r w:rsidDel="00000000" w:rsidR="00000000" w:rsidRPr="00000000">
        <w:rPr>
          <w:rtl w:val="0"/>
        </w:rPr>
        <w:t xml:space="preserve">s</w:t>
      </w:r>
      <w:r w:rsidDel="00000000" w:rsidR="00000000" w:rsidRPr="00000000">
        <w:rPr>
          <w:rtl w:val="0"/>
        </w:rPr>
        <w:t xml:space="preserve">) without ever achieving critical mass. While Simon’s influence in economics was conceptually enduring, it remained marginal and  unable to generate coherent, large and stable bibliometric communities.</w:t>
      </w:r>
    </w:p>
    <w:p w:rsidR="00000000" w:rsidDel="00000000" w:rsidP="00000000" w:rsidRDefault="00000000" w:rsidRPr="00000000" w14:paraId="00000062">
      <w:pPr>
        <w:ind w:right="0"/>
        <w:rPr/>
      </w:pPr>
      <w:r w:rsidDel="00000000" w:rsidR="00000000" w:rsidRPr="00000000">
        <w:rPr>
          <w:rtl w:val="0"/>
        </w:rPr>
        <w:t xml:space="preserve">The reception of “New” behavioral economics reveals a contrasted pattern.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many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nearly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Our quantitative study suggests two </w:t>
      </w:r>
      <w:r w:rsidDel="00000000" w:rsidR="00000000" w:rsidRPr="00000000">
        <w:rPr>
          <w:rtl w:val="0"/>
        </w:rPr>
        <w:t xml:space="preserve">points regarding</w:t>
      </w:r>
      <w:r w:rsidDel="00000000" w:rsidR="00000000" w:rsidRPr="00000000">
        <w:rPr>
          <w:rtl w:val="0"/>
        </w:rPr>
        <w:t xml:space="preserve">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w:t>
      </w:r>
      <w:r w:rsidDel="00000000" w:rsidR="00000000" w:rsidRPr="00000000">
        <w:rPr>
          <w:vertAlign w:val="superscript"/>
        </w:rPr>
        <w:footnoteReference w:customMarkFollows="0" w:id="37"/>
      </w:r>
      <w:r w:rsidDel="00000000" w:rsidR="00000000" w:rsidRPr="00000000">
        <w:rPr>
          <w:rtl w:val="0"/>
        </w:rPr>
        <w:t xml:space="preserve"> Moreover, </w:t>
      </w:r>
      <w:r w:rsidDel="00000000" w:rsidR="00000000" w:rsidRPr="00000000">
        <w:rPr>
          <w:rtl w:val="0"/>
        </w:rPr>
        <w:t xml:space="preserve">as early as the 1978–1985 bibliometric network, we </w:t>
      </w:r>
      <w:r w:rsidDel="00000000" w:rsidR="00000000" w:rsidRPr="00000000">
        <w:rPr>
          <w:rtl w:val="0"/>
        </w:rPr>
        <w:t xml:space="preserve">identify</w:t>
      </w:r>
      <w:r w:rsidDel="00000000" w:rsidR="00000000" w:rsidRPr="00000000">
        <w:rPr>
          <w:rtl w:val="0"/>
        </w:rPr>
        <w:t xml:space="preserve"> an autonomous cluster structured around their work (cl_391), indicating that the article not only attracted citations but quickly catalyzed new research strands, in a way Simon’s work never did within economics [@heukelom_sense_2012]. Hence, while the institutional structures that came after played an important role in the subsequent reception of the research program as a whole, the reception of Kahneman and Tversky’s seminal paper was already important just after its publication. </w:t>
      </w:r>
    </w:p>
    <w:p w:rsidR="00000000" w:rsidDel="00000000" w:rsidP="00000000" w:rsidRDefault="00000000" w:rsidRPr="00000000" w14:paraId="00000065">
      <w:pPr>
        <w:rPr/>
      </w:pPr>
      <w:r w:rsidDel="00000000" w:rsidR="00000000" w:rsidRPr="00000000">
        <w:rPr>
          <w:rtl w:val="0"/>
        </w:rPr>
        <w:t xml:space="preserve">The second point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surge in citations to earlier works by Simon and Allais reveals a tension: while “new” behavioral economists often overlook the contributions of their predecessors, the field’s rapid expansion has paradoxically amplified attention to these earlier works—far beyond the recognition they received upon publication. This pattern supports three competing interpretations, each with distinct implications for the discipline’s trajectory.</w:t>
      </w:r>
    </w:p>
    <w:p w:rsidR="00000000" w:rsidDel="00000000" w:rsidP="00000000" w:rsidRDefault="00000000" w:rsidRPr="00000000" w14:paraId="00000068">
      <w:pPr>
        <w:rPr/>
      </w:pPr>
      <w:r w:rsidDel="00000000" w:rsidR="00000000" w:rsidRPr="00000000">
        <w:rPr>
          <w:rtl w:val="0"/>
        </w:rPr>
        <w:t xml:space="preserve">First, the trend may reflect a genuine revival of abandoned research directions, suggesting a long-overdue reconciliation between old and new behavioral economics. This aligns with calls by @sentRationality2008 and @earlPrinciples2022 to reintegrate older insights into contemporary frameworks. Second, the citations could signal intellectual appropriation, where classic works are selectively reframed to serve modern agendas. As @monginAllais2019 argues, this risks distorting historical contributions through a presentist lens, prioritizing contemporary relevance over historical fidelity. Third, the surge in citations may instead represent a backlash against the “new” behavioral program, with defenders of earlier traditions invoking Simon and Allais to challenge the hegemony of heuristics-and-biases frameworks [@vranasGigerenzers2000]. Here, citations function less as homage than as rhetorical weapons in an ongoing contest over the field’s direction.</w:t>
      </w:r>
    </w:p>
    <w:p w:rsidR="00000000" w:rsidDel="00000000" w:rsidP="00000000" w:rsidRDefault="00000000" w:rsidRPr="00000000" w14:paraId="00000069">
      <w:pPr>
        <w:rPr/>
      </w:pPr>
      <w:r w:rsidDel="00000000" w:rsidR="00000000" w:rsidRPr="00000000">
        <w:rPr>
          <w:rtl w:val="0"/>
        </w:rPr>
        <w:t xml:space="preserve">A definitive assessment of this dynamic will require both deeper qualitative analysis—such as archival work or interviews to uncover latent influences—and targeted quantitative studies, including finer-grained tracing of “old” behavioral economics’ intellectual footprint. This goes beyond the scope of this article. Yet our findings provide a roadmap for future research, one that highlights the ambivalent relationship between the field’s past and present. The sparse and fragmented citation patterns we observed for “old” behavioral economics suggest appropriation rather than integration. Our bibliometric networks reveal that neither Simon nor researchers associated with his ideas formed stable or influential communities within the broader landscape of “new” behavioral economics. Instead, their ideas appear as isolated echoes, rarely shaping the field’s core structures.</w:t>
      </w:r>
    </w:p>
    <w:p w:rsidR="00000000" w:rsidDel="00000000" w:rsidP="00000000" w:rsidRDefault="00000000" w:rsidRPr="00000000" w14:paraId="0000006A">
      <w:pPr>
        <w:rPr/>
      </w:pPr>
      <w:r w:rsidDel="00000000" w:rsidR="00000000" w:rsidRPr="00000000">
        <w:rPr>
          <w:rtl w:val="0"/>
        </w:rPr>
        <w:t xml:space="preserve">This disconnection becomes even clearer in the last years of our study. Key concepts from “old” behavioral economics are largely absent from the dominant vocabularies of “new” behavioral economists, particularly in clusters “Game Theory” and “Decision Theory.” Where such ideas </w:t>
      </w:r>
      <w:r w:rsidDel="00000000" w:rsidR="00000000" w:rsidRPr="00000000">
        <w:rPr>
          <w:i w:val="1"/>
          <w:iCs w:val="1"/>
          <w:rtl w:val="0"/>
        </w:rPr>
        <w:t xml:space="preserve">do</w:t>
      </w:r>
      <w:r w:rsidDel="00000000" w:rsidR="00000000" w:rsidRPr="00000000">
        <w:rPr>
          <w:rtl w:val="0"/>
        </w:rPr>
        <w:t xml:space="preserve"> appear, they are marginalized—confined to heterodox or institutionalist spaces, such as the 2000–2009 cluster “Rationality and its Limits.” Even the invocation of “old” behavioral economists follows a pattern of selective framing: figures like Simon are coupled with canonical critics of standard rationality (from Adam Smith to Allais) in the bibliometric community “Behavioral Economics: Social Preferences,” (2002-2009) not to engage with their substantive contributions, but to anchor “new” behavioral economics within a longer tradition of dissent. Simon’s legacy thus seems to endure primarily as a symbolic touchstone—a rhetorical device for situating debates and constructing intellectual genealogies—while his analytical framework remains superficially absorbed, if not sidelined.</w:t>
      </w:r>
      <w:r w:rsidDel="00000000" w:rsidR="00000000" w:rsidRPr="00000000">
        <w:rPr>
          <w:rtl w:val="0"/>
        </w:rPr>
      </w:r>
    </w:p>
    <w:p w:rsidR="00000000" w:rsidDel="00000000" w:rsidP="00000000" w:rsidRDefault="00000000" w:rsidRPr="00000000" w14:paraId="0000006B">
      <w:pPr>
        <w:pStyle w:val="Heading1"/>
        <w:rPr>
          <w:b w:val="1"/>
          <w:bCs w:val="1"/>
        </w:rPr>
        <w:sectPr>
          <w:headerReference r:id="rId7" w:type="default"/>
          <w:footerReference r:id="rId8"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C">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260,000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 Third, we also provide a LLM-based measure to select corpora, with a time component (the representative vectors) that goes beyond building a raw set of keywords.</w:t>
      </w:r>
    </w:p>
    <w:p w:rsidR="00000000" w:rsidDel="00000000" w:rsidP="00000000" w:rsidRDefault="00000000" w:rsidRPr="00000000" w14:paraId="0000006D">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We want to conclude by drawing several general methodological and historiographic points from the approaches developed in this article.</w:t>
      </w:r>
    </w:p>
    <w:p w:rsidR="00000000" w:rsidDel="00000000" w:rsidP="00000000" w:rsidRDefault="00000000" w:rsidRPr="00000000" w14:paraId="0000006F">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0">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1">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interactive application</w:t>
      </w:r>
      <w:r w:rsidDel="00000000" w:rsidR="00000000" w:rsidRPr="00000000">
        <w:rPr>
          <w:rtl w:val="0"/>
        </w:rPr>
        <w:t xml:space="preserve"> </w:t>
      </w:r>
      <w:r w:rsidDel="00000000" w:rsidR="00000000" w:rsidRPr="00000000">
        <w:rPr>
          <w:rtl w:val="0"/>
        </w:rPr>
        <w:t xml:space="preserve">to explore our results, we hope to encourage readers to pursue their own paths of discovery within the corpus.</w:t>
      </w:r>
      <w:r w:rsidDel="00000000" w:rsidR="00000000" w:rsidRPr="00000000">
        <w:rPr>
          <w:rtl w:val="0"/>
        </w:rPr>
      </w:r>
    </w:p>
    <w:sectPr>
      <w:type w:val="continuous"/>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1">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4">
    <w:p w:rsidR="00000000" w:rsidDel="00000000" w:rsidP="00000000" w:rsidRDefault="00000000" w:rsidRPr="00000000" w14:paraId="0000007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the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9">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6">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10">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further details on the matching process, see the appendix, particularly, @tbl-wos-match-decade. A failure to match an article in WoS does not necessarily indicate an error in the matching procedure; it may simply reflect the absence of the article in the WoS database. This is notably the case for certain JSTOR-indexed journals—particularly those that are no longer published—which are not covered in WoS.</w:t>
      </w:r>
      <w:r w:rsidDel="00000000" w:rsidR="00000000" w:rsidRPr="00000000">
        <w:rPr>
          <w:rtl w:val="0"/>
        </w:rPr>
      </w:r>
    </w:p>
  </w:footnote>
  <w:footnote w:id="11">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2">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3">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5">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HDBSCAN clusters on a set of tens of thousands of sentences is much more computationally intensive than finding bibliometric communities for at most a few thousand of articles.</w:t>
      </w:r>
    </w:p>
  </w:footnote>
  <w:footnote w:id="26">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20">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30">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9">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1">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seeking “psychologists to gain a knowledge of the mind and its modes of operation.”</w:t>
      </w:r>
    </w:p>
  </w:footnote>
  <w:footnote w:id="35">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6">
    <w:p w:rsidR="00000000" w:rsidDel="00000000" w:rsidP="00000000" w:rsidRDefault="00000000" w:rsidRPr="00000000" w14:paraId="00000084">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3">
    <w:p w:rsidR="00000000" w:rsidDel="00000000" w:rsidP="00000000" w:rsidRDefault="00000000" w:rsidRPr="00000000" w14:paraId="00000085">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3">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can be downloaded here [</w:t>
      </w:r>
      <w:r w:rsidDel="00000000" w:rsidR="00000000" w:rsidRPr="00000000">
        <w:rPr>
          <w:sz w:val="20"/>
          <w:szCs w:val="20"/>
          <w:rtl w:val="0"/>
        </w:rPr>
        <w:t xml:space="preserve">https://www.doi.org/10.5281/zenodo.20558669](https://www.doi.org/10.5281/zenodo.20558669)</w:t>
      </w:r>
      <w:r w:rsidDel="00000000" w:rsidR="00000000" w:rsidRPr="00000000">
        <w:rPr>
          <w:sz w:val="20"/>
          <w:szCs w:val="20"/>
          <w:rtl w:val="0"/>
        </w:rPr>
        <w:t xml:space="preserve">. A public and online version is available at the following URL: [</w:t>
      </w:r>
      <w:r w:rsidDel="00000000" w:rsidR="00000000" w:rsidRPr="00000000">
        <w:rPr>
          <w:sz w:val="20"/>
          <w:szCs w:val="20"/>
          <w:rtl w:val="0"/>
        </w:rPr>
        <w:t xml:space="preserve">https://019adac8-81d4-aa0e-808c-08861c261fd2.share.connect.posit.cloud/](https://019adac8-81d4-aa0e-808c-08861c261fd2.share.connect.posit.cloud/)</w:t>
      </w:r>
      <w:r w:rsidDel="00000000" w:rsidR="00000000" w:rsidRPr="00000000">
        <w:rPr>
          <w:sz w:val="20"/>
          <w:szCs w:val="20"/>
          <w:rtl w:val="0"/>
        </w:rPr>
        <w:t xml:space="preserve">. If the URL is no longer active, a permanent archived version is available via the Zenodo link above. </w:t>
      </w:r>
    </w:p>
  </w:footnote>
  <w:footnote w:id="5">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users have institutional access to the relevant issues.</w:t>
      </w:r>
    </w:p>
  </w:footnote>
  <w:footnote w:id="15">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8">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later classified as “noise” by the HDBSCAN algorithm (more details below). </w:t>
      </w:r>
    </w:p>
  </w:footnote>
  <w:footnote w:id="19">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7">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4">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w:t>
      </w:r>
    </w:p>
  </w:footnote>
  <w:footnote w:id="22">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4">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7">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8">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1">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8">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 We assign manually a label to each intertemporal semantic cluster and bibliometric community after qualitative inspection.</w:t>
      </w:r>
    </w:p>
  </w:footnote>
  <w:footnote w:id="32">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4">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3">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eight-year window for defining bibliometric communities aligns with established practices in the quantitative history of economics [@claveauMacrodynamics2016], where timeframes typically range between 5 and 10 years [@abramoAssessing2011]. Given that economics exhibits longer citation lifespans than the natural sciences [@lariviereLongterm2008; @aistleitnerCitation2019], and considering the multi-decade scope of our study, we opted for a window longer than five years. This choice balances granularity with the need to capture enduring citation patterns, avoiding the coarser resolution of a 10-year window.</w:t>
      </w:r>
    </w:p>
  </w:footnote>
  <w:footnote w:id="16">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rtl w:val="0"/>
        </w:rPr>
        <w:t xml:space="preserve">.</w:t>
      </w:r>
      <w:r w:rsidDel="00000000" w:rsidR="00000000" w:rsidRPr="00000000">
        <w:rPr>
          <w:sz w:val="20"/>
          <w:szCs w:val="20"/>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straightforward to compute the closest vector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27">
    <w:p w:rsidR="00000000" w:rsidDel="00000000" w:rsidP="00000000" w:rsidRDefault="00000000" w:rsidRPr="00000000" w14:paraId="0000009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can be downloaded here [https://www.doi.org/10.5281/zenodo.20558669](https://www.doi.org/10.5281/zenodo.20558669). A public and online version is available at the following URL: [</w:t>
      </w:r>
      <w:r w:rsidDel="00000000" w:rsidR="00000000" w:rsidRPr="00000000">
        <w:rPr>
          <w:sz w:val="20"/>
          <w:szCs w:val="20"/>
          <w:rtl w:val="0"/>
        </w:rPr>
        <w:t xml:space="preserve">https://019adac8-81d4-aa0e-808c-08861c261fd2.share.connect.posit.cloud/](https://019adac8-81d4-aa0e-808c-08861c261fd2.share.connect.posit.cloud/)</w:t>
      </w:r>
      <w:r w:rsidDel="00000000" w:rsidR="00000000" w:rsidRPr="00000000">
        <w:rPr>
          <w:sz w:val="20"/>
          <w:szCs w:val="20"/>
          <w:rtl w:val="0"/>
        </w:rPr>
        <w:t xml:space="preserve">. If the URL is no longer active, a permanent archived version is available via the Zenodo link above. </w:t>
      </w:r>
    </w:p>
    <w:p w:rsidR="00000000" w:rsidDel="00000000" w:rsidP="00000000" w:rsidRDefault="00000000" w:rsidRPr="00000000" w14:paraId="00000098">
      <w:pPr>
        <w:spacing w:after="0" w:before="0" w:line="240" w:lineRule="auto"/>
        <w:rPr>
          <w:sz w:val="20"/>
          <w:szCs w:val="20"/>
        </w:rPr>
      </w:pPr>
      <w:r w:rsidDel="00000000" w:rsidR="00000000" w:rsidRPr="00000000">
        <w:rPr>
          <w:rtl w:val="0"/>
        </w:rPr>
      </w:r>
    </w:p>
  </w:footnote>
  <w:footnote w:id="37">
    <w:p w:rsidR="00000000" w:rsidDel="00000000" w:rsidP="00000000" w:rsidRDefault="00000000" w:rsidRPr="00000000" w14:paraId="0000009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aligns with a general finding in scientometrics that citations in the first two years after publication explain more than half of the variation in cumulative citations [@sternHighRanked2014]</w:t>
      </w:r>
    </w:p>
  </w:footnote>
  <w:footnote w:id="0">
    <w:p w:rsidR="00000000" w:rsidDel="00000000" w:rsidP="00000000" w:rsidRDefault="00000000" w:rsidRPr="00000000" w14:paraId="0000009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 this perspective, our purpose is similar to @claveauSocial2018.</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