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Several essays have adopted a reflexive stance, examining the implications of using quantitative methods in the history of economics [@cherrierQuantitative2018; @edwardsQuantitative2018]. These contributions provided broad discussions on the use of such methods. However, given the virtually unlimited variety of quantitative approaches potentially relevant to historians of economics—and the wide array of research questions they can address—these reflections often remain at an abstract level and offer little practical guidance. As a result, they tend to provide useful broad overviews, but without clearly articulating what quantification entails in practice, and how quantitative methods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century—using this case to illuminate, in practice, what choices quantitative analysis involves.</w:t>
      </w:r>
    </w:p>
    <w:p w:rsidR="00000000" w:rsidDel="00000000" w:rsidP="00000000" w:rsidRDefault="00000000" w:rsidRPr="00000000" w14:paraId="00000004">
      <w:pPr>
        <w:rPr/>
      </w:pPr>
      <w:r w:rsidDel="00000000" w:rsidR="00000000" w:rsidRPr="00000000">
        <w:rPr>
          <w:rtl w:val="0"/>
        </w:rPr>
        <w:t xml:space="preserve">We focus our discussion on unsupervised methods. </w:t>
      </w:r>
      <w:r w:rsidDel="00000000" w:rsidR="00000000" w:rsidRPr="00000000">
        <w:rPr>
          <w:rtl w:val="0"/>
        </w:rPr>
        <w:t xml:space="preserve">Unsupervised methods are machine-learning techniques in which algorithms identify patterns from unlabelled data, as opposed to supervised learning methods 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w:t>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researchers can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draws on two types of data, texts and citations. The analysis of textual corpora offers a direct window into the semantic content of debates, while citation data provides a means of tracing intellectual 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
        <w:t xml:space="preserve">semantic clusters</w:t>
      </w:r>
      <w:r w:rsidDel="00000000" w:rsidR="00000000" w:rsidRPr="00000000">
        <w:rPr>
          <w:rtl w:val="0"/>
        </w:rPr>
        <w:t xml:space="preserve">” and “</w:t>
      </w:r>
      <w:r w:rsidDel="00000000" w:rsidR="00000000" w:rsidRPr="00000000">
        <w:rPr>
          <w:i w:val="1"/>
          <w:iCs w:val="1"/>
          <w:rtl w:val="0"/>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t xml:space="preserve">Combining both allows us to illustrate concretely the use of two popular sets of data for the history of economics. This combination is also justified by what we regard as a crucial principle of quantitative analysis in the history of economics in particular, and more broadly in the history of science: the triangulation of different sources of data and the validation of results through the comparison of findings obtained from distinct methods.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this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w:t>
      </w:r>
      <w:commentRangeStart w:id="0"/>
      <w:r w:rsidDel="00000000" w:rsidR="00000000" w:rsidRPr="00000000">
        <w:rPr>
          <w:rtl w:val="0"/>
        </w:rPr>
        <w:t xml:space="preserve">2</w:t>
      </w:r>
      <w:r w:rsidDel="00000000" w:rsidR="00000000" w:rsidRPr="00000000">
        <w:rPr>
          <w:rtl w:val="0"/>
        </w:rPr>
        <w:t xml:space="preserve">38,764</w:t>
      </w:r>
      <w:r w:rsidDel="00000000" w:rsidR="00000000" w:rsidRPr="00000000">
        <w:rPr>
          <w:rtl w:val="0"/>
        </w:rPr>
        <w:t xml:space="preserve"> </w:t>
      </w:r>
      <w:commentRangeEnd w:id="0"/>
      <w:r w:rsidDel="00000000" w:rsidR="00000000" w:rsidRPr="00000000">
        <w:commentReference w:id="0"/>
      </w:r>
      <w:r w:rsidDel="00000000" w:rsidR="00000000" w:rsidRPr="00000000">
        <w:rPr>
          <w:rtl w:val="0"/>
        </w:rPr>
        <w:t xml:space="preserve">articles </w:t>
      </w:r>
      <w:r w:rsidDel="00000000" w:rsidR="00000000" w:rsidRPr="00000000">
        <w:rPr>
          <w:rtl w:val="0"/>
        </w:rPr>
        <w:t xml:space="preserve">in economics between 1900 and 2009 to show h</w:t>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implementing a method and interpreting its results come last. A great deal of effort goes into collecting, cleaning, and structuring data, much of which remains invisible in published work. Sources rarely arrive as ready-to-use datasets; they must be transformed from somewhat raw materials into usable corpora. </w:t>
      </w:r>
      <w:r w:rsidDel="00000000" w:rsidR="00000000" w:rsidRPr="00000000">
        <w:rPr>
          <w:rtl w:val="0"/>
        </w:rPr>
        <w:t xml:space="preserve">In short, the quantitative historian is often a data wrangler as much as a data analyst.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output—authors, journals, affiliations, </w:t>
      </w:r>
      <w:r w:rsidDel="00000000" w:rsidR="00000000" w:rsidRPr="00000000">
        <w:rPr>
          <w:i w:val="1"/>
          <w:iCs w:val="1"/>
          <w:rtl w:val="0"/>
        </w:rPr>
        <w:t xml:space="preserve">etc</w:t>
      </w:r>
      <w:r w:rsidDel="00000000" w:rsidR="00000000" w:rsidRPr="00000000">
        <w:rPr>
          <w:rtl w:val="0"/>
        </w:rPr>
        <w:t xml:space="preserve">. Some of these databases, such as those provided by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references and mapping scholarly contributions over time. </w:t>
      </w:r>
    </w:p>
    <w:p w:rsidR="00000000" w:rsidDel="00000000" w:rsidP="00000000" w:rsidRDefault="00000000" w:rsidRPr="00000000" w14:paraId="0000000D">
      <w:pPr>
        <w:rPr/>
      </w:pPr>
      <w:r w:rsidDel="00000000" w:rsidR="00000000" w:rsidRPr="00000000">
        <w:rPr>
          <w:rtl w:val="0"/>
        </w:rPr>
        <w:t xml:space="preserve">Regarding data availability, 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five” economics journals before the 1990s and, while being openaccess, OpenAlex has been less curated than the products of for-profit publishers. Whatever the provider, less central or now-defunct journals are more likely to have incomplete or discontinuous digital coverage, impeding their inclusion for historical analyses. Additionally, as these databases are oriented toward English-speaking contributions, they may be inadequate for a research project targeting other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although they provide useful metadata and citation information, these databases generally lack full text, which is subject to copyright and therefore, a large and representative corpus of economics articles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quality of information that can be reliably encoded remains limited. </w:t>
      </w:r>
      <w:r w:rsidDel="00000000" w:rsidR="00000000" w:rsidRPr="00000000">
        <w:rPr>
          <w:rtl w:val="0"/>
        </w:rPr>
        <w:t xml:space="preserve">Citation data are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by providers and difficult to encode properly.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 short,</w:t>
      </w:r>
      <w:r w:rsidDel="00000000" w:rsidR="00000000" w:rsidRPr="00000000">
        <w:rPr>
          <w:rtl w:val="0"/>
        </w:rPr>
        <w:t xml:space="preserve"> the availability and quality of data </w:t>
      </w:r>
      <w:r w:rsidDel="00000000" w:rsidR="00000000" w:rsidRPr="00000000">
        <w:rPr>
          <w:rtl w:val="0"/>
        </w:rPr>
        <w:t xml:space="preserve">determine</w:t>
      </w:r>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Scholars are not condemned to rely on existing databases and may build handmade textual and citation datasets from scratch. However,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incomplete coverage of the EER in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a reliable and consistent coverage for our period and has been widely used in the history of economics</w:t>
      </w:r>
      <w:r w:rsidDel="00000000" w:rsidR="00000000" w:rsidRPr="00000000">
        <w:rPr>
          <w:rtl w:val="0"/>
        </w:rPr>
        <w:t xml:space="preserve"> [@culbertReference2025;@martin-martinGoogleScholarMicrosoft2021;@claveauMacrodynamics2016]</w:t>
      </w:r>
      <w:r w:rsidDel="00000000" w:rsidR="00000000" w:rsidRPr="00000000">
        <w:rPr>
          <w:rtl w:val="0"/>
        </w:rPr>
        <w:t xml:space="preserve">.</w:t>
      </w:r>
      <w:r w:rsidDel="00000000" w:rsidR="00000000" w:rsidRPr="00000000">
        <w:rPr>
          <w:rtl w:val="0"/>
        </w:rPr>
        <w:t xml:space="preserve"> As for full text, we relied on three providers. First, JSTOR’s full-text collection offers good-quality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from  Elsevier, when available.</w:t>
      </w:r>
      <w:r w:rsidDel="00000000" w:rsidR="00000000" w:rsidRPr="00000000">
        <w:rPr>
          <w:vertAlign w:val="superscript"/>
        </w:rPr>
        <w:footnoteReference w:customMarkFollows="0" w:id="4"/>
      </w:r>
      <w:r w:rsidDel="00000000" w:rsidR="00000000" w:rsidRPr="00000000">
        <w:rPr>
          <w:rtl w:val="0"/>
        </w:rPr>
        <w:t xml:space="preserve"> </w:t>
      </w:r>
      <w:r w:rsidDel="00000000" w:rsidR="00000000" w:rsidRPr="00000000">
        <w:rPr>
          <w:rtl w:val="0"/>
        </w:rPr>
        <w:t xml:space="preserve">Third, remaining full texts were obtained from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5"/>
      </w:r>
      <w:r w:rsidDel="00000000" w:rsidR="00000000" w:rsidRPr="00000000">
        <w:rPr>
          <w:rtl w:val="0"/>
        </w:rPr>
        <w:t xml:space="preserve"> We obtain a first corpus, that we call </w:t>
      </w:r>
      <w:r w:rsidDel="00000000" w:rsidR="00000000" w:rsidRPr="00000000">
        <w:rPr>
          <w:i w:val="1"/>
          <w:iCs w:val="1"/>
          <w:rtl w:val="0"/>
        </w:rPr>
        <w:t xml:space="preserve">meta-corpus,</w:t>
      </w:r>
      <w:r w:rsidDel="00000000" w:rsidR="00000000" w:rsidRPr="00000000">
        <w:rPr>
          <w:rtl w:val="0"/>
        </w:rPr>
        <w:t xml:space="preserve"> of </w:t>
      </w:r>
      <w:commentRangeStart w:id="1"/>
      <w:r w:rsidDel="00000000" w:rsidR="00000000" w:rsidRPr="00000000">
        <w:rPr>
          <w:rtl w:val="0"/>
        </w:rPr>
        <w:t xml:space="preserve">2</w:t>
      </w:r>
      <w:r w:rsidDel="00000000" w:rsidR="00000000" w:rsidRPr="00000000">
        <w:rPr>
          <w:rtl w:val="0"/>
        </w:rPr>
        <w:t xml:space="preserve">38,764</w:t>
      </w:r>
      <w:r w:rsidDel="00000000" w:rsidR="00000000" w:rsidRPr="00000000">
        <w:rPr>
          <w:rtl w:val="0"/>
        </w:rPr>
        <w:t xml:space="preserve"> </w:t>
      </w:r>
      <w:commentRangeEnd w:id="1"/>
      <w:r w:rsidDel="00000000" w:rsidR="00000000" w:rsidRPr="00000000">
        <w:commentReference w:id="1"/>
      </w:r>
      <w:r w:rsidDel="00000000" w:rsidR="00000000" w:rsidRPr="00000000">
        <w:rPr>
          <w:rtl w:val="0"/>
        </w:rPr>
        <w:t xml:space="preserve">economics articles that will be later filtered to focus on “rationality”.</w:t>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meta-corpus across the years and languages. Our corpus disproportionately represents Anglo-Saxon journals, which happen to be the most systematically digitized and preserved. This skew is problematic on two fronts. </w:t>
      </w:r>
      <w:r w:rsidDel="00000000" w:rsidR="00000000" w:rsidRPr="00000000">
        <w:rPr>
          <w:rtl w:val="0"/>
        </w:rPr>
        <w:t xml:space="preserve">First, it risks marginalizing research traditions poorly represented in English-language articles. Second, it introduces a form of presentism: the retrospective accessibility of these journals’ data today should not be conflated with their historical centrality, nor should it imply that journal articles constituted the dominant medium for the circulation of scholarly ideas.</w:t>
      </w:r>
      <w:r w:rsidDel="00000000" w:rsidR="00000000" w:rsidRPr="00000000">
        <w:rPr>
          <w:rtl w:val="0"/>
        </w:rPr>
        <w:t xml:space="preserve"> Their prominence within the meta-corpus reflects less their past influence than their greater capacity, through resources and institutional support, to maintain comprehensive digital archives.</w:t>
      </w:r>
      <w:r w:rsidDel="00000000" w:rsidR="00000000" w:rsidRPr="00000000">
        <w:rPr>
          <w:rtl w:val="0"/>
        </w:rPr>
        <w:t xml:space="preserve"> Conversely, the materials missing “are unlikely to be missing at random” [@stoltzMapping2024, 11].</w:t>
      </w:r>
      <w:r w:rsidDel="00000000" w:rsidR="00000000" w:rsidRPr="00000000">
        <w:rPr>
          <w:vertAlign w:val="superscript"/>
        </w:rPr>
        <w:footnoteReference w:customMarkFollows="0" w:id="6"/>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w:t>
      </w:r>
      <w:r w:rsidDel="00000000" w:rsidR="00000000" w:rsidRPr="00000000">
        <w:rPr>
          <w:rtl w:val="0"/>
        </w:rPr>
        <w:t xml:space="preserve">This challenge is particularly true in the history of science and ideas, and more specifically in the history of economics, where the primary sources often are the texts themselves. These texts contain layers of noisy content, such as section headings, footnotes, or bibliographic references.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w:t>
      </w:r>
      <w:r w:rsidDel="00000000" w:rsidR="00000000" w:rsidRPr="00000000">
        <w:rPr>
          <w:rtl w:val="0"/>
        </w:rPr>
        <w:t xml:space="preserve"> </w:t>
      </w:r>
      <w:r w:rsidDel="00000000" w:rsidR="00000000" w:rsidRPr="00000000">
        <w:rPr>
          <w:rtl w:val="0"/>
        </w:rPr>
        <w:t xml:space="preserve">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w:t>
      </w:r>
      <w:r w:rsidDel="00000000" w:rsidR="00000000" w:rsidRPr="00000000">
        <w:rPr>
          <w:vertAlign w:val="superscript"/>
        </w:rPr>
        <w:footnoteReference w:customMarkFollows="0" w:id="7"/>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In light of this article’s purpose, we operated a series of choices in extracting textual data from the full-text materials provided by JSTOR, Elsevier, and ISTEX. 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8"/>
      </w:r>
      <w:r w:rsidDel="00000000" w:rsidR="00000000" w:rsidRPr="00000000">
        <w:rPr>
          <w:rtl w:val="0"/>
        </w:rPr>
        <w:t xml:space="preserve"> We also restrain our analysis to research articles and filter out book reviews, comments, editorial reports or obituaries.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p>
    <w:p w:rsidR="00000000" w:rsidDel="00000000" w:rsidP="00000000" w:rsidRDefault="00000000" w:rsidRPr="00000000" w14:paraId="00000015">
      <w:pPr>
        <w:rPr/>
      </w:pPr>
      <w:r w:rsidDel="00000000" w:rsidR="00000000" w:rsidRPr="00000000">
        <w:rPr>
          <w:rtl w:val="0"/>
        </w:rPr>
        <w:t xml:space="preserve">To illustrate how corpus delineation and cleaning constitute an iterative process, it was only after an initial round of exploratory analysis that we noticed the absence of important economics journals for our purpose in JSTOR. While preliminary results clearly indicated that the rise of behavioral economics had impacted how economists discussed rationality, our domain expertise suggested that certain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precisely where they should have figured prominently.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both collected materials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 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w:t>
      </w:r>
      <w:r w:rsidDel="00000000" w:rsidR="00000000" w:rsidRPr="00000000">
        <w:rPr>
          <w:rtl w:val="0"/>
        </w:rPr>
        <w:t xml:space="preserve">In our case, approximately 25%  of the full-text documents after 1960 could not be matched to WoS records, which prevents us from analyzing their citation data.</w:t>
      </w:r>
      <w:r w:rsidDel="00000000" w:rsidR="00000000" w:rsidRPr="00000000">
        <w:rPr>
          <w:vertAlign w:val="superscript"/>
        </w:rPr>
        <w:footnoteReference w:customMarkFollows="0" w:id="9"/>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 {#sec-data_corpus}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This selection can be made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we had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@andradaUnderstanding2017; @fontanaFragmentation2023] entails comparatively definitional or boundary challenges. While some large-scale studies focus on the discipline as a whole [@claveauMacrodynamics2016; @ambrosinoWhat2018; @bacciniExploring2025], such work still requires an operational definition of what are documents in “economics.” </w:t>
      </w:r>
      <w:r w:rsidDel="00000000" w:rsidR="00000000" w:rsidRPr="00000000">
        <w:rPr>
          <w:rtl w:val="0"/>
        </w:rPr>
        <w:t xml:space="preserve">This definitional issue becomes even more pronounced when the object of study is a specific “field” or “research specialty” [@morrisMapping2008; @lyutovMachine2021]</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approaches often address large objects by focusing on clearly identifiable cases or canonical contributions, allowing the scope of inquiry to remain flexible and progressively defined.</w:t>
      </w:r>
      <w:r w:rsidDel="00000000" w:rsidR="00000000" w:rsidRPr="00000000">
        <w:rPr>
          <w:rtl w:val="0"/>
        </w:rPr>
        <w:t xml:space="preserve"> </w:t>
      </w:r>
      <w:r w:rsidDel="00000000" w:rsidR="00000000" w:rsidRPr="00000000">
        <w:rPr>
          <w:rtl w:val="0"/>
        </w:rPr>
        <w:t xml:space="preserve">For instance, a historical inquiry on rational expectations may take </w:t>
      </w:r>
      <w:r w:rsidDel="00000000" w:rsidR="00000000" w:rsidRPr="00000000">
        <w:rPr>
          <w:rtl w:val="0"/>
        </w:rPr>
        <w:t xml:space="preserve">@muthRational1961 as a starting point, or focus on the reactions to Lucas’ [-@lucasExpectations1972] model. </w:t>
      </w:r>
      <w:r w:rsidDel="00000000" w:rsidR="00000000" w:rsidRPr="00000000">
        <w:rPr>
          <w:rtl w:val="0"/>
        </w:rPr>
        <w:t xml:space="preserve">Quantitative approaches, by contrast,  require the explicit delineation of a corpus from the outset, which entails making operational choices about inclusion criteria. How should a corpus on rational expectations be constructed? Which journals should be included? Should one restrict attention to articles explicitly mentioning “rational expectations,” or also consider related formulations such as “model-consistent expectations”? </w:t>
      </w:r>
      <w:r w:rsidDel="00000000" w:rsidR="00000000" w:rsidRPr="00000000">
        <w:rPr>
          <w:rtl w:val="0"/>
        </w:rPr>
        <w:t xml:space="preserve">Defining the relevant historical materials therefore involves adopting explicit conventions to approximate the object under study [@desrosieresPolitics2011]. The act of delimiting a corpus is a convention and such act must be  assessed instrumentally, not as a definitive delineation, but as an operational hypothesis tailored to a specific research question or even an act of “drawing impossible boundaries” </w:t>
      </w:r>
      <w:r w:rsidDel="00000000" w:rsidR="00000000" w:rsidRPr="00000000">
        <w:rPr>
          <w:rtl w:val="0"/>
        </w:rPr>
        <w:t xml:space="preserve">[@lietzDrawing2020; @zittBibliometric2019]</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w:t>
      </w:r>
      <w:r w:rsidDel="00000000" w:rsidR="00000000" w:rsidRPr="00000000">
        <w:rPr>
          <w:rtl w:val="0"/>
        </w:rPr>
        <w:t xml:space="preserve">For instance, [@</w:t>
      </w:r>
      <w:r w:rsidDel="00000000" w:rsidR="00000000" w:rsidRPr="00000000">
        <w:rPr>
          <w:rtl w:val="0"/>
        </w:rPr>
        <w:t xml:space="preserve">fontanaFragmentation2023] restrict their economics corpus to allegedly most influential economics journals, the “Blue Ribbon Eight”; </w:t>
      </w:r>
      <w:r w:rsidDel="00000000" w:rsidR="00000000" w:rsidRPr="00000000">
        <w:rPr>
          <w:rtl w:val="0"/>
        </w:rPr>
        <w:t xml:space="preserve">[@goutsmedtIndependent2023] used the JEL codes to select macroeconomic documents;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r w:rsidDel="00000000" w:rsidR="00000000" w:rsidRPr="00000000">
        <w:rPr>
          <w:rtl w:val="0"/>
        </w:rPr>
        <w:t xml:space="preserve"> However, such approximations have implications for the object under study. Both JEL codes and journal classifications—like JSTOR or Scopus classifications—structure a corpus in ways that reflect their own histories, and researchers must consider how these classifications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define </w:t>
      </w:r>
      <w:r w:rsidDel="00000000" w:rsidR="00000000" w:rsidRPr="00000000">
        <w:rPr>
          <w:i w:val="1"/>
          <w:iCs w:val="1"/>
          <w:rtl w:val="0"/>
        </w:rPr>
        <w:t xml:space="preserve">economic</w:t>
      </w:r>
      <w:r w:rsidDel="00000000" w:rsidR="00000000" w:rsidRPr="00000000">
        <w:rPr>
          <w:rtl w:val="0"/>
        </w:rPr>
        <w:t xml:space="preserve"> documents by building the corpus from </w:t>
      </w:r>
      <w:r w:rsidDel="00000000" w:rsidR="00000000" w:rsidRPr="00000000">
        <w:rPr>
          <w:i w:val="1"/>
          <w:iCs w:val="1"/>
          <w:rtl w:val="0"/>
        </w:rPr>
        <w:t xml:space="preserve">peer-review</w:t>
      </w:r>
      <w:r w:rsidDel="00000000" w:rsidR="00000000" w:rsidRPr="00000000">
        <w:rPr>
          <w:rtl w:val="0"/>
        </w:rPr>
        <w:t xml:space="preserve"> journals. This convention has both advantages and limitations. </w:t>
      </w:r>
      <w:r w:rsidDel="00000000" w:rsidR="00000000" w:rsidRPr="00000000">
        <w:rPr>
          <w:rtl w:val="0"/>
        </w:rPr>
        <w:t xml:space="preserve">On the one hand, it provides a clear and reproducible criterion, relying on a predetermined set of journals, rather than requiring case-by-case decisions about whether individual documents qualify as “economics”. Journals also constitute a central institutional marker of a discipline, alongside training programs and professional associations. On the other hand, this choice excludes other publication outlets, such as books and working pa</w:t>
      </w:r>
      <w:r w:rsidDel="00000000" w:rsidR="00000000" w:rsidRPr="00000000">
        <w:rPr>
          <w:rtl w:val="0"/>
        </w:rPr>
        <w:t xml:space="preserve">pers.</w:t>
      </w:r>
      <w:r w:rsidDel="00000000" w:rsidR="00000000" w:rsidRPr="00000000">
        <w:rPr>
          <w:vertAlign w:val="superscript"/>
        </w:rPr>
        <w:footnoteReference w:customMarkFollows="0" w:id="10"/>
      </w:r>
      <w:r w:rsidDel="00000000" w:rsidR="00000000" w:rsidRPr="00000000">
        <w:rPr>
          <w:rtl w:val="0"/>
        </w:rPr>
        <w:t xml:space="preserve"> In addition, it only partially captures interdisciplinarity, missing interdisciplinary journals or economists publishing in other disciplinary journals. Finally, this choice also entails boundary decisions regarding which journals to include,  particularly for those at the margins of “economics”, due to their ambiguous editorial standards.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1"/>
      </w:r>
      <w:r w:rsidDel="00000000" w:rsidR="00000000" w:rsidRPr="00000000">
        <w:rPr>
          <w:rtl w:val="0"/>
        </w:rPr>
        <w:t xml:space="preserve"> We were able to retrieve 289538 articles published in these journals from 1900 to 2009. </w:t>
      </w:r>
      <w:r w:rsidDel="00000000" w:rsidR="00000000" w:rsidRPr="00000000">
        <w:rPr>
          <w:rtl w:val="0"/>
        </w:rPr>
        <w:t xml:space="preserve">These articles form what we call our “m</w:t>
      </w:r>
      <w:r w:rsidDel="00000000" w:rsidR="00000000" w:rsidRPr="00000000">
        <w:rPr>
          <w:rtl w:val="0"/>
        </w:rPr>
        <w:t xml:space="preserve">eta-corpus”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exhibit several limitations in other cases. Indeed, it focuses on identifying instances of a term rather than the concept as a whole. Just think about the various ways rationality could be discussed in the history of economics: beyond the term “rationality”, economists employ various expressions that refer to close ideas such as “maximising profits”,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w:t>
      </w:r>
    </w:p>
    <w:p w:rsidR="00000000" w:rsidDel="00000000" w:rsidP="00000000" w:rsidRDefault="00000000" w:rsidRPr="00000000" w14:paraId="0000001E">
      <w:pPr>
        <w:ind w:right="0"/>
        <w:rPr/>
      </w:pPr>
      <w:r w:rsidDel="00000000" w:rsidR="00000000" w:rsidRPr="00000000">
        <w:rPr>
          <w:rtl w:val="0"/>
        </w:rPr>
        <w:t xml:space="preserve">Going beyond searching for occurrences of “rationality” and “rational,” we could have constructed an extensive dictionary of terms associated with the concept of rationality. It remains difficult to prevent the dictionary-building process from introducing biases—for </w:t>
      </w:r>
      <w:r w:rsidDel="00000000" w:rsidR="00000000" w:rsidRPr="00000000">
        <w:rPr>
          <w:rtl w:val="0"/>
        </w:rPr>
        <w:t xml:space="preserve">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using a list of words constrains the potential for discovery: by setting the boundaries of the dictionary in advance, researchers may unintentionally exclude terms or themes of which they were unaware, and thus remain unaware of them throughout the analysis [@huistraPhrasing2016; @underwoodDistant2019, chapter 1].</w:t>
      </w:r>
      <w:r w:rsidDel="00000000" w:rsidR="00000000" w:rsidRPr="00000000">
        <w:rPr>
          <w:rtl w:val="0"/>
        </w:rPr>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2"/>
      </w:r>
      <w:r w:rsidDel="00000000" w:rsidR="00000000" w:rsidRPr="00000000">
        <w:rPr>
          <w:rtl w:val="0"/>
        </w:rPr>
        <w:t xml:space="preserve"> </w:t>
      </w:r>
      <w:r w:rsidDel="00000000" w:rsidR="00000000" w:rsidRPr="00000000">
        <w:rPr>
          <w:rtl w:val="0"/>
        </w:rPr>
        <w:t xml:space="preserve">LLMs are trained on extremely large collections of text to learn patterns in language. The type of models we use, i.e. bidirectional encoder models such as BERT, learns to predict missing words in a sentence or to determine whether two sentences follow each other. Through this training, the model learns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Such a model represents texts as vectors—often called embeddings—that capture their context and meaning</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The relative position of each vector in this space reflects semantic proximity: standard distance metrics—such as cosine similarity—can then be used to compare, rank, or hierarchically cluster sentences by meaning.</w:t>
      </w:r>
      <w:r w:rsidDel="00000000" w:rsidR="00000000" w:rsidRPr="00000000">
        <w:rPr>
          <w:vertAlign w:val="superscript"/>
        </w:rPr>
        <w:footnoteReference w:customMarkFollows="0" w:id="13"/>
      </w:r>
      <w:r w:rsidDel="00000000" w:rsidR="00000000" w:rsidRPr="00000000">
        <w:rPr>
          <w:rtl w:val="0"/>
        </w:rPr>
        <w:t xml:space="preserve"> This enables us to compare sentences not by the exact words they use but by their underlying meaning.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w:t>
      </w:r>
      <w:r w:rsidDel="00000000" w:rsidR="00000000" w:rsidRPr="00000000">
        <w:rPr>
          <w:rtl w:val="0"/>
        </w:rPr>
        <w:t xml:space="preserve">The model is fine-tuned for semantic comparison between sentences</w:t>
      </w:r>
      <w:r w:rsidDel="00000000" w:rsidR="00000000" w:rsidRPr="00000000">
        <w:rPr>
          <w:rtl w:val="0"/>
        </w:rPr>
        <w:t xml:space="preserve">: sentences that express similar ideas end up with vectors that are mathematically close to each other. Using Sentence-BERT, we vectorized more than 61 million sentences published between 1900 and 2009 from our meta-corpus. </w:t>
      </w:r>
      <w:r w:rsidDel="00000000" w:rsidR="00000000" w:rsidRPr="00000000">
        <w:rPr>
          <w:rtl w:val="0"/>
        </w:rPr>
        <w:t xml:space="preserve">Starting from a set of </w:t>
      </w:r>
      <w:r w:rsidDel="00000000" w:rsidR="00000000" w:rsidRPr="00000000">
        <w:rPr>
          <w:i w:val="1"/>
          <w:iCs w:val="1"/>
          <w:rtl w:val="0"/>
        </w:rPr>
        <w:t xml:space="preserve">sentences A</w:t>
      </w:r>
      <w:r w:rsidDel="00000000" w:rsidR="00000000" w:rsidRPr="00000000">
        <w:rPr>
          <w:rtl w:val="0"/>
        </w:rPr>
        <w:t xml:space="preserve"> including “rationality” and “rational”, we can compute their centroid, that is the vector obtained by averaging the embeddings of </w:t>
      </w:r>
      <w:r w:rsidDel="00000000" w:rsidR="00000000" w:rsidRPr="00000000">
        <w:rPr>
          <w:i w:val="1"/>
          <w:iCs w:val="1"/>
          <w:rtl w:val="0"/>
        </w:rPr>
        <w:t xml:space="preserve">A</w:t>
      </w:r>
      <w:r w:rsidDel="00000000" w:rsidR="00000000" w:rsidRPr="00000000">
        <w:rPr>
          <w:rtl w:val="0"/>
        </w:rPr>
        <w:t xml:space="preserve">. We call </w:t>
      </w:r>
      <w:r w:rsidDel="00000000" w:rsidR="00000000" w:rsidRPr="00000000">
        <w:rPr>
          <w:rtl w:val="0"/>
        </w:rPr>
        <w:t xml:space="preserve">such a centroid vector</w:t>
      </w:r>
      <w:r w:rsidDel="00000000" w:rsidR="00000000" w:rsidRPr="00000000">
        <w:rPr>
          <w:rtl w:val="0"/>
        </w:rPr>
        <w:t xml:space="preserve"> a “representative vector”, as it </w:t>
      </w:r>
      <w:r w:rsidDel="00000000" w:rsidR="00000000" w:rsidRPr="00000000">
        <w:rPr>
          <w:rtl w:val="0"/>
        </w:rPr>
        <w:t xml:space="preserve">encapsulates the semantic meaning of rational and rationality in our meta-corpus. Then, we could r</w:t>
      </w:r>
      <w:r w:rsidDel="00000000" w:rsidR="00000000" w:rsidRPr="00000000">
        <w:rPr>
          <w:rtl w:val="0"/>
        </w:rPr>
        <w:t xml:space="preserve">etrieve a set of </w:t>
      </w:r>
      <w:r w:rsidDel="00000000" w:rsidR="00000000" w:rsidRPr="00000000">
        <w:rPr>
          <w:i w:val="1"/>
          <w:iCs w:val="1"/>
          <w:rtl w:val="0"/>
        </w:rPr>
        <w:t xml:space="preserve">sentences </w:t>
      </w:r>
      <w:r w:rsidDel="00000000" w:rsidR="00000000" w:rsidRPr="00000000">
        <w:rPr>
          <w:i w:val="1"/>
          <w:iCs w:val="1"/>
          <w:rtl w:val="0"/>
        </w:rPr>
        <w:t xml:space="preserve">B</w:t>
      </w:r>
      <w:r w:rsidDel="00000000" w:rsidR="00000000" w:rsidRPr="00000000">
        <w:rPr>
          <w:rtl w:val="0"/>
        </w:rPr>
        <w:t xml:space="preserve"> that are</w:t>
      </w:r>
      <w:r w:rsidDel="00000000" w:rsidR="00000000" w:rsidRPr="00000000">
        <w:rPr>
          <w:rtl w:val="0"/>
        </w:rPr>
        <w:t xml:space="preserve"> the most similar to this centroid</w:t>
      </w:r>
      <w:r w:rsidDel="00000000" w:rsidR="00000000" w:rsidRPr="00000000">
        <w:rPr>
          <w:rtl w:val="0"/>
        </w:rPr>
        <w:t xml:space="preserve">.</w:t>
      </w:r>
      <w:r w:rsidDel="00000000" w:rsidR="00000000" w:rsidRPr="00000000">
        <w:rPr>
          <w:rtl w:val="0"/>
        </w:rPr>
        <w:t xml:space="preserve"> Thus, from a set of </w:t>
      </w:r>
      <w:r w:rsidDel="00000000" w:rsidR="00000000" w:rsidRPr="00000000">
        <w:rPr>
          <w:i w:val="1"/>
          <w:iCs w:val="1"/>
          <w:rtl w:val="0"/>
        </w:rPr>
        <w:t xml:space="preserve">sentences A</w:t>
      </w:r>
      <w:r w:rsidDel="00000000" w:rsidR="00000000" w:rsidRPr="00000000">
        <w:rPr>
          <w:rtl w:val="0"/>
        </w:rPr>
        <w:t xml:space="preserve"> explicitly mentioning the word “rationality,” we retrieve a set of </w:t>
      </w:r>
      <w:r w:rsidDel="00000000" w:rsidR="00000000" w:rsidRPr="00000000">
        <w:rPr>
          <w:i w:val="1"/>
          <w:iCs w:val="1"/>
          <w:rtl w:val="0"/>
        </w:rPr>
        <w:t xml:space="preserve">sentences B</w:t>
      </w:r>
      <w:r w:rsidDel="00000000" w:rsidR="00000000" w:rsidRPr="00000000">
        <w:rPr>
          <w:rtl w:val="0"/>
        </w:rPr>
        <w:t xml:space="preserve">—which may never </w:t>
      </w:r>
      <w:r w:rsidDel="00000000" w:rsidR="00000000" w:rsidRPr="00000000">
        <w:rPr>
          <w:rtl w:val="0"/>
        </w:rPr>
        <w:t xml:space="preserve">mention</w:t>
      </w:r>
      <w:r w:rsidDel="00000000" w:rsidR="00000000" w:rsidRPr="00000000">
        <w:rPr>
          <w:rtl w:val="0"/>
        </w:rPr>
        <w:t xml:space="preserve"> the terms but likely discusses a related idea such as profit-maximization [see @ashIdeas2026 for a similar use].</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Despite their remarkable potential, LLMs have important limitations for historical analysis. Computing a single representative vector over 110 years raises serious historical issues: these models are trained on vast amounts of text, the majority of which are recent, and therefore reflect a presentist bias in their representation of language. </w:t>
      </w:r>
      <w:r w:rsidDel="00000000" w:rsidR="00000000" w:rsidRPr="00000000">
        <w:rPr>
          <w:rtl w:val="0"/>
        </w:rPr>
        <w:t xml:space="preserve">LLMs are trained on </w:t>
      </w:r>
      <w:r w:rsidDel="00000000" w:rsidR="00000000" w:rsidRPr="00000000">
        <w:rPr>
          <w:rtl w:val="0"/>
        </w:rPr>
        <w:t xml:space="preserve">vast amounts </w:t>
      </w:r>
      <w:r w:rsidDel="00000000" w:rsidR="00000000" w:rsidRPr="00000000">
        <w:rPr>
          <w:rtl w:val="0"/>
        </w:rPr>
        <w:t xml:space="preserve">of texts but the  majority of which are recent, and therefore reflect a presentist, numerical view of language.</w:t>
      </w:r>
      <w:r w:rsidDel="00000000" w:rsidR="00000000" w:rsidRPr="00000000">
        <w:rPr>
          <w:vertAlign w:val="superscript"/>
        </w:rPr>
        <w:footnoteReference w:customMarkFollows="0" w:id="14"/>
      </w:r>
      <w:r w:rsidDel="00000000" w:rsidR="00000000" w:rsidRPr="00000000">
        <w:rPr>
          <w:rtl w:val="0"/>
        </w:rPr>
        <w:t xml:space="preserve"> For example, current models struggle to reproduce earlier writing styles and cannot reliably infer the publication date of a text [@underwoodCan2025]. Sentence-BERT is subject to the same limitations, and the sentence embeddings it produces inevitably inherit this bias. Besides, as illustrated by @</w:t>
      </w:r>
      <w:r w:rsidDel="00000000" w:rsidR="00000000" w:rsidRPr="00000000">
        <w:rPr>
          <w:rtl w:val="0"/>
        </w:rPr>
        <w:t xml:space="preserve">fig-distribution</w:t>
      </w:r>
      <w:r w:rsidDel="00000000" w:rsidR="00000000" w:rsidRPr="00000000">
        <w:rPr>
          <w:rtl w:val="0"/>
        </w:rPr>
        <w:t xml:space="preserve">, our corpus is exponentially distributed over time, with most sentences drawn from recent articles </w:t>
      </w:r>
      <w:r w:rsidDel="00000000" w:rsidR="00000000" w:rsidRPr="00000000">
        <w:rPr>
          <w:rtl w:val="0"/>
        </w:rPr>
        <w:t xml:space="preserve">and the centroid of our </w:t>
      </w:r>
      <w:r w:rsidDel="00000000" w:rsidR="00000000" w:rsidRPr="00000000">
        <w:rPr>
          <w:i w:val="1"/>
          <w:iCs w:val="1"/>
          <w:rtl w:val="0"/>
        </w:rPr>
        <w:t xml:space="preserve">sentences A</w:t>
      </w:r>
      <w:r w:rsidDel="00000000" w:rsidR="00000000" w:rsidRPr="00000000">
        <w:rPr>
          <w:rtl w:val="0"/>
        </w:rPr>
        <w:t xml:space="preserve"> would therefore itself be skewed toward recent language.</w:t>
      </w:r>
      <w:r w:rsidDel="00000000" w:rsidR="00000000" w:rsidRPr="00000000">
        <w:rPr>
          <w:rtl w:val="0"/>
        </w:rPr>
        <w:t xml:space="preserve"> Consequently, the sentences</w:t>
      </w:r>
      <w:r w:rsidDel="00000000" w:rsidR="00000000" w:rsidRPr="00000000">
        <w:rPr>
          <w:rtl w:val="0"/>
        </w:rPr>
        <w:t xml:space="preserve"> retrieved in set </w:t>
      </w:r>
      <w:r w:rsidDel="00000000" w:rsidR="00000000" w:rsidRPr="00000000">
        <w:rPr>
          <w:i w:val="1"/>
          <w:iCs w:val="1"/>
          <w:rtl w:val="0"/>
        </w:rPr>
        <w:t xml:space="preserve">B</w:t>
      </w:r>
      <w:r w:rsidDel="00000000" w:rsidR="00000000" w:rsidRPr="00000000">
        <w:rPr>
          <w:rtl w:val="0"/>
        </w:rPr>
        <w:t xml:space="preserve">, those closest to the centroid of </w:t>
      </w:r>
      <w:r w:rsidDel="00000000" w:rsidR="00000000" w:rsidRPr="00000000">
        <w:rPr>
          <w:i w:val="1"/>
          <w:iCs w:val="1"/>
          <w:rtl w:val="0"/>
        </w:rPr>
        <w:t xml:space="preserve">A</w:t>
      </w:r>
      <w:r w:rsidDel="00000000" w:rsidR="00000000" w:rsidRPr="00000000">
        <w:rPr>
          <w:rtl w:val="0"/>
        </w:rPr>
        <w:t xml:space="preserve">, would predominantly come from recent periods. In other words, our results would reflect a modern understanding of rationality, at the expense of earlier conceptions of the concept.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To mitigate this presentist bias, we adapted the way sentence similarity is computed across time (see @fig-rv-method-diagram in the appendix for a visual representation of our approach). </w:t>
      </w:r>
      <w:r w:rsidDel="00000000" w:rsidR="00000000" w:rsidRPr="00000000">
        <w:rPr>
          <w:rtl w:val="0"/>
        </w:rPr>
        <w:t xml:space="preserve">Instead of comparing a sentence from, say, 1910 directly to a single representative vector constructed from </w:t>
      </w:r>
      <w:r w:rsidDel="00000000" w:rsidR="00000000" w:rsidRPr="00000000">
        <w:rPr>
          <w:rtl w:val="0"/>
        </w:rPr>
        <w:t xml:space="preserve">all</w:t>
      </w:r>
      <w:r w:rsidDel="00000000" w:rsidR="00000000" w:rsidRPr="00000000">
        <w:rPr>
          <w:rtl w:val="0"/>
        </w:rPr>
        <w:t xml:space="preserve"> sentences in the corpus containing  “rationality” or “rational,” we construct time-specific representative vectors. For each year, we compute a moving-centroid embedding using a symmetric </w:t>
      </w:r>
      <w:r w:rsidDel="00000000" w:rsidR="00000000" w:rsidRPr="00000000">
        <w:rPr>
          <w:rtl w:val="0"/>
        </w:rPr>
        <w:t xml:space="preserve">five-year window,</w:t>
      </w:r>
      <w:r w:rsidDel="00000000" w:rsidR="00000000" w:rsidRPr="00000000">
        <w:rPr>
          <w:rtl w:val="0"/>
        </w:rPr>
        <w:t xml:space="preserve"> based on all the sentences containing “rationality” or “rational”.</w:t>
      </w:r>
      <w:r w:rsidDel="00000000" w:rsidR="00000000" w:rsidRPr="00000000">
        <w:rPr>
          <w:vertAlign w:val="superscript"/>
        </w:rPr>
        <w:footnoteReference w:customMarkFollows="0" w:id="15"/>
      </w:r>
      <w:r w:rsidDel="00000000" w:rsidR="00000000" w:rsidRPr="00000000">
        <w:rPr>
          <w:rtl w:val="0"/>
        </w:rPr>
        <w:t xml:space="preserve"> </w:t>
      </w:r>
      <w:r w:rsidDel="00000000" w:rsidR="00000000" w:rsidRPr="00000000">
        <w:rPr>
          <w:rtl w:val="0"/>
        </w:rPr>
        <w:t xml:space="preserve">Concretely, for the year 1910, we averaged the vectors of all sentences containing “rationality” or “rational” from 1905 to 1915.</w:t>
      </w:r>
      <w:r w:rsidDel="00000000" w:rsidR="00000000" w:rsidRPr="00000000">
        <w:rPr>
          <w:vertAlign w:val="superscript"/>
        </w:rPr>
        <w:footnoteReference w:customMarkFollows="0" w:id="16"/>
      </w: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This procedure yields a period-specific reference </w:t>
      </w:r>
      <w:r w:rsidDel="00000000" w:rsidR="00000000" w:rsidRPr="00000000">
        <w:rPr>
          <w:rtl w:val="0"/>
        </w:rPr>
        <w:t xml:space="preserve">vector that</w:t>
      </w:r>
      <w:r w:rsidDel="00000000" w:rsidR="00000000" w:rsidRPr="00000000">
        <w:rPr>
          <w:rtl w:val="0"/>
        </w:rPr>
        <w:t xml:space="preserve"> reflects how these terms were used </w:t>
      </w:r>
      <w:r w:rsidDel="00000000" w:rsidR="00000000" w:rsidRPr="00000000">
        <w:rPr>
          <w:rtl w:val="0"/>
        </w:rPr>
        <w:t xml:space="preserve">at that particular moment in time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 sentence from 1910 is therefore evaluated not against a general, and likely contemporary, meaning of rationality, but against its historically situated usage. We call these centroids the </w:t>
      </w:r>
      <w:r w:rsidDel="00000000" w:rsidR="00000000" w:rsidRPr="00000000">
        <w:rPr>
          <w:i w:val="1"/>
          <w:iCs w:val="1"/>
          <w:rtl w:val="0"/>
        </w:rPr>
        <w:t xml:space="preserve">representative vectors.</w:t>
      </w:r>
      <w:r w:rsidDel="00000000" w:rsidR="00000000" w:rsidRPr="00000000">
        <w:rPr>
          <w:rtl w:val="0"/>
        </w:rPr>
        <w:t xml:space="preserve"> They should be interpreted as operational summaries of the semantic contexts in which “rationality” appears within a given symmetric five-year window, rather than as fixed theoretical definitions </w:t>
      </w:r>
      <w:r w:rsidDel="00000000" w:rsidR="00000000" w:rsidRPr="00000000">
        <w:rPr>
          <w:rtl w:val="0"/>
        </w:rPr>
        <w:t xml:space="preserve">of the</w:t>
      </w:r>
      <w:r w:rsidDel="00000000" w:rsidR="00000000" w:rsidRPr="00000000">
        <w:rPr>
          <w:rtl w:val="0"/>
        </w:rPr>
        <w:t xml:space="preserve"> concept. While the representative vectors are not associated </w:t>
      </w:r>
      <w:r w:rsidDel="00000000" w:rsidR="00000000" w:rsidRPr="00000000">
        <w:rPr>
          <w:rtl w:val="0"/>
        </w:rPr>
        <w:t xml:space="preserve">with any</w:t>
      </w:r>
      <w:r w:rsidDel="00000000" w:rsidR="00000000" w:rsidRPr="00000000">
        <w:rPr>
          <w:rtl w:val="0"/>
        </w:rPr>
        <w:t xml:space="preserve"> real sentences, it is close in the vector space from real sentences. </w:t>
      </w:r>
      <w:r w:rsidDel="00000000" w:rsidR="00000000" w:rsidRPr="00000000">
        <w:rPr>
          <w:rtl w:val="0"/>
        </w:rPr>
        <w:t xml:space="preserve">This method allows for the identification of  discussions on rationality across large corpora at low computational cost. For illustration, @tbl-illustrative_sentences reports the 5 sentences closest to the representative vector, ranked by cosine similarity for the years 1910, 1950, and 2000. </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We </w:t>
      </w:r>
      <w:r w:rsidDel="00000000" w:rsidR="00000000" w:rsidRPr="00000000">
        <w:rPr>
          <w:rtl w:val="0"/>
        </w:rPr>
        <w:t xml:space="preserve">built</w:t>
      </w:r>
      <w:r w:rsidDel="00000000" w:rsidR="00000000" w:rsidRPr="00000000">
        <w:rPr>
          <w:rtl w:val="0"/>
        </w:rPr>
        <w:t xml:space="preserve"> a first corpus, that we call the </w:t>
      </w:r>
      <w:r w:rsidDel="00000000" w:rsidR="00000000" w:rsidRPr="00000000">
        <w:rPr>
          <w:i w:val="1"/>
          <w:iCs w:val="1"/>
          <w:rtl w:val="0"/>
        </w:rPr>
        <w:t xml:space="preserve">sentences-corpus</w:t>
      </w:r>
      <w:r w:rsidDel="00000000" w:rsidR="00000000" w:rsidRPr="00000000">
        <w:rPr>
          <w:rtl w:val="0"/>
        </w:rPr>
        <w:t xml:space="preserve">. F</w:t>
      </w:r>
      <w:r w:rsidDel="00000000" w:rsidR="00000000" w:rsidRPr="00000000">
        <w:rPr>
          <w:rtl w:val="0"/>
        </w:rPr>
        <w:t xml:space="preserve">or each year, we select all the </w:t>
      </w:r>
      <w:r w:rsidDel="00000000" w:rsidR="00000000" w:rsidRPr="00000000">
        <w:rPr>
          <w:rtl w:val="0"/>
        </w:rPr>
        <w:t xml:space="preserve">sentences</w:t>
      </w:r>
      <w:r w:rsidDel="00000000" w:rsidR="00000000" w:rsidRPr="00000000">
        <w:rPr>
          <w:rtl w:val="0"/>
        </w:rPr>
        <w:t xml:space="preserve"> from our meta-corpus the 1% of sentences whose embeddings are closest to the corresponding representative vector.</w:t>
      </w:r>
      <w:r w:rsidDel="00000000" w:rsidR="00000000" w:rsidRPr="00000000">
        <w:rPr>
          <w:vertAlign w:val="superscript"/>
        </w:rPr>
        <w:footnoteReference w:customMarkFollows="0" w:id="17"/>
      </w:r>
      <w:r w:rsidDel="00000000" w:rsidR="00000000" w:rsidRPr="00000000">
        <w:rPr>
          <w:rtl w:val="0"/>
        </w:rPr>
        <w:t xml:space="preserve"> This sentence-corpus is composed  of 499 157 </w:t>
      </w:r>
      <w:r w:rsidDel="00000000" w:rsidR="00000000" w:rsidRPr="00000000">
        <w:rPr>
          <w:rtl w:val="0"/>
        </w:rPr>
        <w:t xml:space="preserve">sentences that</w:t>
      </w:r>
      <w:r w:rsidDel="00000000" w:rsidR="00000000" w:rsidRPr="00000000">
        <w:rPr>
          <w:rtl w:val="0"/>
        </w:rPr>
        <w:t xml:space="preserve"> will be used for subsequent textual analysis to identify </w:t>
      </w:r>
      <w:r w:rsidDel="00000000" w:rsidR="00000000" w:rsidRPr="00000000">
        <w:rPr>
          <w:i w:val="1"/>
          <w:iCs w:val="1"/>
          <w:rtl w:val="0"/>
        </w:rPr>
        <w:t xml:space="preserve">semantic clusters</w:t>
      </w:r>
      <w:r w:rsidDel="00000000" w:rsidR="00000000" w:rsidRPr="00000000">
        <w:rPr>
          <w:rtl w:val="0"/>
        </w:rPr>
        <w:t xml:space="preserve"> on rationality. </w:t>
      </w:r>
    </w:p>
    <w:p w:rsidR="00000000" w:rsidDel="00000000" w:rsidP="00000000" w:rsidRDefault="00000000" w:rsidRPr="00000000" w14:paraId="00000025">
      <w:pPr>
        <w:rPr/>
      </w:pPr>
      <w:r w:rsidDel="00000000" w:rsidR="00000000" w:rsidRPr="00000000">
        <w:rPr>
          <w:rtl w:val="0"/>
        </w:rPr>
        <w:t xml:space="preserve">We built a second corpus, at the document level, that we call the </w:t>
      </w:r>
      <w:r w:rsidDel="00000000" w:rsidR="00000000" w:rsidRPr="00000000">
        <w:rPr>
          <w:i w:val="1"/>
          <w:iCs w:val="1"/>
          <w:rtl w:val="0"/>
        </w:rPr>
        <w:t xml:space="preserve">articles-corpus</w:t>
      </w:r>
      <w:r w:rsidDel="00000000" w:rsidR="00000000" w:rsidRPr="00000000">
        <w:rPr>
          <w:rtl w:val="0"/>
        </w:rPr>
        <w:t xml:space="preserve">. </w:t>
      </w:r>
      <w:r w:rsidDel="00000000" w:rsidR="00000000" w:rsidRPr="00000000">
        <w:rPr>
          <w:rtl w:val="0"/>
        </w:rPr>
        <w:t xml:space="preserve"> We extract from our meta-corpus the </w:t>
      </w:r>
      <w:r w:rsidDel="00000000" w:rsidR="00000000" w:rsidRPr="00000000">
        <w:rPr>
          <w:i w:val="1"/>
          <w:iCs w:val="1"/>
          <w:rtl w:val="0"/>
        </w:rPr>
        <w:t xml:space="preserve">documents </w:t>
      </w:r>
      <w:r w:rsidDel="00000000" w:rsidR="00000000" w:rsidRPr="00000000">
        <w:rPr>
          <w:rtl w:val="0"/>
        </w:rPr>
        <w:t xml:space="preserve">that are closest to the corresponding representative vector. Because </w:t>
      </w:r>
      <w:r w:rsidDel="00000000" w:rsidR="00000000" w:rsidRPr="00000000">
        <w:rPr>
          <w:rtl w:val="0"/>
        </w:rPr>
        <w:t xml:space="preserve">each document consists of a set of sentences (and thus is represented by a set of vectors),  we can also give a vectorial representation to the document by computing the centroid of its sentence vectors. We select the 10% of articles published after 1960 whose centroids are closest to the corresponding representative vector. This articles-corpus, composed of 25 916 articles, is then used in the bibliometric analysis to identify </w:t>
      </w:r>
      <w:r w:rsidDel="00000000" w:rsidR="00000000" w:rsidRPr="00000000">
        <w:rPr>
          <w:i w:val="1"/>
          <w:iCs w:val="1"/>
          <w:rtl w:val="0"/>
        </w:rPr>
        <w:t xml:space="preserve">bibliographic communities</w:t>
      </w:r>
      <w:r w:rsidDel="00000000" w:rsidR="00000000" w:rsidRPr="00000000">
        <w:rPr>
          <w:rtl w:val="0"/>
        </w:rPr>
        <w:t xml:space="preserve"> from 1960 onwards.</w:t>
      </w:r>
      <w:r w:rsidDel="00000000" w:rsidR="00000000" w:rsidRPr="00000000">
        <w:rPr>
          <w:vertAlign w:val="superscript"/>
        </w:rPr>
        <w:footnoteReference w:customMarkFollows="0" w:id="18"/>
      </w:r>
      <w:r w:rsidDel="00000000" w:rsidR="00000000" w:rsidRPr="00000000">
        <w:rPr>
          <w:rtl w:val="0"/>
        </w:rPr>
        <w:t xml:space="preserve"> Equivalent to </w:t>
      </w:r>
      <w:r w:rsidDel="00000000" w:rsidR="00000000" w:rsidRPr="00000000">
        <w:rPr>
          <w:rtl w:val="0"/>
        </w:rPr>
        <w:t xml:space="preserve">@tbl-illustrative_sentences but for documents, </w:t>
      </w:r>
      <w:r w:rsidDel="00000000" w:rsidR="00000000" w:rsidRPr="00000000">
        <w:rPr>
          <w:rtl w:val="0"/>
        </w:rPr>
        <w:t xml:space="preserve">@tbl-illustrative_documents displays the five closest documents to the corresponding representative vectors for years 1910, 1950 and 2000.</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@fig-method-schema-general summarises this whole process of building our two corpora from our different meta-corpus and @fig-rv-method-diagram </w:t>
      </w:r>
      <w:r w:rsidDel="00000000" w:rsidR="00000000" w:rsidRPr="00000000">
        <w:rPr>
          <w:rtl w:val="0"/>
        </w:rPr>
        <w:t xml:space="preserve">summarises</w:t>
      </w:r>
      <w:r w:rsidDel="00000000" w:rsidR="00000000" w:rsidRPr="00000000">
        <w:rPr>
          <w:rtl w:val="0"/>
        </w:rPr>
        <w:t xml:space="preserve"> the construction of the representative vectors.</w:t>
      </w:r>
    </w:p>
    <w:p w:rsidR="00000000" w:rsidDel="00000000" w:rsidP="00000000" w:rsidRDefault="00000000" w:rsidRPr="00000000" w14:paraId="00000027">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8">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9">
      <w:pPr>
        <w:rPr/>
      </w:pPr>
      <w:r w:rsidDel="00000000" w:rsidR="00000000" w:rsidRPr="00000000">
        <w:rPr>
          <w:rtl w:val="0"/>
        </w:rPr>
        <w:t xml:space="preserve">Before returning to our specific corpora on rationality and diving into more advanced LLM-based analyses, we first step back and examine simpler quantitative methods applied to our broader meta-corpus. Indeed, quantitative approaches come in many forms and levels of complexity.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A">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B">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Of course, one can only speculate about the precise drivers of these trends from such simple metrics.</w:t>
      </w:r>
    </w:p>
    <w:p w:rsidR="00000000" w:rsidDel="00000000" w:rsidP="00000000" w:rsidRDefault="00000000" w:rsidRPr="00000000" w14:paraId="0000002C">
      <w:pPr>
        <w:rPr/>
      </w:pPr>
      <w:r w:rsidDel="00000000" w:rsidR="00000000" w:rsidRPr="00000000">
        <w:rPr>
          <w:rtl w:val="0"/>
        </w:rPr>
        <w:t xml:space="preserve">While our usage of a LLM will shed light on the context surrounding this upward movement,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 or “organization.”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D">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w:t>
      </w:r>
      <w:r w:rsidDel="00000000" w:rsidR="00000000" w:rsidRPr="00000000">
        <w:rPr>
          <w:rtl w:val="0"/>
        </w:rPr>
        <w:t xml:space="preserve">[see @tahamtanCore2018 for a literature review on the issue]</w:t>
      </w:r>
      <w:r w:rsidDel="00000000" w:rsidR="00000000" w:rsidRPr="00000000">
        <w:rPr>
          <w:rtl w:val="0"/>
        </w:rPr>
        <w:t xml:space="preserve">.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w:t>
      </w:r>
      <w:r w:rsidDel="00000000" w:rsidR="00000000" w:rsidRPr="00000000">
        <w:rPr>
          <w:rtl w:val="0"/>
        </w:rPr>
        <w:t xml:space="preserve"> [@teixeiradasilvaMatthew2021; @teplitskiyHow2022</w:t>
      </w:r>
      <w:r w:rsidDel="00000000" w:rsidR="00000000" w:rsidRPr="00000000">
        <w:rPr>
          <w:rtl w:val="0"/>
        </w:rPr>
        <w:t xml:space="preserve">; @eikaStarstruck2022].</w:t>
      </w:r>
    </w:p>
    <w:p w:rsidR="00000000" w:rsidDel="00000000" w:rsidP="00000000" w:rsidRDefault="00000000" w:rsidRPr="00000000" w14:paraId="0000002E">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F">
      <w:pPr>
        <w:rPr/>
      </w:pPr>
      <w:r w:rsidDel="00000000" w:rsidR="00000000" w:rsidRPr="00000000">
        <w:rPr>
          <w:rtl w:val="0"/>
        </w:rPr>
        <w:t xml:space="preserve">@offerNobel2016 distinguished several citation trajectories among Nobel laureates in economics: those whose citations peak around the award before declining; “innovators with staying power”; “still rising” winners honored before their citation peak; and late winners recognized long after their peak. @fig-rationality-paper-citations illustrates these dynamics by plotting citation patterns—both across all Web of Science (WoS) economics journals and within the top five journals—for four seminal works critiquing the standard conception of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latter tradition exerted substantially greater influence than the earlier one, both across all WoS economics journals and within the top five journals.The contrast concerns not only the magnitude of influence, but also the timing and speed of diffusion. Citations to the two “new” behavioral economics papers increased rapidly and steadily from publication onward, whereas Simon and Allais reached only modest citation peaks around the time of their Nobel Prizes—or even later, in the 2000s, amid renewed interest sparked by “new” behavioral economics. As @offerNobel2016 </w:t>
      </w:r>
      <w:r w:rsidDel="00000000" w:rsidR="00000000" w:rsidRPr="00000000">
        <w:rPr>
          <w:rtl w:val="0"/>
        </w:rPr>
        <w:t xml:space="preserve">argue</w:t>
      </w:r>
      <w:r w:rsidDel="00000000" w:rsidR="00000000" w:rsidRPr="00000000">
        <w:rPr>
          <w:rtl w:val="0"/>
        </w:rPr>
        <w:t xml:space="preserve">, many laureates benefit from a “Nobel premium,” a modest increase in citations following the award. Simon and Allais fit this pattern. Kahneman and Tversky, however, constitute an exceptional case: after the Nobel Prize, their previously declining citation trajectory reversed and rose sharply throughout the period under study.</w:t>
      </w:r>
      <w:r w:rsidDel="00000000" w:rsidR="00000000" w:rsidRPr="00000000">
        <w:rPr>
          <w:rtl w:val="0"/>
        </w:rPr>
      </w:r>
    </w:p>
    <w:p w:rsidR="00000000" w:rsidDel="00000000" w:rsidP="00000000" w:rsidRDefault="00000000" w:rsidRPr="00000000" w14:paraId="00000030">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31">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these citations occur? Moreover, focusing on a small set of references implies a degree of arbitrariness into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32">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textual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9"/>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3">
      <w:pPr>
        <w:rPr/>
      </w:pPr>
      <w:r w:rsidDel="00000000" w:rsidR="00000000" w:rsidRPr="00000000">
        <w:rPr>
          <w:rtl w:val="0"/>
        </w:rPr>
        <w:t xml:space="preserve">In contrast to </w:t>
      </w:r>
      <w:r w:rsidDel="00000000" w:rsidR="00000000" w:rsidRPr="00000000">
        <w:rPr>
          <w:rtl w:val="0"/>
        </w:rPr>
        <w:t xml:space="preserve">unsupervised methods, supervised methods aim to estimate predefined relationships or reproduce categories specified in advance. Supervised methods—such as regression models or classification algorithms—require researchers to formulate hypotheses, define variables, or establish categories prior to analysis [@doAugmented2022]. Unsupervised methods rather seek to detect patterns, groupings, or structures that emerge from the data itself.</w:t>
      </w:r>
      <w:r w:rsidDel="00000000" w:rsidR="00000000" w:rsidRPr="00000000">
        <w:rPr>
          <w:vertAlign w:val="superscript"/>
        </w:rPr>
        <w:footnoteReference w:customMarkFollows="0" w:id="20"/>
      </w:r>
      <w:r w:rsidDel="00000000" w:rsidR="00000000" w:rsidRPr="00000000">
        <w:rPr>
          <w:rtl w:val="0"/>
        </w:rPr>
        <w:t xml:space="preserve"> This “discovery” capacity [@grimmerText2022]  is especially valuable in large-scale and long-run historical analysis, where the relevant categories may be uncertain, evolving, or difficult to define in advance. In such contexts, imposing predefined classifications risks introducing categories that are historically inadequate or anachronistic. Unsupervised approaches therefore provide a useful way to identify unexpected regularities, semantic groupings, or intellectual communities before moving to interpretation.</w:t>
      </w:r>
      <w:r w:rsidDel="00000000" w:rsidR="00000000" w:rsidRPr="00000000">
        <w:rPr>
          <w:vertAlign w:val="superscript"/>
        </w:rPr>
        <w:footnoteReference w:customMarkFollows="0" w:id="21"/>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In this paper, we use unsupervised methods to analyse both the articles-corpus and the sentences-corpus. The articles-corpus consists of the 10% of articles whose embeddings are most similar to the annual representative vectors. To make sense of this large set of documents, we employ a method that groups together documents mobilizing similar understandings of rationality. We use bibliographic coupling, a method commonly employed in the history of economic thought [see e.g., @claveauMacrodynamics2016; @trucForty2022; @bacciniDoes2025]. In a bibliographic coupling network, documents are represented as nodes, and links between them are weighted according to the number of references they share. The more references two articles have in common, the stronger their connection—and, in network visualisations, the closer they tend to appear to one another. The underlying premise is that shared references provide a proxy for intellectual proximity. Such networks make it possible to identify communities of closely related documents and to delineate the core-periphery structure of a discipline or research field. </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w:t>
      </w:r>
      <w:r w:rsidDel="00000000" w:rsidR="00000000" w:rsidRPr="00000000">
        <w:rPr>
          <w:rtl w:val="0"/>
        </w:rPr>
        <w:t xml:space="preserve">[@</w:t>
      </w:r>
      <w:r w:rsidDel="00000000" w:rsidR="00000000" w:rsidRPr="00000000">
        <w:rPr>
          <w:rtl w:val="0"/>
        </w:rPr>
        <w:t xml:space="preserve">claveauMacrodynamics2016</w:t>
      </w:r>
      <w:r w:rsidDel="00000000" w:rsidR="00000000" w:rsidRPr="00000000">
        <w:rPr>
          <w:rtl w:val="0"/>
        </w:rPr>
        <w:t xml:space="preserve">; @goutsmedtIndependent2023; @camilottoNavigating2023]</w:t>
      </w:r>
      <w:r w:rsidDel="00000000" w:rsidR="00000000" w:rsidRPr="00000000">
        <w:rPr>
          <w:rtl w:val="0"/>
        </w:rPr>
        <w:t xml:space="preserve">, </w:t>
      </w:r>
      <w:r w:rsidDel="00000000" w:rsidR="00000000" w:rsidRPr="00000000">
        <w:rPr>
          <w:rtl w:val="0"/>
        </w:rPr>
        <w:t xml:space="preserve">we therefore split our corpus into overlapping eight-year windows,</w:t>
      </w:r>
      <w:r w:rsidDel="00000000" w:rsidR="00000000" w:rsidRPr="00000000">
        <w:rPr>
          <w:vertAlign w:val="superscript"/>
        </w:rPr>
        <w:footnoteReference w:customMarkFollows="0" w:id="22"/>
      </w:r>
      <w:r w:rsidDel="00000000" w:rsidR="00000000" w:rsidRPr="00000000">
        <w:rPr>
          <w:rtl w:val="0"/>
        </w:rPr>
        <w:t xml:space="preserve"> starting in 1960 (1960–1967; 1961–1968; … ; 2002–2009), and built a series of 43 separate networks. </w:t>
      </w:r>
      <w:r w:rsidDel="00000000" w:rsidR="00000000" w:rsidRPr="00000000">
        <w:rPr>
          <w:rtl w:val="0"/>
        </w:rPr>
        <w:t xml:space="preserve">Using community-detection algorithms [@traagLouvain2019], we identify groups of documents that share a substantial fraction of references and therefore have a similar intellectual background; we refer to these groups as “bibliometric communities.” The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vertAlign w:val="superscript"/>
        </w:rPr>
        <w:footnoteReference w:customMarkFollows="0" w:id="23"/>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For textual analysis, we use t</w:t>
      </w:r>
      <w:r w:rsidDel="00000000" w:rsidR="00000000" w:rsidRPr="00000000">
        <w:rPr>
          <w:rtl w:val="0"/>
        </w:rPr>
        <w:t xml:space="preserve">he sentences-corpus that gathers </w:t>
      </w:r>
      <w:r w:rsidDel="00000000" w:rsidR="00000000" w:rsidRPr="00000000">
        <w:rPr>
          <w:rtl w:val="0"/>
        </w:rPr>
        <w:t xml:space="preserve">the top 1% of sentences that are most similar to our annual representative vectors of sentences with “rationality” and “rational” (</w:t>
      </w:r>
      <w:r w:rsidDel="00000000" w:rsidR="00000000" w:rsidRPr="00000000">
        <w:rPr>
          <w:rtl w:val="0"/>
        </w:rPr>
        <w:t xml:space="preserve">see above and @fig-rv-method-diagram in the appendix</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To analyse this corpus, as with bibliographic coupling, we want a method that groups together our observations (here the sentences) that employ similar meanings of rationality. W</w:t>
      </w:r>
      <w:r w:rsidDel="00000000" w:rsidR="00000000" w:rsidRPr="00000000">
        <w:rPr>
          <w:rtl w:val="0"/>
        </w:rPr>
        <w:t xml:space="preserve">e draw on the literature on semantic change that measures the change of meaning of words over time [@kutuzovDiachronic2018; @giulianelliAnalysing2020; @montanelliSurvey2024; @peritiSystematic2024a]. We therefore cluster the sentence embeddings using the HDBSCAN algorithm, a widely used unsupervised method for clustering LLM embeddings.</w:t>
      </w: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24"/>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25"/>
      </w:r>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9">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A">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B">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but reduce large and complex data to a smaller number of coherent groups. In our case, they generate statistical categories—bibliometric communities and semantic clusters—that lack predefined conceptual “labels.” They are created solely on the basis of statistical similarities, and their historical or conceptual significance emerges only through subsequent “exploration” [@simonsLarge2026] and “validation” [@grimmerText2013].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C">
      <w:pPr>
        <w:ind w:right="0"/>
        <w:rPr/>
      </w:pPr>
      <w:r w:rsidDel="00000000" w:rsidR="00000000" w:rsidRPr="00000000">
        <w:rPr>
          <w:rtl w:val="0"/>
        </w:rPr>
        <w:t xml:space="preserve">This point illustrates again that, whether at the stage of data construction or in the interpretation of statistical patterns, quantitative methods demand a continuous dialogue with qualitative interpretation, grounded in a close reading of the relevant secondary literature. Only through this iterative back-and-forth can we turn statistical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r w:rsidDel="00000000" w:rsidR="00000000" w:rsidRPr="00000000">
        <w:rPr>
          <w:rtl w:val="0"/>
        </w:rPr>
        <w:t xml:space="preserve">—such as our interactive application—</w:t>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A key step for the interpretation of our results is thus the process by which we </w:t>
      </w:r>
      <w:r w:rsidDel="00000000" w:rsidR="00000000" w:rsidRPr="00000000">
        <w:rPr>
          <w:i w:val="1"/>
          <w:iCs w:val="1"/>
          <w:rtl w:val="0"/>
        </w:rPr>
        <w:t xml:space="preserve">select</w:t>
      </w:r>
      <w:r w:rsidDel="00000000" w:rsidR="00000000" w:rsidRPr="00000000">
        <w:rPr>
          <w:rtl w:val="0"/>
        </w:rPr>
        <w:t xml:space="preserve"> and </w:t>
      </w:r>
      <w:r w:rsidDel="00000000" w:rsidR="00000000" w:rsidRPr="00000000">
        <w:rPr>
          <w:i w:val="1"/>
          <w:iCs w:val="1"/>
          <w:rtl w:val="0"/>
        </w:rPr>
        <w:t xml:space="preserve">prioritise </w:t>
      </w:r>
      <w:r w:rsidDel="00000000" w:rsidR="00000000" w:rsidRPr="00000000">
        <w:rPr>
          <w:rtl w:val="0"/>
        </w:rPr>
        <w:t xml:space="preserve">observations that will make sense of them. To make this crucial step as transparent and replicable as possible</w:t>
      </w:r>
      <w:r w:rsidDel="00000000" w:rsidR="00000000" w:rsidRPr="00000000">
        <w:rPr>
          <w:rtl w:val="0"/>
        </w:rPr>
        <w:t xml:space="preserve">, we have built an application, where readers can explore all the semantic clusters and bibliometric communities, together with their corresponding indicators.</w:t>
      </w:r>
      <w:r w:rsidDel="00000000" w:rsidR="00000000" w:rsidRPr="00000000">
        <w:rPr>
          <w:vertAlign w:val="superscript"/>
        </w:rPr>
        <w:footnoteReference w:customMarkFollows="0" w:id="26"/>
      </w:r>
      <w:r w:rsidDel="00000000" w:rsidR="00000000" w:rsidRPr="00000000">
        <w:rPr>
          <w:rtl w:val="0"/>
        </w:rPr>
        <w:t xml:space="preserve"> Let us take as an example the semantic cluster we labelled “Rationality and its Limits,” which gathers close to 20,000 sentences from 1920 to 2009.</w:t>
      </w:r>
      <w:r w:rsidDel="00000000" w:rsidR="00000000" w:rsidRPr="00000000">
        <w:rPr>
          <w:vertAlign w:val="superscript"/>
        </w:rPr>
        <w:footnoteReference w:customMarkFollows="0" w:id="27"/>
      </w:r>
      <w:r w:rsidDel="00000000" w:rsidR="00000000" w:rsidRPr="00000000">
        <w:rPr>
          <w:rtl w:val="0"/>
        </w:rPr>
        <w:t xml:space="preserve"> How can we get a sense of what this cluster actually coalesces around? Before any qualitative interpretation or contextualization with the secondary literature, we must first produce a series of indicators to help us at characterizing the cluster. We choose the following indicators: </w:t>
      </w:r>
    </w:p>
    <w:p w:rsidR="00000000" w:rsidDel="00000000" w:rsidP="00000000" w:rsidRDefault="00000000" w:rsidRPr="00000000" w14:paraId="0000003E">
      <w:pPr>
        <w:numPr>
          <w:ilvl w:val="0"/>
          <w:numId w:val="1"/>
        </w:numPr>
        <w:spacing w:after="0" w:afterAutospacing="0"/>
        <w:ind w:left="720" w:hanging="360"/>
        <w:rPr/>
      </w:pPr>
      <w:r w:rsidDel="00000000" w:rsidR="00000000" w:rsidRPr="00000000">
        <w:rPr>
          <w:b w:val="1"/>
          <w:bCs w:val="1"/>
          <w:rtl w:val="0"/>
        </w:rPr>
        <w:t xml:space="preserve">The TF-IDF. </w:t>
      </w:r>
      <w:r w:rsidDel="00000000" w:rsidR="00000000" w:rsidRPr="00000000">
        <w:rPr>
          <w:rtl w:val="0"/>
        </w:rPr>
        <w:t xml:space="preserve">We</w:t>
      </w:r>
      <w:r w:rsidDel="00000000" w:rsidR="00000000" w:rsidRPr="00000000">
        <w:rPr>
          <w:b w:val="1"/>
          <w:bCs w:val="1"/>
          <w:rtl w:val="0"/>
        </w:rPr>
        <w:t xml:space="preserve"> </w:t>
      </w:r>
      <w:r w:rsidDel="00000000" w:rsidR="00000000" w:rsidRPr="00000000">
        <w:rPr>
          <w:rtl w:val="0"/>
        </w:rPr>
        <w:t xml:space="preserve">identify words specific to the cluster for each decade, based on Term Frequency-Inverse Document Frequency (TF-IDF). For instance, while the first period of the cluster (the 1920s) deals notably with “rationalisation” and “human reason,” the 1950s are more directly focused on “rationalism,” “rationality,” and “rational behavior.” After the 1970s and until 2009, “bounded rationality” </w:t>
      </w:r>
      <w:r w:rsidDel="00000000" w:rsidR="00000000" w:rsidRPr="00000000">
        <w:rPr>
          <w:rtl w:val="0"/>
        </w:rPr>
        <w:t xml:space="preserve">emerges</w:t>
      </w:r>
      <w:r w:rsidDel="00000000" w:rsidR="00000000" w:rsidRPr="00000000">
        <w:rPr>
          <w:rtl w:val="0"/>
        </w:rPr>
        <w:t xml:space="preserve"> as a core concept in this cluster.</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b w:val="1"/>
          <w:bCs w:val="1"/>
          <w:rtl w:val="0"/>
        </w:rPr>
        <w:t xml:space="preserve">The closest sentences.</w:t>
      </w:r>
      <w:r w:rsidDel="00000000" w:rsidR="00000000" w:rsidRPr="00000000">
        <w:rPr>
          <w:rtl w:val="0"/>
        </w:rPr>
        <w:t xml:space="preserve"> W</w:t>
      </w:r>
      <w:r w:rsidDel="00000000" w:rsidR="00000000" w:rsidRPr="00000000">
        <w:rPr>
          <w:rtl w:val="0"/>
        </w:rPr>
        <w:t xml:space="preserve">e use two different definitions. First, the sentences within the semantic cluster that are closest to its year-representative vector. Second, the closest sentences from the  cluster’s centroid itself for each period. The first tends to highlight how the concept of rationality is discussed, while the second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closest sentences from cluster’s centroid,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b w:val="1"/>
          <w:bCs w:val="1"/>
          <w:rtl w:val="0"/>
        </w:rPr>
        <w:t xml:space="preserve">The closest articles</w:t>
      </w:r>
      <w:r w:rsidDel="00000000" w:rsidR="00000000" w:rsidRPr="00000000">
        <w:rPr>
          <w:rtl w:val="0"/>
        </w:rPr>
        <w:t xml:space="preserve">. We define the closest articles as those containing the highest number of sentences belonging to the cluster within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 We also observe that many of these articles are published in </w:t>
      </w:r>
      <w:r w:rsidDel="00000000" w:rsidR="00000000" w:rsidRPr="00000000">
        <w:rPr>
          <w:rtl w:val="0"/>
        </w:rPr>
        <w:t xml:space="preserve">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 From the representative sentences and articles, we can also infer recurring authors.</w:t>
      </w:r>
      <w:r w:rsidDel="00000000" w:rsidR="00000000" w:rsidRPr="00000000">
        <w:rPr>
          <w:rtl w:val="0"/>
        </w:rPr>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b w:val="1"/>
          <w:bCs w:val="1"/>
          <w:rtl w:val="0"/>
        </w:rPr>
        <w:t xml:space="preserve">The most cited references.</w:t>
      </w:r>
      <w:r w:rsidDel="00000000" w:rsidR="00000000" w:rsidRPr="00000000">
        <w:rPr>
          <w:rtl w:val="0"/>
        </w:rPr>
        <w:t xml:space="preserve"> From the 1950s onward, we compute the most cited references in the cluster (based on the number of citations per article, whether the article has one or ten sentences in the cluster). For instance, in the 1950s,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identify this semantic cluster as centrally relevant to our study, since it bears directly on the concept of rationality itself (hence our label, “Rationality and Its Limits”). Our textual approach is therefore capable of isolating specific uses of rationality—here, debates concerning the meaning of rationality itself and the limitations of its application in economics—thereby enabling us to trace the evolution of these uses over time as well as across topics and subdisciplines, including game theory, macroeconomics, behavioral economics, and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articles from authors in close academic communities. I</w:t>
      </w:r>
      <w:r w:rsidDel="00000000" w:rsidR="00000000" w:rsidRPr="00000000">
        <w:rPr>
          <w:rtl w:val="0"/>
        </w:rPr>
        <w:t xml:space="preserve">n relation to the semantic cluster “Rationality and its Limits”, we observe, for instance, the emergence of the community </w:t>
      </w:r>
      <w:r w:rsidDel="00000000" w:rsidR="00000000" w:rsidRPr="00000000">
        <w:rPr>
          <w:rtl w:val="0"/>
        </w:rPr>
        <w:t xml:space="preserve">“Behavioral Economics: Risk &amp; Uncertainty”</w:t>
      </w:r>
      <w:r w:rsidDel="00000000" w:rsidR="00000000" w:rsidRPr="00000000">
        <w:rPr>
          <w:rtl w:val="0"/>
        </w:rPr>
        <w:t xml:space="preserve"> community in the 1981-1988 window. As with the semantic clusters, for each bibliometric community in each temporal window we extract, equivalent indicators: the most identifying words, the sentences closest to the representative vectors—based on the articles belonging to the community—as well as the most cited references. We also examine the flows of each community in a given window: that is whether its nodes derive primarily from the same or from different communities in preceding periods (“origins”)  and what they become in the following period (“destinies”).</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indicators, we can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semantic change and the interpretative challenges inherent to large-scale analysis.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Our goal is also to show how we navigate the results and triangulate indicators to produce coherent historical narratives. While we rely on the secondary literature, the articles we foreground are those identified by our indicators as some of the most significant for understanding the semantic clusters or bibliometric communities.</w:t>
      </w:r>
      <w:r w:rsidDel="00000000" w:rsidR="00000000" w:rsidRPr="00000000">
        <w:rPr>
          <w:vertAlign w:val="superscript"/>
        </w:rPr>
        <w:footnoteReference w:customMarkFollows="0" w:id="28"/>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8">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A">
      <w:pPr>
        <w:rPr/>
      </w:pPr>
      <w:r w:rsidDel="00000000" w:rsidR="00000000" w:rsidRPr="00000000">
        <w:rPr>
          <w:rtl w:val="0"/>
        </w:rPr>
        <w:t xml:space="preserve">In our first two decades, semantic cluster “Utility Theory”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“History of Economic Thought &amp; Philosophy of Economics” also captures discussions about utility that were framed as interpretations, critiques, or extensions of classical authors—most notably Mill, Ricardo or Malthus. Yet, if anything, our results suggest that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29"/>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From 1900–1920, the semantic cluster “Methodological Discussions” captures a significant share of sentences that address such institutionalist critiques.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30"/>
      </w:r>
      <w:r w:rsidDel="00000000" w:rsidR="00000000" w:rsidRPr="00000000">
        <w:rPr>
          <w:rtl w:val="0"/>
        </w:rPr>
        <w:t xml:space="preserve"> Such criticism did not falter in the 1920s. In the cluster “Rationality and its Limits”—centered at the time on “rationalisation” and “human reason”—@tugwellHuman1922[317] encouraged economists to move beyond the “rigid classical </w:t>
      </w:r>
      <w:r w:rsidDel="00000000" w:rsidR="00000000" w:rsidRPr="00000000">
        <w:rPr>
          <w:i w:val="1"/>
          <w:iCs w:val="1"/>
          <w:rtl w:val="0"/>
        </w:rPr>
        <w:t xml:space="preserve">homo </w:t>
      </w:r>
      <w:r w:rsidDel="00000000" w:rsidR="00000000" w:rsidRPr="00000000">
        <w:rPr>
          <w:i w:val="1"/>
          <w:iCs w:val="1"/>
          <w:rtl w:val="0"/>
        </w:rPr>
        <w:t xml:space="preserve">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C">
      <w:pPr>
        <w:rPr/>
      </w:pPr>
      <w:r w:rsidDel="00000000" w:rsidR="00000000" w:rsidRPr="00000000">
        <w:rPr>
          <w:rtl w:val="0"/>
        </w:rPr>
        <w:t xml:space="preserve">A second line of criticism held that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the cluster “Methodological Discussions”, in his review of John Bates Clark’s contribution, @veblenProfessor1908[159-160] argued against the “statical scope and character” of marginal-utility theory, which, in his view, cannot address “questions of genesis, growth, variation, process.” Similarly, in the cluster “Utility Theory”, E. H. @downeyFutility1910[253]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in the cluster “Methodological Discussions”,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4D">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progressive taxation (see cluster “Legislation, Regulation &amp; Planning”), tariffs and commercial policy in the United States (see cluster “Price Theory”), or agriculture (see cluster “Agricultural Economics”).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Within these clusters, “rationality” is rarely invoked explicitly, although discussions of the behavior of “business men” (cluster “Firm Theory &amp; Entrepreneur”), “workmen” (cluster “Legislation, Regulation &amp; Planning”) or “owners of land” and “farmers” (cluster “Agricultural Economics”) were common. Across successive periods, however, these thematic configurations declined in prominence, and most intertemporal clusters associated with them disappeared after the Second World War. </w:t>
      </w:r>
      <w:r w:rsidDel="00000000" w:rsidR="00000000" w:rsidRPr="00000000">
        <w:rPr>
          <w:rtl w:val="0"/>
        </w:rPr>
        <w:t xml:space="preserve">Indeed, the period from 1930 to 1959 displays substantial transformations in the structure of debates concerning rationality.</w:t>
      </w:r>
    </w:p>
    <w:p w:rsidR="00000000" w:rsidDel="00000000" w:rsidP="00000000" w:rsidRDefault="00000000" w:rsidRPr="00000000" w14:paraId="0000004E">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F">
      <w:pPr>
        <w:rPr/>
      </w:pPr>
      <w:r w:rsidDel="00000000" w:rsidR="00000000" w:rsidRPr="00000000">
        <w:rPr>
          <w:rtl w:val="0"/>
        </w:rPr>
        <w:t xml:space="preserve">These transformations are visible in the intertemporal semantic semantic cluster “Utility Theory”. While it constituted only a tiny share of sentences between 1900 and 1919, and was absent in the 1920s, it gained importance in the 1930s to the 1950s (though still representing less than 5% of all sentences). During this period, the cluster captures the heart of the debate concerning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also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w:t>
      </w:r>
      <w:r w:rsidDel="00000000" w:rsidR="00000000" w:rsidRPr="00000000">
        <w:rPr>
          <w:vertAlign w:val="superscript"/>
        </w:rPr>
        <w:footnoteReference w:customMarkFollows="0" w:id="31"/>
      </w:r>
      <w:r w:rsidDel="00000000" w:rsidR="00000000" w:rsidRPr="00000000">
        <w:rPr>
          <w:rtl w:val="0"/>
        </w:rPr>
        <w:t xml:space="preserve"> In other words, “Subjective and psychological concepts have been discarded from pure economic theory” (ibid.).</w:t>
      </w:r>
    </w:p>
    <w:p w:rsidR="00000000" w:rsidDel="00000000" w:rsidP="00000000" w:rsidRDefault="00000000" w:rsidRPr="00000000" w14:paraId="00000050">
      <w:pPr>
        <w:rPr/>
      </w:pPr>
      <w:r w:rsidDel="00000000" w:rsidR="00000000" w:rsidRPr="00000000">
        <w:rPr>
          <w:rtl w:val="0"/>
        </w:rPr>
        <w:t xml:space="preserve">Yet this position was not uncontested. Indeed, </w:t>
      </w:r>
      <w:r w:rsidDel="00000000" w:rsidR="00000000" w:rsidRPr="00000000">
        <w:rPr>
          <w:rtl w:val="0"/>
        </w:rPr>
        <w:t xml:space="preserve">in the same cluster, terms such as “introspection,” “satisfaction(s),” and “pleasure” recur frequently during the 1930s and 1940s [see TF-IDF, and, for instance, </w:t>
      </w:r>
      <w:r w:rsidDel="00000000" w:rsidR="00000000" w:rsidRPr="00000000">
        <w:rPr>
          <w:rtl w:val="0"/>
        </w:rPr>
        <w:t xml:space="preserve">@armstrongDeterminateness1939]</w:t>
      </w:r>
      <w:r w:rsidDel="00000000" w:rsidR="00000000" w:rsidRPr="00000000">
        <w:rPr>
          <w:rtl w:val="0"/>
        </w:rPr>
        <w:t xml:space="preserve">. But they disappeared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intertemporal semantic cluster “Decision Theory”, distinct from the cluster “Utility Theory.” Appearing in the 1940s and expanding substantially during the 1950s—to nearly 8% of all sentences—this cluster centers on the formalization of agents’ preferences and choices. Here, we encounter what would become the standard vocabulary of decision theory: “individual orderings,” “preferences,” “decisions,” “transitive,” etc., and @vonneumannTheory1944, @friedmanUtility1948, and @savageFoundations1954 are the most cited references by the core articles of the cluster.  To complete this panorama, a separate cluster “Game Theory” emerged in the 1950s, which ultimately comes to represent nearly 15% of all sentences after 1990.</w:t>
      </w:r>
    </w:p>
    <w:p w:rsidR="00000000" w:rsidDel="00000000" w:rsidP="00000000" w:rsidRDefault="00000000" w:rsidRPr="00000000" w14:paraId="00000051">
      <w:pPr>
        <w:rPr/>
      </w:pPr>
      <w:r w:rsidDel="00000000" w:rsidR="00000000" w:rsidRPr="00000000">
        <w:rPr>
          <w:rtl w:val="0"/>
        </w:rPr>
        <w:t xml:space="preserve">Transformations in the conception of rationality are also visible in intertemporal semantic clusters that persist over time while reflecting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For instance, the cluster “Firm Theory &amp; Entrepreneur” spans the period from 1900 to 1979 and therefore provides a useful vantage point from which to trace how changing conceptions of rationality reshaped the treatment of firms’ decisions.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defended profit maximization and, more broadly, marginalist theory itself.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32"/>
      </w:r>
      <w:r w:rsidDel="00000000" w:rsidR="00000000" w:rsidRPr="00000000">
        <w:rPr>
          <w:rtl w:val="0"/>
        </w:rPr>
        <w:t xml:space="preserve"> More generally, the marginalist controversy provided a key intellectual background for Friedman’s essay on positive economics [-@friedmanMethodology1953], in which he formulated the “as if” principle to justify, among other assumptions, profit maximization. By the 1950s, the most cited articles within the cluster “Firm Theory &amp; Entrepreneur” were Machlup’s [-@machlupMarginal1946] and Friedman’s [@friedmanUtility1948], both of which relied heavily on “as if” reasoning, notably to justify, in the latter, the behavior of agents regarding expected utility.</w:t>
      </w:r>
      <w:r w:rsidDel="00000000" w:rsidR="00000000" w:rsidRPr="00000000">
        <w:rPr>
          <w:vertAlign w:val="superscript"/>
        </w:rPr>
        <w:footnoteReference w:customMarkFollows="0" w:id="33"/>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Shifts in the discipline’s methodology are also captured by the cluster “Methodological Discussion.”</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4">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well before the Cold War. In the 1930s, the concept of “rationalization”—relatively neglected in the history of economic thought—was central in the cluster “Rationality and its Limits.”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the cluster “Agricultural Economics”, with the rise of “farm management” aimed at improving farmers’ living conditions. It becomes even more pronounced with the multiplication of debates on economic planning and the rationalization of policy decisions from the 1940s onward, particularly in the cluster “Legislation, Regulation &amp; Planning.”</w:t>
      </w:r>
    </w:p>
    <w:p w:rsidR="00000000" w:rsidDel="00000000" w:rsidP="00000000" w:rsidRDefault="00000000" w:rsidRPr="00000000" w14:paraId="00000055">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the intertemporal semantic c</w:t>
      </w:r>
      <w:r w:rsidDel="00000000" w:rsidR="00000000" w:rsidRPr="00000000">
        <w:rPr>
          <w:rtl w:val="0"/>
        </w:rPr>
        <w:t xml:space="preserve">luster “Decision Theory”, the rational “decision making” is applied not only to individuals but also to firms and public policy. Social choice issues emerge in this cluster in the 1970s, notably through debates on the implications of Arrow’s impossibility theorem [-@arrowSocial1951; see e.g. @igersheimDeath2019].</w:t>
      </w:r>
      <w:r w:rsidDel="00000000" w:rsidR="00000000" w:rsidRPr="00000000">
        <w:rPr>
          <w:vertAlign w:val="superscript"/>
        </w:rPr>
        <w:footnoteReference w:customMarkFollows="0" w:id="34"/>
      </w:r>
      <w:r w:rsidDel="00000000" w:rsidR="00000000" w:rsidRPr="00000000">
        <w:rPr>
          <w:rtl w:val="0"/>
        </w:rPr>
        <w:t xml:space="preserve"> Arrow’s contribution also stimulated the formation of the cluster “Voting &amp; Public Choice”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“Public Economics: Externalities” with James Buchanan, Ronald Coase, and Richard Musgrave as central references. The prominence of public finance increases further in subsequent decades, with many communities gravitating around “Public Economics: Externalities”, notably one devoted to optimal taxation after 1968; taken together, these different “Public Economics” communities account for more than one fifth of the entire network in these periods.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with the intertemporal semantic cluster “Monetary Policy &amp; Rational Expectations”.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35"/>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(“Macroeconomics: Business Cycles &amp; RE,” “International Macroeconomics,” and “Macroeconomics: Modelling Consequences of RE”).</w:t>
      </w:r>
    </w:p>
    <w:p w:rsidR="00000000" w:rsidDel="00000000" w:rsidP="00000000" w:rsidRDefault="00000000" w:rsidRPr="00000000" w14:paraId="00000057">
      <w:pPr>
        <w:rPr/>
      </w:pPr>
      <w:r w:rsidDel="00000000" w:rsidR="00000000" w:rsidRPr="00000000">
        <w:rPr>
          <w:rtl w:val="0"/>
        </w:rPr>
        <w:t xml:space="preserve">A similar trajectory to macroeconomics can also be observed in finance. The origins of financial issues can be traced to the semantic cluster “Capital &amp; Investment Theory,”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became a central theme, crystallized by works such as George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the cluster “Capital &amp; Investment Theory” </w:t>
      </w:r>
      <w:r w:rsidDel="00000000" w:rsidR="00000000" w:rsidRPr="00000000">
        <w:rPr>
          <w:rtl w:val="0"/>
        </w:rPr>
        <w:t xml:space="preserve">became</w:t>
      </w:r>
      <w:r w:rsidDel="00000000" w:rsidR="00000000" w:rsidRPr="00000000">
        <w:rPr>
          <w:rtl w:val="0"/>
        </w:rPr>
        <w:t xml:space="preserve"> much more prominent, accounting for more than 10% of all sentences. In this period, rationality is increasingly framed in formal decision-theoretic terms and focused on appropriate investment choices under uncertainty.  Hence, our analysis suggests that rationality in finance enters primarily through corporate finance, rather than through asset pricing, where rationality seems to have  remained an implicit assumption, rarely discussed explicitly prior to the emergence of behavioral finance. </w:t>
      </w:r>
    </w:p>
    <w:p w:rsidR="00000000" w:rsidDel="00000000" w:rsidP="00000000" w:rsidRDefault="00000000" w:rsidRPr="00000000" w14:paraId="00000058">
      <w:pPr>
        <w:rPr/>
      </w:pPr>
      <w:r w:rsidDel="00000000" w:rsidR="00000000" w:rsidRPr="00000000">
        <w:rPr>
          <w:rtl w:val="0"/>
        </w:rPr>
        <w:t xml:space="preserve">However, from the 1980s onward, modern asset pricing became dominant within the cluster “Capital &amp; Investment Theory”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visible both in the textual and bibliometric analysis, in particular with the “Finance: Market Information” bibliometric community, which emerged in the 1971-1978 window and focuses increasingly on rational expectations.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began to change gradually from the 1980s onward. In the 1981-1988 bibliometric network, the community “</w:t>
      </w:r>
      <w:r w:rsidDel="00000000" w:rsidR="00000000" w:rsidRPr="00000000">
        <w:rPr>
          <w:rtl w:val="0"/>
        </w:rPr>
        <w:t xml:space="preserve">Behavioral Economics: Risk &amp; Uncertainty</w:t>
      </w:r>
      <w:r w:rsidDel="00000000" w:rsidR="00000000" w:rsidRPr="00000000">
        <w:rPr>
          <w:rtl w:val="0"/>
        </w:rPr>
        <w:t xml:space="preserve">” appears (representing around 5%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A">
      <w:pPr>
        <w:rPr/>
      </w:pPr>
      <w:r w:rsidDel="00000000" w:rsidR="00000000" w:rsidRPr="00000000">
        <w:rPr>
          <w:rtl w:val="0"/>
        </w:rPr>
        <w:t xml:space="preserve">We have sought here to offer a broad panorama of the major transformations in the concept of “rationality” in economics. These results are largely consistent with an established historiography, although this approach could be particularly useful in less studied areas or to assess more </w:t>
      </w:r>
      <w:r w:rsidDel="00000000" w:rsidR="00000000" w:rsidRPr="00000000">
        <w:rPr>
          <w:rtl w:val="0"/>
        </w:rPr>
        <w:t xml:space="preserve">accurately</w:t>
      </w:r>
      <w:r w:rsidDel="00000000" w:rsidR="00000000" w:rsidRPr="00000000">
        <w:rPr>
          <w:rtl w:val="0"/>
        </w:rPr>
        <w:t xml:space="preserve"> the timing of change. Here, it allows us to identify large-scale changes when they become visible in the data—namely, when particular clusters come to represent a significant share of sentences (or of the bibliometric networks). For instance, we observe that the “social” dimension of rationality became prominent already in the 1930s, when the issue of “rationalising” economic processes and policy arose. Still, historians of economic thought are often concerned with uncovering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B">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C">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D">
      <w:pPr>
        <w:rPr/>
      </w:pPr>
      <w:r w:rsidDel="00000000" w:rsidR="00000000" w:rsidRPr="00000000">
        <w:rPr>
          <w:rtl w:val="0"/>
        </w:rPr>
        <w:t xml:space="preserve">Why did these two closely conceptually-related research programs follow such different trajectories and levels of influence in economics?  Both challenged standard assumptions of rationality under the banner of behavioral economics, and both were ultimately recognized with Nobel Prizes, yet their patterns of reception and adoption differed. While our methods cannot identify the comprehensive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E">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The semantic cluster “Rationality &amp; its Limits” undergoes a marked transformation following the rise of Simon’s influence. In the 1950s, the TF-IDF</w:t>
      </w:r>
      <w:r w:rsidDel="00000000" w:rsidR="00000000" w:rsidRPr="00000000">
        <w:rPr>
          <w:b w:val="1"/>
          <w:bCs w:val="1"/>
          <w:rtl w:val="0"/>
        </w:rPr>
        <w:t xml:space="preserve"> </w:t>
      </w:r>
      <w:r w:rsidDel="00000000" w:rsidR="00000000" w:rsidRPr="00000000">
        <w:rPr>
          <w:rtl w:val="0"/>
        </w:rPr>
        <w:t xml:space="preserve">associated with this cluster was centered on terms such as “rational behavior,” “rationalization,” and “irrationality.” By the 1970s, “bounded rationality” had become one the most prevalent expressions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F">
      <w:pPr>
        <w:rPr/>
      </w:pPr>
      <w:r w:rsidDel="00000000" w:rsidR="00000000" w:rsidRPr="00000000">
        <w:rPr>
          <w:rtl w:val="0"/>
        </w:rPr>
        <w:t xml:space="preserve">Moreover, Simon’s impact is visible not only in the changing language of rationality but also in the growing prominence of these debates within economics. The cluster “Rationality &amp; its Limits”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60">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present in the semantic clusters “Decision Theory” and “Decision Under Uncertainty”, as well as in “Consumption, Savings &amp; Intertemporal Choice” and “Game Theory”. All of these four clusters expanded rapidly in the 1980s, with most of them individually surpassing cluster “Rationality &amp; its Limits”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game theory [@gualaParadigmatic2008].</w:t>
      </w:r>
    </w:p>
    <w:p w:rsidR="00000000" w:rsidDel="00000000" w:rsidP="00000000" w:rsidRDefault="00000000" w:rsidRPr="00000000" w14:paraId="00000061">
      <w:pPr>
        <w:rPr/>
      </w:pPr>
      <w:r w:rsidDel="00000000" w:rsidR="00000000" w:rsidRPr="00000000">
        <w:rPr>
          <w:rtl w:val="0"/>
        </w:rPr>
        <w:t xml:space="preserve">Second, Simon's conceptual influence, spearheaded by bounded rationality, never translated into stable bibliometric communities. While his framework shaped how many economists approached rationality, very few actually developed the research program he initiated. In our bibliometric networks, only small, unstable communities formed around Simon's work. In the 1960s and early 1970s, his ideas appeared in </w:t>
      </w:r>
      <w:r w:rsidDel="00000000" w:rsidR="00000000" w:rsidRPr="00000000">
        <w:rPr>
          <w:i w:val="1"/>
          <w:iCs w:val="1"/>
          <w:rtl w:val="0"/>
        </w:rPr>
        <w:t xml:space="preserve">Public Economic</w:t>
      </w:r>
      <w:r w:rsidDel="00000000" w:rsidR="00000000" w:rsidRPr="00000000">
        <w:rPr>
          <w:rtl w:val="0"/>
        </w:rPr>
        <w:t xml:space="preserve"> clusters, operations research circles and behavioral theories of the firm (</w:t>
      </w:r>
      <w:r w:rsidDel="00000000" w:rsidR="00000000" w:rsidRPr="00000000">
        <w:rPr>
          <w:i w:val="1"/>
          <w:iCs w:val="1"/>
          <w:rtl w:val="0"/>
        </w:rPr>
        <w:t xml:space="preserve">cl_165</w:t>
      </w:r>
      <w:r w:rsidDel="00000000" w:rsidR="00000000" w:rsidRPr="00000000">
        <w:rPr>
          <w:rtl w:val="0"/>
        </w:rPr>
        <w:t xml:space="preserve">)</w:t>
      </w:r>
      <w:r w:rsidDel="00000000" w:rsidR="00000000" w:rsidRPr="00000000">
        <w:rPr>
          <w:rtl w:val="0"/>
        </w:rPr>
        <w:t xml:space="preserve"> and critique of the standard profit-maximizing such as socialist enterprise theory (</w:t>
      </w:r>
      <w:r w:rsidDel="00000000" w:rsidR="00000000" w:rsidRPr="00000000">
        <w:rPr>
          <w:i w:val="1"/>
          <w:iCs w:val="1"/>
          <w:rtl w:val="0"/>
        </w:rPr>
        <w:t xml:space="preserve">cl_123</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w:t>
      </w:r>
      <w:r w:rsidDel="00000000" w:rsidR="00000000" w:rsidRPr="00000000">
        <w:rPr>
          <w:i w:val="1"/>
          <w:iCs w:val="1"/>
          <w:rtl w:val="0"/>
        </w:rPr>
        <w:t xml:space="preserve">cl_179</w:t>
      </w:r>
      <w:r w:rsidDel="00000000" w:rsidR="00000000" w:rsidRPr="00000000">
        <w:rPr>
          <w:rtl w:val="0"/>
        </w:rPr>
        <w:t xml:space="preserve">).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[see also @sent_behavioral_2004]. After 1969-1976, these different research streams coalesced into a small short-lived community (</w:t>
      </w:r>
      <w:r w:rsidDel="00000000" w:rsidR="00000000" w:rsidRPr="00000000">
        <w:rPr>
          <w:i w:val="1"/>
          <w:iCs w:val="1"/>
          <w:rtl w:val="0"/>
        </w:rPr>
        <w:t xml:space="preserve">cl_258</w:t>
      </w:r>
      <w:r w:rsidDel="00000000" w:rsidR="00000000" w:rsidRPr="00000000">
        <w:rPr>
          <w:rtl w:val="0"/>
        </w:rPr>
        <w:t xml:space="preserve">) before fragmenting. References to Simon and critiques of profit maximization remained scattered, moving through several small communities (e.g., </w:t>
      </w:r>
      <w:r w:rsidDel="00000000" w:rsidR="00000000" w:rsidRPr="00000000">
        <w:rPr>
          <w:i w:val="1"/>
          <w:iCs w:val="1"/>
          <w:rtl w:val="0"/>
        </w:rPr>
        <w:t xml:space="preserve">cl_793 </w:t>
      </w:r>
      <w:r w:rsidDel="00000000" w:rsidR="00000000" w:rsidRPr="00000000">
        <w:rPr>
          <w:rtl w:val="0"/>
        </w:rPr>
        <w:t xml:space="preserve">on post-keynesian economics</w:t>
      </w:r>
      <w:r w:rsidDel="00000000" w:rsidR="00000000" w:rsidRPr="00000000">
        <w:rPr>
          <w:rtl w:val="0"/>
        </w:rPr>
        <w:t xml:space="preserve">, </w:t>
      </w:r>
      <w:r w:rsidDel="00000000" w:rsidR="00000000" w:rsidRPr="00000000">
        <w:rPr>
          <w:i w:val="1"/>
          <w:iCs w:val="1"/>
          <w:rtl w:val="0"/>
        </w:rPr>
        <w:t xml:space="preserve">cl_755</w:t>
      </w:r>
      <w:r w:rsidDel="00000000" w:rsidR="00000000" w:rsidRPr="00000000">
        <w:rPr>
          <w:rtl w:val="0"/>
        </w:rPr>
        <w:t xml:space="preserve"> on contract theory</w:t>
      </w:r>
      <w:r w:rsidDel="00000000" w:rsidR="00000000" w:rsidRPr="00000000">
        <w:rPr>
          <w:rtl w:val="0"/>
        </w:rPr>
        <w:t xml:space="preserve">, </w:t>
      </w:r>
      <w:r w:rsidDel="00000000" w:rsidR="00000000" w:rsidRPr="00000000">
        <w:rPr>
          <w:i w:val="1"/>
          <w:iCs w:val="1"/>
          <w:rtl w:val="0"/>
        </w:rPr>
        <w:t xml:space="preserve">cl_773 </w:t>
      </w:r>
      <w:r w:rsidDel="00000000" w:rsidR="00000000" w:rsidRPr="00000000">
        <w:rPr>
          <w:rtl w:val="0"/>
        </w:rPr>
        <w:t xml:space="preserve">and </w:t>
      </w:r>
      <w:r w:rsidDel="00000000" w:rsidR="00000000" w:rsidRPr="00000000">
        <w:rPr>
          <w:i w:val="1"/>
          <w:iCs w:val="1"/>
          <w:rtl w:val="0"/>
        </w:rPr>
        <w:t xml:space="preserve">cl_614</w:t>
      </w:r>
      <w:r w:rsidDel="00000000" w:rsidR="00000000" w:rsidRPr="00000000">
        <w:rPr>
          <w:rtl w:val="0"/>
        </w:rPr>
        <w:t xml:space="preserve"> on institutionalist approache</w:t>
      </w:r>
      <w:r w:rsidDel="00000000" w:rsidR="00000000" w:rsidRPr="00000000">
        <w:rPr>
          <w:rtl w:val="0"/>
        </w:rPr>
        <w:t xml:space="preserve">s</w:t>
      </w:r>
      <w:r w:rsidDel="00000000" w:rsidR="00000000" w:rsidRPr="00000000">
        <w:rPr>
          <w:rtl w:val="0"/>
        </w:rPr>
        <w:t xml:space="preserve">) without ever achieving the critical mass. While Simon’s influence in economics was conceptually enduring, it remained marginal and  unable to generate coherent, large and stable bibliometric communities.</w:t>
      </w:r>
    </w:p>
    <w:p w:rsidR="00000000" w:rsidDel="00000000" w:rsidP="00000000" w:rsidRDefault="00000000" w:rsidRPr="00000000" w14:paraId="00000062">
      <w:pPr>
        <w:ind w:right="0"/>
        <w:rPr/>
      </w:pPr>
      <w:r w:rsidDel="00000000" w:rsidR="00000000" w:rsidRPr="00000000">
        <w:rPr>
          <w:rtl w:val="0"/>
        </w:rPr>
        <w:t xml:space="preserve">“New” behavioral economics reception reveals a dramatic contrast. Unlike Simon’s trajectory, the heuristics and biases research program of Kahneman, Tversky, and other “new” behavioral economists generated multiple stable clusters that formed well-identified and substantial research communities. A main “</w:t>
      </w:r>
      <w:r w:rsidDel="00000000" w:rsidR="00000000" w:rsidRPr="00000000">
        <w:rPr>
          <w:rtl w:val="0"/>
        </w:rPr>
        <w:t xml:space="preserve">Behavioral Economics: Risk &amp; Uncertainty</w:t>
      </w:r>
      <w:r w:rsidDel="00000000" w:rsidR="00000000" w:rsidRPr="00000000">
        <w:rPr>
          <w:rtl w:val="0"/>
        </w:rPr>
        <w:t xml:space="preserve">” cluster emerged in </w:t>
      </w:r>
      <w:r w:rsidDel="00000000" w:rsidR="00000000" w:rsidRPr="00000000">
        <w:rPr>
          <w:rtl w:val="0"/>
        </w:rPr>
        <w:t xml:space="preserve">1981-198</w:t>
      </w:r>
      <w:r w:rsidDel="00000000" w:rsidR="00000000" w:rsidRPr="00000000">
        <w:rPr>
          <w:rtl w:val="0"/>
        </w:rPr>
        <w:t xml:space="preserve">8, structured by early adopters of the new approach. The crystallization of this distinct cluster signaled the beginning of explosive growth and the spinning off of several autonomous communities that captured emerging specialized</w:t>
      </w:r>
      <w:r w:rsidDel="00000000" w:rsidR="00000000" w:rsidRPr="00000000">
        <w:rPr>
          <w:rtl w:val="0"/>
        </w:rPr>
        <w:t xml:space="preserve"> areas of behavioral economics: pro-social behavior (</w:t>
      </w:r>
      <w:r w:rsidDel="00000000" w:rsidR="00000000" w:rsidRPr="00000000">
        <w:rPr>
          <w:i w:val="1"/>
          <w:iCs w:val="1"/>
          <w:rtl w:val="0"/>
        </w:rPr>
        <w:t xml:space="preserve">Behavioral Economics: Social Preferences</w:t>
      </w:r>
      <w:r w:rsidDel="00000000" w:rsidR="00000000" w:rsidRPr="00000000">
        <w:rPr>
          <w:rtl w:val="0"/>
        </w:rPr>
        <w:t xml:space="preserve">) and behavioral game theory (</w:t>
      </w:r>
      <w:r w:rsidDel="00000000" w:rsidR="00000000" w:rsidRPr="00000000">
        <w:rPr>
          <w:i w:val="1"/>
          <w:iCs w:val="1"/>
          <w:rtl w:val="0"/>
        </w:rPr>
        <w:t xml:space="preserve">Game Theory: Behavioral</w:t>
      </w:r>
      <w:r w:rsidDel="00000000" w:rsidR="00000000" w:rsidRPr="00000000">
        <w:rPr>
          <w:rtl w:val="0"/>
        </w:rPr>
        <w:t xml:space="preserve">), intertemporal decision-making and risk (</w:t>
      </w:r>
      <w:r w:rsidDel="00000000" w:rsidR="00000000" w:rsidRPr="00000000">
        <w:rPr>
          <w:i w:val="1"/>
          <w:iCs w:val="1"/>
          <w:rtl w:val="0"/>
        </w:rPr>
        <w:t xml:space="preserve">Behavioral Economics: Risk &amp; Uncertainty</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Finance: Behavioral Finance</w:t>
      </w:r>
      <w:r w:rsidDel="00000000" w:rsidR="00000000" w:rsidRPr="00000000">
        <w:rPr>
          <w:rtl w:val="0"/>
        </w:rPr>
        <w:t xml:space="preserve">).</w:t>
      </w:r>
      <w:r w:rsidDel="00000000" w:rsidR="00000000" w:rsidRPr="00000000">
        <w:rPr>
          <w:rtl w:val="0"/>
        </w:rPr>
        <w:t xml:space="preserve"> In a lot of these cases, behavioral economics clusters come to outgrow or replace existing clusters (e.g., game theory, decision theory).</w:t>
      </w:r>
    </w:p>
    <w:p w:rsidR="00000000" w:rsidDel="00000000" w:rsidP="00000000" w:rsidRDefault="00000000" w:rsidRPr="00000000" w14:paraId="00000063">
      <w:pPr>
        <w:ind w:right="0"/>
        <w:rPr/>
      </w:pPr>
      <w:r w:rsidDel="00000000" w:rsidR="00000000" w:rsidRPr="00000000">
        <w:rPr>
          <w:rtl w:val="0"/>
        </w:rPr>
        <w:t xml:space="preserve">By the 2000s, behavioral economics had become the dominant venue for research on rationality. Three behavioral economics communities represented approximately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4">
      <w:pPr>
        <w:rPr/>
      </w:pPr>
      <w:r w:rsidDel="00000000" w:rsidR="00000000" w:rsidRPr="00000000">
        <w:rPr>
          <w:rtl w:val="0"/>
        </w:rPr>
        <w:t xml:space="preserve">Our quantitative study suggests two </w:t>
      </w:r>
      <w:r w:rsidDel="00000000" w:rsidR="00000000" w:rsidRPr="00000000">
        <w:rPr>
          <w:rtl w:val="0"/>
        </w:rPr>
        <w:t xml:space="preserve">points regarding</w:t>
      </w:r>
      <w:r w:rsidDel="00000000" w:rsidR="00000000" w:rsidRPr="00000000">
        <w:rPr>
          <w:rtl w:val="0"/>
        </w:rPr>
        <w:t xml:space="preserve">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w:t>
      </w:r>
      <w:r w:rsidDel="00000000" w:rsidR="00000000" w:rsidRPr="00000000">
        <w:rPr>
          <w:vertAlign w:val="superscript"/>
        </w:rPr>
        <w:footnoteReference w:customMarkFollows="0" w:id="36"/>
      </w:r>
      <w:r w:rsidDel="00000000" w:rsidR="00000000" w:rsidRPr="00000000">
        <w:rPr>
          <w:rtl w:val="0"/>
        </w:rPr>
        <w:t xml:space="preserve"> Moreover, </w:t>
      </w:r>
      <w:r w:rsidDel="00000000" w:rsidR="00000000" w:rsidRPr="00000000">
        <w:rPr>
          <w:rtl w:val="0"/>
        </w:rPr>
        <w:t xml:space="preserve">as early as the 1978–1985 bibliometric network, we </w:t>
      </w:r>
      <w:r w:rsidDel="00000000" w:rsidR="00000000" w:rsidRPr="00000000">
        <w:rPr>
          <w:rtl w:val="0"/>
        </w:rPr>
        <w:t xml:space="preserve">identify</w:t>
      </w:r>
      <w:r w:rsidDel="00000000" w:rsidR="00000000" w:rsidRPr="00000000">
        <w:rPr>
          <w:rtl w:val="0"/>
        </w:rPr>
        <w:t xml:space="preserve"> an autonomous cluster structured around their work (cl_391), indicating that the article not only attracted citations but quickly catalyzed new research strands, in a way Simon’s work never did within economics [@heukelom_sense_2012]. Hence, while the institutional structures that came after played an important role in the subsequent reception of the research program as a whole, the reception of Kahneman and Tversky’s seminal paper was already important just after its publication. </w:t>
      </w:r>
    </w:p>
    <w:p w:rsidR="00000000" w:rsidDel="00000000" w:rsidP="00000000" w:rsidRDefault="00000000" w:rsidRPr="00000000" w14:paraId="00000065">
      <w:pPr>
        <w:rPr/>
      </w:pPr>
      <w:r w:rsidDel="00000000" w:rsidR="00000000" w:rsidRPr="00000000">
        <w:rPr>
          <w:rtl w:val="0"/>
        </w:rPr>
        <w:t xml:space="preserve">The second point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@earlPrinciples2022[2] criticizes this apparent amnesia:</w:t>
      </w:r>
    </w:p>
    <w:p w:rsidR="00000000" w:rsidDel="00000000" w:rsidP="00000000" w:rsidRDefault="00000000" w:rsidRPr="00000000" w14:paraId="00000066">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surge in citations to earlier works by Simon and Allais reveal a striking tension: while “new” behavioral economists often overlook the contributions of their predecessors, the field’s rapid expansion has paradoxically amplified attention to these earlier works—far beyond the recognition they received upon publication. This pattern supports three competing interpretations, each with distinct implications for the discipline’s trajectory.</w:t>
      </w:r>
    </w:p>
    <w:p w:rsidR="00000000" w:rsidDel="00000000" w:rsidP="00000000" w:rsidRDefault="00000000" w:rsidRPr="00000000" w14:paraId="00000068">
      <w:pPr>
        <w:rPr/>
      </w:pPr>
      <w:r w:rsidDel="00000000" w:rsidR="00000000" w:rsidRPr="00000000">
        <w:rPr>
          <w:rtl w:val="0"/>
        </w:rPr>
        <w:t xml:space="preserve">First, the trend may reflect a genuine revival of abandoned research directions, suggesting a long-overdue reconciliation between old and new behavioral economics. This aligns with calls by @sentRationality2008 and @earlPrinciples2022 to reintegrate older insights into contemporary frameworks. Second, the citations could signal intellectual appropriation, where classic works are selectively reframed to serve modern agendas. As @monginAllais2019 argues, this risks distorting historical contributions through a presentist lens, prioritizing utility over fidelity. Third, the surge in citations may instead represent a backlash against the “new” behavioral program, with defenders of earlier traditions invoking Simon and Allais to challenge the hegemony of heuristics-and-biases frameworks [@vranasGigerenzers2000]. Here, citations function less as homage than as rhetorical weapons in an ongoing contest over the field’s direction.</w:t>
      </w:r>
    </w:p>
    <w:p w:rsidR="00000000" w:rsidDel="00000000" w:rsidP="00000000" w:rsidRDefault="00000000" w:rsidRPr="00000000" w14:paraId="00000069">
      <w:pPr>
        <w:rPr/>
      </w:pPr>
      <w:r w:rsidDel="00000000" w:rsidR="00000000" w:rsidRPr="00000000">
        <w:rPr>
          <w:rtl w:val="0"/>
        </w:rPr>
        <w:t xml:space="preserve">A definitive assessment of this dynamic will require both deeper qualitative analysis—such as archival work or interviews to uncover latent influences—and targeted quantitative studies, including finer-grained tracing of “old” behavioral economics’ intellectual footprint. This goes beyond the scope of this article. Yet our findings provide a roadmap for future research, one that highlights the ambivalent relationship between the field’s past and present. The sparse and fragmented citation patterns we observed for “old” behavioral economics suggest appropriation rather than integration. Our bibliometric networks reveal that neither Simon nor researchers associated with his ideas formed stable or influential communities within the broader landscape of “new” behavioral economics. Instead, their ideas appear as isolated echoes, rarely shaping the field’s core structures.</w:t>
      </w:r>
    </w:p>
    <w:p w:rsidR="00000000" w:rsidDel="00000000" w:rsidP="00000000" w:rsidRDefault="00000000" w:rsidRPr="00000000" w14:paraId="0000006A">
      <w:pPr>
        <w:rPr/>
      </w:pPr>
      <w:r w:rsidDel="00000000" w:rsidR="00000000" w:rsidRPr="00000000">
        <w:rPr>
          <w:rtl w:val="0"/>
        </w:rPr>
        <w:t xml:space="preserve">This disconnection becomes even clearer in the last years of our study. Key concepts from “old” behavioral economics are largely absent from the dominant vocabularies of “new” behavioral economists, particularly in clusters “Game Theory” and “Decision Theory.” Where such ideas </w:t>
      </w:r>
      <w:r w:rsidDel="00000000" w:rsidR="00000000" w:rsidRPr="00000000">
        <w:rPr>
          <w:i w:val="1"/>
          <w:iCs w:val="1"/>
          <w:rtl w:val="0"/>
        </w:rPr>
        <w:t xml:space="preserve">do</w:t>
      </w:r>
      <w:r w:rsidDel="00000000" w:rsidR="00000000" w:rsidRPr="00000000">
        <w:rPr>
          <w:rtl w:val="0"/>
        </w:rPr>
        <w:t xml:space="preserve"> appear, they are marginalized—confined to heterodox or institutionalist spaces, such as the 2000–2009 cluster “Rationality and its Limits.” Even the invocation of “old” behavioral economists follows a pattern of selective framing: figures like Simon are coupled with canonical critics of standard rationality (from Adam Smith to Allais) in the bibliometric community “Behavioral Economics: Social Preferences,” (2002-2009) not to engage with their substantive contributions, but to anchor “new” behavioral economics within a longer tradition of dissent. Simon’s legacy thus seems to endure primarily as a symbolic touchstone—a rhetorical device for situating debates and constructing intellectual genealogies—while his analytical framework remains superficially absorbed, if not sidelined.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B">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C">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literature on quantitative text analysis [@montanelliSurvey2024]. Third, we also provide a LLM-base measure, with a time component (the representative vectors), to select corpora that goes beyond building a raw set of keywords.</w:t>
      </w:r>
    </w:p>
    <w:p w:rsidR="00000000" w:rsidDel="00000000" w:rsidP="00000000" w:rsidRDefault="00000000" w:rsidRPr="00000000" w14:paraId="0000006D">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We want to conclude by drawing several general methodological and historiographic points from the approaches developed in this article.</w:t>
      </w:r>
    </w:p>
    <w:p w:rsidR="00000000" w:rsidDel="00000000" w:rsidP="00000000" w:rsidRDefault="00000000" w:rsidRPr="00000000" w14:paraId="0000006F">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0">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1">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interactive application</w:t>
      </w:r>
      <w:r w:rsidDel="00000000" w:rsidR="00000000" w:rsidRPr="00000000">
        <w:rPr>
          <w:rtl w:val="0"/>
        </w:rPr>
        <w:t xml:space="preserve"> </w:t>
      </w:r>
      <w:r w:rsidDel="00000000" w:rsidR="00000000" w:rsidRPr="00000000">
        <w:rPr>
          <w:rtl w:val="0"/>
        </w:rPr>
        <w:t xml:space="preserve">to explore our results, we hope to encourage readers to pursue their own paths of discovery within the corpus.</w:t>
      </w: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0" w:date="2026-05-14T07:39:02Z">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the final number</w:t>
      </w:r>
    </w:p>
  </w:comment>
  <w:comment w:author="Aurélien Goutsmedt" w:id="1" w:date="2026-05-14T07:39:09Z">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the final number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0">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a term often used in network analysis, in order to distinguish them from the “semantic clusters”.</w:t>
      </w:r>
    </w:p>
  </w:footnote>
  <w:footnote w:id="3">
    <w:p w:rsidR="00000000" w:rsidDel="00000000" w:rsidP="00000000" w:rsidRDefault="00000000" w:rsidRPr="00000000" w14:paraId="0000007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8">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5">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ISTEX allows us to retrieve economics journals not available through JSTOR or Elsevier API, such as the </w:t>
      </w:r>
      <w:r w:rsidDel="00000000" w:rsidR="00000000" w:rsidRPr="00000000">
        <w:rPr>
          <w:i w:val="1"/>
          <w:iCs w:val="1"/>
          <w:sz w:val="20"/>
          <w:szCs w:val="20"/>
          <w:rtl w:val="0"/>
        </w:rPr>
        <w:t xml:space="preserve">Journal of Economic Theory</w:t>
      </w:r>
      <w:r w:rsidDel="00000000" w:rsidR="00000000" w:rsidRPr="00000000">
        <w:rPr>
          <w:sz w:val="20"/>
          <w:szCs w:val="20"/>
          <w:rtl w:val="0"/>
        </w:rPr>
        <w:t xml:space="preserve"> and to access specific issues of Elsevier journals for which we lack institutional access (e.g.,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before 1997). For more detailed information on the collection of data, see the appendix.</w:t>
      </w:r>
    </w:p>
  </w:footnote>
  <w:footnote w:id="9">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 in particular, @tbl-wos-match-decade.</w:t>
      </w:r>
    </w:p>
  </w:footnote>
  <w:footnote w:id="10">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1">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2">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LLMs, to understand the building of our corpus.</w:t>
      </w:r>
    </w:p>
  </w:footnote>
  <w:footnote w:id="24">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HDSBCAN clusters on a set of tens of thousands of sentences is much more computationally intensive than finding bibliometric communities for at most a few thousands of articles.</w:t>
      </w:r>
    </w:p>
  </w:footnote>
  <w:footnote w:id="25">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19">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 We detail and justify the different parameters chosen for our methods in the appendix.</w:t>
      </w:r>
    </w:p>
  </w:footnote>
  <w:footnote w:id="29">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biased toward American journals, notably in the first decades.</w:t>
      </w:r>
    </w:p>
  </w:footnote>
  <w:footnote w:id="28">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indicators (especially most similar sentences and articles).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30">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34">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cluster “Utility Theory” (which ended in the 1960s) with a focus on welfare economics.</w:t>
      </w:r>
    </w:p>
  </w:footnote>
  <w:footnote w:id="35">
    <w:p w:rsidR="00000000" w:rsidDel="00000000" w:rsidP="00000000" w:rsidRDefault="00000000" w:rsidRPr="00000000" w14:paraId="00000084">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32">
    <w:p w:rsidR="00000000" w:rsidDel="00000000" w:rsidP="00000000" w:rsidRDefault="00000000" w:rsidRPr="00000000" w14:paraId="00000085">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[anonymized]</w:t>
      </w:r>
      <w:r w:rsidDel="00000000" w:rsidR="00000000" w:rsidRPr="00000000">
        <w:rPr>
          <w:sz w:val="20"/>
          <w:szCs w:val="20"/>
          <w:rtl w:val="0"/>
        </w:rPr>
        <w:t xml:space="preserve">. A public version is available at the following url: </w:t>
      </w:r>
      <w:hyperlink r:id="rId1">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rtl w:val="0"/>
        </w:rPr>
      </w:r>
    </w:p>
  </w:footnote>
  <w:footnote w:id="4">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Elsevier API allows users to retrieve the full text of Elsevier journals such as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provided that they have institutional access to the relevant issues.</w:t>
      </w:r>
    </w:p>
  </w:footnote>
  <w:footnote w:id="14">
    <w:p w:rsidR="00000000" w:rsidDel="00000000" w:rsidP="00000000" w:rsidRDefault="00000000" w:rsidRPr="00000000" w14:paraId="00000088">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footnote>
  <w:footnote w:id="17">
    <w:p w:rsidR="00000000" w:rsidDel="00000000" w:rsidP="00000000" w:rsidRDefault="00000000" w:rsidRPr="00000000" w14:paraId="00000089">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The choice of the 1% quantile reflects a trade-off between false positives and false negatives. We observed that a more restrictive threshold (e.g., 0.5%) excludes many sentences that obviously deal with rationality in economics, whereas a more permissive threshold (e.g. 2%) includes sentences that are too distant from our core focus, particularly in earlier periods. The 1% threshold therefore appeared as a reasonable compromise. Moreover, a moderate number of false positives does not substantially threaten the analysis, since such sentences are likely to be classified as “noise” by the HDBSCAN algorithm. </w:t>
      </w:r>
    </w:p>
  </w:footnote>
  <w:footnote w:id="18">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“articles-corpus” only </w:t>
      </w:r>
      <w:r w:rsidDel="00000000" w:rsidR="00000000" w:rsidRPr="00000000">
        <w:rPr>
          <w:sz w:val="20"/>
          <w:szCs w:val="20"/>
          <w:rtl w:val="0"/>
        </w:rPr>
        <w:t xml:space="preserve">starts</w:t>
      </w:r>
      <w:r w:rsidDel="00000000" w:rsidR="00000000" w:rsidRPr="00000000">
        <w:rPr>
          <w:sz w:val="20"/>
          <w:szCs w:val="20"/>
          <w:rtl w:val="0"/>
        </w:rPr>
        <w:t xml:space="preserve"> in 1960, because the bibliographic data from WoS </w:t>
      </w:r>
      <w:r w:rsidDel="00000000" w:rsidR="00000000" w:rsidRPr="00000000">
        <w:rPr>
          <w:sz w:val="20"/>
          <w:szCs w:val="20"/>
          <w:rtl w:val="0"/>
        </w:rPr>
        <w:t xml:space="preserve">are</w:t>
      </w:r>
      <w:r w:rsidDel="00000000" w:rsidR="00000000" w:rsidRPr="00000000">
        <w:rPr>
          <w:sz w:val="20"/>
          <w:szCs w:val="20"/>
          <w:rtl w:val="0"/>
        </w:rPr>
        <w:t xml:space="preserve"> too limited prior to this date to be reliably used.</w:t>
      </w:r>
    </w:p>
  </w:footnote>
  <w:footnote w:id="16">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initially tested a symmetric two-year window. However, particularly in the early periods, this specification resulted in substantial volatility in average usage of the terms “rational” and “rationality”, thereby increasing the number of “noisy” sentences (i.e. sentences not clearly related to rationality or tied to highly specific issues). Conversely, longer windows would reduce the advantages of our historical approach, as they would blur temporal variation too much, especially given the rapid growth of the corpus after the 1960s.</w:t>
      </w:r>
    </w:p>
  </w:footnote>
  <w:footnote w:id="13">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Henceforth, “similarity” between sentences or documents refers to cosine similarity.</w:t>
      </w:r>
    </w:p>
  </w:footnote>
  <w:footnote w:id="21">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sz w:val="20"/>
          <w:szCs w:val="20"/>
          <w:rtl w:val="0"/>
        </w:rPr>
        <w:t xml:space="preserve">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footnote>
  <w:footnote w:id="23">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6">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Bibliometric and textual data themselves have a history; they are “made by institutions, through human processes” [@</w:t>
      </w:r>
      <w:r w:rsidDel="00000000" w:rsidR="00000000" w:rsidRPr="00000000">
        <w:rPr>
          <w:sz w:val="20"/>
          <w:szCs w:val="20"/>
          <w:rtl w:val="0"/>
        </w:rPr>
        <w:t xml:space="preserve">guldiDangerous2023</w:t>
      </w:r>
      <w:r w:rsidDel="00000000" w:rsidR="00000000" w:rsidRPr="00000000">
        <w:rPr>
          <w:sz w:val="20"/>
          <w:szCs w:val="20"/>
          <w:rtl w:val="0"/>
        </w:rPr>
        <w:t xml:space="preserve">, 34]. Whether digital or material, archives are shaped by “distortions” and "occlusions", and the processes through which they are constituted are themselves worthy subjects of historical investigation [@dastonSciences2012]. </w:t>
      </w:r>
    </w:p>
  </w:footnote>
  <w:footnote w:id="7">
    <w:p w:rsidR="00000000" w:rsidDel="00000000" w:rsidP="00000000" w:rsidRDefault="00000000" w:rsidRPr="00000000" w14:paraId="0000009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programming dimension of such computational approaches enable iterative feedback between analysis and corpus cleaning [@nelsonComputational2020]; critical scrutiny can therefore be continuously exercised at each stage of the research “pipeline” [@leeRole2020].</w:t>
      </w:r>
    </w:p>
  </w:footnote>
  <w:footnote w:id="20">
    <w:p w:rsidR="00000000" w:rsidDel="00000000" w:rsidP="00000000" w:rsidRDefault="00000000" w:rsidRPr="00000000" w14:paraId="0000009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@simonsLarge2026 for a discussion of using LLMs with unsupervised or supervised methods in the history and philosophy of science.</w:t>
      </w:r>
    </w:p>
  </w:footnote>
  <w:footnote w:id="27">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step in the discovery and interpretive process is often the assignment of “labels” to clusters in order to facilitate the interpretation of visualizations. We assign manually a label to each intertemporal semantic cluster and bibliometric community after qualitative inspection.</w:t>
      </w:r>
    </w:p>
  </w:footnote>
  <w:footnote w:id="31">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closest sentences to the “Utility Theory” cluster’s centroid.</w:t>
      </w:r>
    </w:p>
  </w:footnote>
  <w:footnote w:id="33">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cluster “Firm Theory &amp; Entrepreneur” nevertheless remained a site for critiques of profit maximization. During the 1960s and 1970s, contributions that proposed alternative frameworks for explaining firms’ decisions were highly cited [such as @simonTheories1959] or appeared among closest articles from centroid [like @winterSatisficing1971].</w:t>
      </w:r>
    </w:p>
  </w:footnote>
  <w:footnote w:id="22">
    <w:p w:rsidR="00000000" w:rsidDel="00000000" w:rsidP="00000000" w:rsidRDefault="00000000" w:rsidRPr="00000000" w14:paraId="0000009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eight-year window for defining bibliometric communities aligns with established practices in the quantitative history of economics [@claveauMacrodynamics2016], where timeframes typically range between 5 and 10 years [@abramoAssessing2011]. Given that economics exhibits longer citation lifespans than the natural sciences [@lariviereLongterm2008; @aistleitnerCitation2019], and considering the multi-decade scope of our study, we opted for a window longer than five years. This choice balances granularity with the need to capture enduring citation patterns, avoiding the coarser resolution of a 10-year window.</w:t>
      </w:r>
    </w:p>
  </w:footnote>
  <w:footnote w:id="15">
    <w:p w:rsidR="00000000" w:rsidDel="00000000" w:rsidP="00000000" w:rsidRDefault="00000000" w:rsidRPr="00000000" w14:paraId="00000096">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Centroids are widely used in the literature on “semantic change” to represent the average embedding of a temporal slice or a cluster of a corpus [@montanelliSurvey2024]</w:t>
      </w:r>
      <w:r w:rsidDel="00000000" w:rsidR="00000000" w:rsidRPr="00000000">
        <w:rPr>
          <w:sz w:val="20"/>
          <w:szCs w:val="20"/>
          <w:highlight w:val="white"/>
          <w:rtl w:val="0"/>
        </w:rPr>
        <w:t xml:space="preserve">.</w:t>
      </w:r>
      <w:r w:rsidDel="00000000" w:rsidR="00000000" w:rsidRPr="00000000">
        <w:rPr>
          <w:sz w:val="20"/>
          <w:szCs w:val="20"/>
          <w:highlight w:val="white"/>
          <w:rtl w:val="0"/>
        </w:rPr>
        <w:t xml:space="preserve"> We adopt the centroid rather than the medoid (i.e. the observed sentences whose embedding is closest to all others in the set), as the centroid smooths over idiosyncratic variation across sentences, whereas the medoid may be disproportionately influenced by a single atypical example. While the medoid is an embedding of a real sentence and is easily interpretable, it is straightforward to compute the closest vector from the centroid (see </w:t>
      </w:r>
      <w:r w:rsidDel="00000000" w:rsidR="00000000" w:rsidRPr="00000000">
        <w:rPr>
          <w:sz w:val="20"/>
          <w:szCs w:val="20"/>
          <w:rtl w:val="0"/>
        </w:rPr>
        <w:t xml:space="preserve">@tbl-illustrative_sentences</w:t>
      </w:r>
      <w:r w:rsidDel="00000000" w:rsidR="00000000" w:rsidRPr="00000000">
        <w:rPr>
          <w:sz w:val="20"/>
          <w:szCs w:val="20"/>
          <w:rtl w:val="0"/>
        </w:rPr>
        <w:t xml:space="preserve">).</w:t>
      </w:r>
      <w:r w:rsidDel="00000000" w:rsidR="00000000" w:rsidRPr="00000000">
        <w:rPr>
          <w:rtl w:val="0"/>
        </w:rPr>
      </w:r>
    </w:p>
  </w:footnote>
  <w:footnote w:id="26">
    <w:p w:rsidR="00000000" w:rsidDel="00000000" w:rsidP="00000000" w:rsidRDefault="00000000" w:rsidRPr="00000000" w14:paraId="0000009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w:t>
      </w:r>
      <w:hyperlink r:id="rId2">
        <w:r w:rsidDel="00000000" w:rsidR="00000000" w:rsidRPr="00000000">
          <w:rPr>
            <w:color w:val="1155cc"/>
            <w:sz w:val="20"/>
            <w:szCs w:val="20"/>
            <w:u w:val="single"/>
            <w:rtl w:val="0"/>
          </w:rPr>
          <w:t xml:space="preserve">https://github.com/tdelcey/ejhet_quanti_method_app</w:t>
        </w:r>
      </w:hyperlink>
      <w:r w:rsidDel="00000000" w:rsidR="00000000" w:rsidRPr="00000000">
        <w:rPr>
          <w:sz w:val="20"/>
          <w:szCs w:val="20"/>
          <w:rtl w:val="0"/>
        </w:rPr>
        <w:t xml:space="preserve">. For non technical-users, a public version is available at the following url: </w:t>
      </w:r>
      <w:hyperlink r:id="rId3">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rtl w:val="0"/>
        </w:rPr>
      </w:r>
    </w:p>
  </w:footnote>
  <w:footnote w:id="36">
    <w:p w:rsidR="00000000" w:rsidDel="00000000" w:rsidP="00000000" w:rsidRDefault="00000000" w:rsidRPr="00000000" w14:paraId="0000009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aligns with a general finding in scientometrics that citations in the first two years after publication explain more than half of the variation in cumulative citations [@sternHighRanked2014]</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019adac8-81d4-aa0e-808c-08861c261fd2.share.connect.posit.cloud/%5D(https://019adac8-81d4-aa0e-808c-08861c261fd2.share.connect.posit.cloud/)" TargetMode="External"/><Relationship Id="rId2" Type="http://schemas.openxmlformats.org/officeDocument/2006/relationships/hyperlink" Target="https://github.com/tdelcey/ejhet_quanti_method_app%5D(https://github.com/tdelcey/ejhet_quanti_method_app)" TargetMode="External"/><Relationship Id="rId3" Type="http://schemas.openxmlformats.org/officeDocument/2006/relationships/hyperlink" Target="https://019adac8-81d4-aa0e-808c-08861c261fd2.share.connect.posit.cloud/%5D(https://019adac8-81d4-aa0e-808c-08861c261fd2.share.connect.posit.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