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articles employing quantitative methods has increased [see e.g., @goutsmedtQuantitative2023].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based on pre-defined categories,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in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economic contributions,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1"/>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and other disciplines: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as well as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2"/>
      </w:r>
      <w:r w:rsidDel="00000000" w:rsidR="00000000" w:rsidRPr="00000000">
        <w:rPr>
          <w:rtl w:val="0"/>
        </w:rPr>
        <w:t xml:space="preserve"> We use a corpus of 259,165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w:t>
      </w:r>
      <w:r w:rsidDel="00000000" w:rsidR="00000000" w:rsidRPr="00000000">
        <w:rPr>
          <w:i w:val="1"/>
          <w:iCs w:val="1"/>
          <w:rtl w:val="0"/>
        </w:rPr>
        <w:t xml:space="preserve">(a)</w:t>
      </w:r>
      <w:r w:rsidDel="00000000" w:rsidR="00000000" w:rsidRPr="00000000">
        <w:rPr>
          <w:rtl w:val="0"/>
        </w:rPr>
        <w:t xml:space="preserve"> the crucial issue of selecting sources and building data; </w:t>
      </w:r>
      <w:r w:rsidDel="00000000" w:rsidR="00000000" w:rsidRPr="00000000">
        <w:rPr>
          <w:i w:val="1"/>
          <w:iCs w:val="1"/>
          <w:rtl w:val="0"/>
        </w:rPr>
        <w:t xml:space="preserve">(b)</w:t>
      </w:r>
      <w:r w:rsidDel="00000000" w:rsidR="00000000" w:rsidRPr="00000000">
        <w:rPr>
          <w:rtl w:val="0"/>
        </w:rPr>
        <w:t xml:space="preserve"> how even simple quantitative assessments can be informative; </w:t>
      </w:r>
      <w:r w:rsidDel="00000000" w:rsidR="00000000" w:rsidRPr="00000000">
        <w:rPr>
          <w:i w:val="1"/>
          <w:iCs w:val="1"/>
          <w:rtl w:val="0"/>
        </w:rPr>
        <w:t xml:space="preserve">(c)</w:t>
      </w:r>
      <w:r w:rsidDel="00000000" w:rsidR="00000000" w:rsidRPr="00000000">
        <w:rPr>
          <w:rtl w:val="0"/>
        </w:rPr>
        <w:t xml:space="preserve"> the challenges and subjective choices involved in building and adapting tools; and </w:t>
      </w:r>
      <w:r w:rsidDel="00000000" w:rsidR="00000000" w:rsidRPr="00000000">
        <w:rPr>
          <w:i w:val="1"/>
          <w:iCs w:val="1"/>
          <w:rtl w:val="0"/>
        </w:rPr>
        <w:t xml:space="preserve">(d)</w:t>
      </w:r>
      <w:r w:rsidDel="00000000" w:rsidR="00000000" w:rsidRPr="00000000">
        <w:rPr>
          <w:rtl w:val="0"/>
        </w:rPr>
        <w:t xml:space="preserve">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4"/>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materials, such as those included in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[@goutsmedtIndependent2023]—a few thousands documents—required combining three heterogeneous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w:t>
      </w:r>
      <w:r w:rsidDel="00000000" w:rsidR="00000000" w:rsidRPr="00000000">
        <w:rPr>
          <w:rtl w:val="0"/>
        </w:rPr>
        <w:t xml:space="preserve">[@culbertReference2025;@martin-martinGoogleScholarMicrosoft2021] </w:t>
      </w:r>
      <w:r w:rsidDel="00000000" w:rsidR="00000000" w:rsidRPr="00000000">
        <w:rPr>
          <w:rtl w:val="0"/>
        </w:rPr>
        <w:t xml:space="preserve">and has been widely used in the history of economics</w:t>
      </w:r>
      <w:r w:rsidDel="00000000" w:rsidR="00000000" w:rsidRPr="00000000">
        <w:rPr>
          <w:rtl w:val="0"/>
        </w:rPr>
        <w:t xml:space="preserve"> [@claveauMacrodynamics2016]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relatively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5"/>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6"/>
      </w:r>
      <w:r w:rsidDel="00000000" w:rsidR="00000000" w:rsidRPr="00000000">
        <w:rPr>
          <w:rtl w:val="0"/>
        </w:rPr>
        <w:t xml:space="preserve"> We obtain a raw corpus of 812,191 documents, written in different languages and of heterogeneous types (research articles, book reviews, etc.), which will subsequently be filtered. </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raw 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raw 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requires engaging with some of the material available at hand.</w:t>
      </w:r>
      <w:r w:rsidDel="00000000" w:rsidR="00000000" w:rsidRPr="00000000">
        <w:rPr>
          <w:vertAlign w:val="superscript"/>
        </w:rPr>
        <w:footnoteReference w:customMarkFollows="0" w:id="8"/>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9"/>
      </w:r>
      <w:r w:rsidDel="00000000" w:rsidR="00000000" w:rsidRPr="00000000">
        <w:rPr>
          <w:rtl w:val="0"/>
        </w:rPr>
        <w:t xml:space="preserve"> We also restrict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already engaging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10"/>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[@charlesRevue2025;@edwardsFifty2020], or of one or several individuals [@andradaUnderstanding2017; @trucDisciplinary2025] entails comparatively fewer definitional or boundary challenges. While some large-scale studies focus on the discipline as a whole [@ambrosinoWhat2018;@bacciniExploring2025;@claveauMacrodynamics2016],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[@lyutovMachine2021;@morrisMapping2008]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an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the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economics</w:t>
      </w:r>
      <w:r w:rsidDel="00000000" w:rsidR="00000000" w:rsidRPr="00000000">
        <w:rPr>
          <w:rtl w:val="0"/>
        </w:rPr>
        <w:t xml:space="preserve"> documents by building the corpus from a list of </w:t>
      </w:r>
      <w:r w:rsidDel="00000000" w:rsidR="00000000" w:rsidRPr="00000000">
        <w:rPr>
          <w:i w:val="1"/>
          <w:iCs w:val="1"/>
          <w:rtl w:val="0"/>
        </w:rPr>
        <w:t xml:space="preserve">peer-reviewed</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1"/>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Filtering the raw corpus to retain only English-language research articles from these journals, we obtain 259,165 articles published between 1900 and 2009. These articles constitute what we have called our </w:t>
      </w:r>
      <w:r w:rsidDel="00000000" w:rsidR="00000000" w:rsidRPr="00000000">
        <w:rPr>
          <w:i w:val="1"/>
          <w:iCs w:val="1"/>
          <w:rtl w:val="0"/>
        </w:rPr>
        <w:t xml:space="preserve">meta-corpus</w:t>
      </w:r>
      <w:r w:rsidDel="00000000" w:rsidR="00000000" w:rsidRPr="00000000">
        <w:rPr>
          <w:rtl w:val="0"/>
        </w:rPr>
        <w:t xml:space="preserve">. </w:t>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restrict our corpus to documents engaging with the issue of rationality. One of the most straightforward proxies is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meta-corpus of economic articles.</w:t>
      </w:r>
      <w:r w:rsidDel="00000000" w:rsidR="00000000" w:rsidRPr="00000000">
        <w:rPr>
          <w:vertAlign w:val="superscript"/>
        </w:rPr>
        <w:footnoteReference w:customMarkFollows="0" w:id="13"/>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4"/>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words “rationality” and “rational,”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w:t>
      </w:r>
      <w:r w:rsidDel="00000000" w:rsidR="00000000" w:rsidRPr="00000000">
        <w:rPr>
          <w:vertAlign w:val="superscript"/>
        </w:rPr>
        <w:footnoteReference w:customMarkFollows="0" w:id="15"/>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(11 years)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6"/>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7"/>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they are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Thus, from our meta-corpus, we </w:t>
      </w:r>
      <w:r w:rsidDel="00000000" w:rsidR="00000000" w:rsidRPr="00000000">
        <w:rPr>
          <w:rtl w:val="0"/>
        </w:rPr>
        <w:t xml:space="preserve">built</w:t>
      </w:r>
      <w:r w:rsidDel="00000000" w:rsidR="00000000" w:rsidRPr="00000000">
        <w:rPr>
          <w:rtl w:val="0"/>
        </w:rPr>
        <w:t xml:space="preserve"> a first sub-corpus,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the 1% of sentences from our meta-corpus whose embeddings are closest to the corresponding representative vector.</w:t>
      </w:r>
      <w:r w:rsidDel="00000000" w:rsidR="00000000" w:rsidRPr="00000000">
        <w:rPr>
          <w:vertAlign w:val="superscript"/>
        </w:rPr>
        <w:footnoteReference w:customMarkFollows="0" w:id="18"/>
      </w:r>
      <w:r w:rsidDel="00000000" w:rsidR="00000000" w:rsidRPr="00000000">
        <w:rPr>
          <w:rtl w:val="0"/>
        </w:rPr>
        <w:t xml:space="preserve"> This sentences-corpus is composed  of 499,157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article consists of a set of sentences (and thus is represented by a set of vectors),  we can also give a vectorial representation to the article by computing the centroid of its sentence vectors. We select the 10% of articles published after 1960 whose centroids are closest to the corresponding representative vector. This articles-corpus, composed of 25,916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9"/>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@fig-method-schema-general summarises this whole process of building our two corpora from our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2"/>
        <w:ind w:firstLine="720"/>
        <w:rPr/>
      </w:pPr>
      <w:bookmarkStart w:colFirst="0" w:colLast="0" w:name="_57osrl8kii9f" w:id="5"/>
      <w:bookmarkEnd w:id="5"/>
      <w:r w:rsidDel="00000000" w:rsidR="00000000" w:rsidRPr="00000000">
        <w:rPr>
          <w:rtl w:val="0"/>
        </w:rPr>
        <w:t xml:space="preserve">Simple </w:t>
      </w:r>
      <w:r w:rsidDel="00000000" w:rsidR="00000000" w:rsidRPr="00000000">
        <w:rPr>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 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 the analysis. Likewise, simply counting the words that appear next to “rationality” tells us little about whether these words and expressions are used jointly within the same argument or whether they belong to distinct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20"/>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1"/>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2"/>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@bacciniDoes2025;@claveauMacrodynamics2016; @trucForty2022].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history of economics </w:t>
      </w:r>
      <w:r w:rsidDel="00000000" w:rsidR="00000000" w:rsidRPr="00000000">
        <w:rPr>
          <w:rtl w:val="0"/>
        </w:rPr>
        <w:t xml:space="preserve">[@camilottoNavigating2023;@</w:t>
      </w:r>
      <w:r w:rsidDel="00000000" w:rsidR="00000000" w:rsidRPr="00000000">
        <w:rPr>
          <w:rtl w:val="0"/>
        </w:rPr>
        <w:t xml:space="preserve">claveauMacrodynamics2016</w:t>
      </w:r>
      <w:r w:rsidDel="00000000" w:rsidR="00000000" w:rsidRPr="00000000">
        <w:rPr>
          <w:rtl w:val="0"/>
        </w:rPr>
        <w:t xml:space="preserve">; @goutsmedtIndependent2023]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3"/>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4"/>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5"/>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6"/>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prioritise </w:t>
      </w:r>
      <w:r w:rsidDel="00000000" w:rsidR="00000000" w:rsidRPr="00000000">
        <w:rPr>
          <w:rtl w:val="0"/>
        </w:rPr>
        <w:t xml:space="preserve">observations that will make sense of them.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7"/>
      </w:r>
      <w:r w:rsidDel="00000000" w:rsidR="00000000" w:rsidRPr="00000000">
        <w:rPr>
          <w:rtl w:val="0"/>
        </w:rPr>
        <w:t xml:space="preserve"> Let us take as an example the semantic cluster we labelled “Rationality and its Limits,” which gathers close to 20,000 sentences from 1920 to 2009.</w:t>
      </w:r>
      <w:r w:rsidDel="00000000" w:rsidR="00000000" w:rsidRPr="00000000">
        <w:rPr>
          <w:vertAlign w:val="superscript"/>
        </w:rPr>
        <w:footnoteReference w:customMarkFollows="0" w:id="28"/>
      </w:r>
      <w:r w:rsidDel="00000000" w:rsidR="00000000" w:rsidRPr="00000000">
        <w:rPr>
          <w:rtl w:val="0"/>
        </w:rPr>
        <w:t xml:space="preserve"> How can we get a sense of what this cluster actually coalesces around? Before any qualitative interpretation or contextualization with the secondary literature, we must first produce a series of indicators to help us characterize the cluster.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w:t>
      </w:r>
      <w:r w:rsidDel="00000000" w:rsidR="00000000" w:rsidRPr="00000000">
        <w:rPr>
          <w:rtl w:val="0"/>
        </w:rPr>
        <w:t xml:space="preserve">“Behavioral Economics: Risk &amp; Uncertainty”</w:t>
      </w:r>
      <w:r w:rsidDel="00000000" w:rsidR="00000000" w:rsidRPr="00000000">
        <w:rPr>
          <w:rtl w:val="0"/>
        </w:rPr>
        <w:t xml:space="preserve"> community in the 1981-1988 window, that remains until the last window (2002-2009).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9"/>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30"/>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1"/>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2"/>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intertemporal semantic clusters that persist over time while reflecting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3"/>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4"/>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Discussions.”</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5"/>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6"/>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Finance shows a trajectory similar to macroeconomics. The origins of financial issues can be traced to the semantic cluster “Capital &amp; Investment Theory,”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of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communities,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programs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The reception of “New” behavioral economics reveals a contrasted pattern.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many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nearly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7"/>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surge in citations to earlier works by Simon and Allais reveals a tension: while “new” behavioral economists often overlook the contributions of their predecessors, the field’s rapid expansion has paradoxically amplified attention to these earlier works—far beyond the recognition they received upon publication. This pattern supports three competing interpretations, each with distinct implications for the discipline’s trajectory.</w:t>
      </w:r>
    </w:p>
    <w:p w:rsidR="00000000" w:rsidDel="00000000" w:rsidP="00000000" w:rsidRDefault="00000000" w:rsidRPr="00000000" w14:paraId="00000068">
      <w:pPr>
        <w:rPr/>
      </w:pPr>
      <w:r w:rsidDel="00000000" w:rsidR="00000000" w:rsidRPr="00000000">
        <w:rPr>
          <w:rtl w:val="0"/>
        </w:rPr>
        <w:t xml:space="preserve">First, the trend may reflect a genuine revival of abandoned research directions, suggesting a long-overdue reconciliation between old and new behavioral economics. This aligns with calls by @sentRationality2008 and @earlPrinciples2022 to reintegrate older insights into contemporary frameworks. Second, the citations could signal intellectual appropriation, where classic works are selectively reframed to serve modern agendas. As @monginAllais2019 argues, this risks distorting historical contributions through a presentist lens, prioritizing contemporary relevance over historical fidelity. Third, the surge in citations may instead represent a backlash against the “new” behavioral program, with defenders of earlier traditions invoking Simon and Allais to challenge the hegemony of heuristics-and-biases frameworks [@vranasGigerenzers2000]. Here, citations function less as homage than as rhetorical weapons in an ongoing contest over the field’s direction.</w:t>
      </w:r>
    </w:p>
    <w:p w:rsidR="00000000" w:rsidDel="00000000" w:rsidP="00000000" w:rsidRDefault="00000000" w:rsidRPr="00000000" w14:paraId="00000069">
      <w:pPr>
        <w:rPr/>
      </w:pPr>
      <w:r w:rsidDel="00000000" w:rsidR="00000000" w:rsidRPr="00000000">
        <w:rPr>
          <w:rtl w:val="0"/>
        </w:rPr>
        <w:t xml:space="preserve">A definitive assessment of this dynamic will require both deeper qualitative analysis—such as archival work or interviews to uncover latent influences—and targeted quantitative studies, including finer-grained tracing of “old” behavioral economics’ intellectual footprint. This goes beyond the scope of this article. Yet our findings provide a roadmap for future research, one that highlights the ambivalent relationship between the field’s past and present. The sparse and fragmented citation patterns we observed for “old” behavioral economics suggest appropriation rather than integration. Our bibliometric networks reveal that neither Simon nor researchers associated with his ideas formed stable or influential communities within the broader landscape of “new” behavioral economics. Instead, their ideas appear as isolated echoes, rarely shaping the field’s core structures.</w:t>
      </w:r>
    </w:p>
    <w:p w:rsidR="00000000" w:rsidDel="00000000" w:rsidP="00000000" w:rsidRDefault="00000000" w:rsidRPr="00000000" w14:paraId="0000006A">
      <w:pPr>
        <w:rPr/>
      </w:pPr>
      <w:r w:rsidDel="00000000" w:rsidR="00000000" w:rsidRPr="00000000">
        <w:rPr>
          <w:rtl w:val="0"/>
        </w:rPr>
        <w:t xml:space="preserve">This disconnection becomes even clearer in the last years of our study. Key concepts from “old” behavioral economics are largely absent from the dominant vocabularies of “new” behavioral economists, particularly in clusters “Game Theory” and “Decision Theory.” Where such ideas </w:t>
      </w:r>
      <w:r w:rsidDel="00000000" w:rsidR="00000000" w:rsidRPr="00000000">
        <w:rPr>
          <w:i w:val="1"/>
          <w:iCs w:val="1"/>
          <w:rtl w:val="0"/>
        </w:rPr>
        <w:t xml:space="preserve">do</w:t>
      </w:r>
      <w:r w:rsidDel="00000000" w:rsidR="00000000" w:rsidRPr="00000000">
        <w:rPr>
          <w:rtl w:val="0"/>
        </w:rPr>
        <w:t xml:space="preserve"> appear, they are marginalized—confined to heterodox or institutionalist spaces, such as the 2000–2009 cluster “Rationality and its Limits.” Even the invocation of “old” behavioral economists follows a pattern of selective framing: figures like Simon are coupled with canonical critics of standard rationality (from Adam Smith to Allais) in the bibliometric community “Behavioral Economics: Social Preferences,” (2002-2009) not to engage with their substantive contributions, but to anchor “new” behavioral economics within a longer tradition of dissent. Simon’s legacy thus seems to endure primarily as a symbolic touchstone—a rhetorical device for situating debates and constructing intellectual genealogies—while his analytical framework remains superficially absorbed, if not sidelined.</w:t>
      </w:r>
      <w:r w:rsidDel="00000000" w:rsidR="00000000" w:rsidRPr="00000000">
        <w:rPr>
          <w:rtl w:val="0"/>
        </w:rPr>
      </w:r>
    </w:p>
    <w:p w:rsidR="00000000" w:rsidDel="00000000" w:rsidP="00000000" w:rsidRDefault="00000000" w:rsidRPr="00000000" w14:paraId="0000006B">
      <w:pPr>
        <w:pStyle w:val="Heading1"/>
        <w:rPr>
          <w:b w:val="1"/>
          <w:bCs w:val="1"/>
        </w:rPr>
        <w:sectPr>
          <w:headerReference r:id="rId7" w:type="default"/>
          <w:footerReference r:id="rId8"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260,000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 Third, we also provide a LLM-based measure to select corpora, with a time component (the representative vectors) that goes beyond building a raw set of keywords.</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6F">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0">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1">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1">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4">
    <w:p w:rsidR="00000000" w:rsidDel="00000000" w:rsidP="00000000" w:rsidRDefault="00000000" w:rsidRPr="00000000" w14:paraId="0000007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the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9">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6">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10">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further details on the matching process, see the appendix, particularly, @tbl-wos-match-decade. A failure to match an article in WoS does not necessarily indicate an error in the matching procedure; it may simply reflect the absence of the article in the WoS database. This is notably the case for certain JSTOR-indexed journals—particularly those that are no longer published—which are not covered in WoS.</w:t>
      </w:r>
      <w:r w:rsidDel="00000000" w:rsidR="00000000" w:rsidRPr="00000000">
        <w:rPr>
          <w:rtl w:val="0"/>
        </w:rPr>
      </w:r>
    </w:p>
  </w:footnote>
  <w:footnote w:id="11">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2">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3">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5">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HDBSCAN clusters on a set of tens of thousands of sentences is much more computationally intensive than finding bibliometric communities for at most a few thousands of articles.</w:t>
      </w:r>
    </w:p>
  </w:footnote>
  <w:footnote w:id="26">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20">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30">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9">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1">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than seeking “psychologists to gain a knowledge of the mind and its modes of operation.”</w:t>
      </w:r>
    </w:p>
  </w:footnote>
  <w:footnote w:id="35">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6">
    <w:p w:rsidR="00000000" w:rsidDel="00000000" w:rsidP="00000000" w:rsidRDefault="00000000" w:rsidRPr="00000000" w14:paraId="00000084">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3">
    <w:p w:rsidR="00000000" w:rsidDel="00000000" w:rsidP="00000000" w:rsidRDefault="00000000" w:rsidRPr="00000000" w14:paraId="00000085">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3">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[https://github.com/tdelcey/ejhet_quanti_method_app](https://github.com/tdelcey/ejhet_quanti_method_app)</w:t>
      </w:r>
      <w:r w:rsidDel="00000000" w:rsidR="00000000" w:rsidRPr="00000000">
        <w:rPr>
          <w:sz w:val="20"/>
          <w:szCs w:val="20"/>
          <w:rtl w:val="0"/>
        </w:rPr>
        <w:t xml:space="preserve">. A public version is available at the following url: [https://019adac8-81d4-aa0e-808c-08861c261fd2.share.connect.posit.cloud/](https://019adac8-81d4-aa0e-808c-08861c261fd2.share.connect.posit.cloud/).</w:t>
      </w:r>
      <w:r w:rsidDel="00000000" w:rsidR="00000000" w:rsidRPr="00000000">
        <w:rPr>
          <w:rtl w:val="0"/>
        </w:rPr>
      </w:r>
    </w:p>
  </w:footnote>
  <w:footnote w:id="5">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users have institutional access to the relevant issues.</w:t>
      </w:r>
    </w:p>
  </w:footnote>
  <w:footnote w:id="15">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8">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later classified as “noise” by the HDBSCAN algorithm. </w:t>
      </w:r>
    </w:p>
  </w:footnote>
  <w:footnote w:id="19">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7">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4">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2">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4">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7">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8">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1">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8">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 We assign manually a label to each intertemporal semantic cluster and bibliometric community after qualitative inspection.</w:t>
      </w:r>
    </w:p>
  </w:footnote>
  <w:footnote w:id="32">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4">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3">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defining bibliometric communities aligns with established practices in the quantitative history of economics [@claveauMacrodynamics2016], where timeframes typically range between 5 and 10 years [@abramoAssessing2011]. Given that economics exhibits longer citation lifespans than the natural sciences [@lariviereLongterm2008; @aistleitnerCitation2019], and considering the multi-decade scope of our study, we opted for a window longer than five years. This choice balances granularity with the need to capture enduring citation patterns, avoiding the coarser resolution of a 10-year window.</w:t>
      </w:r>
    </w:p>
  </w:footnote>
  <w:footnote w:id="16">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rtl w:val="0"/>
        </w:rPr>
        <w:t xml:space="preserve">.</w:t>
      </w:r>
      <w:r w:rsidDel="00000000" w:rsidR="00000000" w:rsidRPr="00000000">
        <w:rPr>
          <w:sz w:val="20"/>
          <w:szCs w:val="20"/>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7">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[https://github.com/tdelcey/ejhet_quanti_method_app](https://github.com/tdelcey/ejhet_quanti_method_app). For non technical-users, a public version is available at the following url: [https://019adac8-81d4-aa0e-808c-08861c261fd2.share.connect.posit.cloud/](https://019adac8-81d4-aa0e-808c-08861c261fd2.share.connect.posit.cloud/).</w:t>
      </w:r>
    </w:p>
  </w:footnote>
  <w:footnote w:id="37">
    <w:p w:rsidR="00000000" w:rsidDel="00000000" w:rsidP="00000000" w:rsidRDefault="00000000" w:rsidRPr="00000000" w14:paraId="0000009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 w:id="0">
    <w:p w:rsidR="00000000" w:rsidDel="00000000" w:rsidP="00000000" w:rsidRDefault="00000000" w:rsidRPr="00000000" w14:paraId="0000009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 this perspective, our purpose is similar to @claveauSocial2018.</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