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debates,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t xml:space="preserve">Combining these two methods allows us both to illustrate concretely the use of two common approaches for the history of economics. This combination is also justified by what we regard as a crucial principle of quantitative analysis in history of economics in particular, and more broadly in the history of science: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w:t>
      </w:r>
      <w:ins w:author="Truc Alexandre" w:id="0" w:date="2026-05-11T08:58:48Z">
        <w:r w:rsidDel="00000000" w:rsidR="00000000" w:rsidRPr="00000000">
          <w:rPr>
            <w:rtl w:val="0"/>
          </w:rPr>
          <w:t xml:space="preserve">a</w:t>
        </w:r>
      </w:ins>
      <w:del w:author="Truc Alexandre" w:id="0" w:date="2026-05-11T08:58:48Z">
        <w:r w:rsidDel="00000000" w:rsidR="00000000" w:rsidRPr="00000000">
          <w:rPr>
            <w:rtl w:val="0"/>
          </w:rPr>
          <w:delText xml:space="preserve">the most </w:delText>
        </w:r>
      </w:del>
      <w:r w:rsidDel="00000000" w:rsidR="00000000" w:rsidRPr="00000000">
        <w:rPr>
          <w:rtl w:val="0"/>
        </w:rPr>
        <w:t xml:space="preserve">reliable and consistent coverage for our period and has been widely used in the history of economics</w:t>
      </w:r>
      <w:ins w:author="Truc Alexandre" w:id="1" w:date="2026-05-11T08:58:59Z">
        <w:r w:rsidDel="00000000" w:rsidR="00000000" w:rsidRPr="00000000">
          <w:rPr>
            <w:rtl w:val="0"/>
          </w:rPr>
          <w:t xml:space="preserve"> </w:t>
        </w:r>
        <w:r w:rsidDel="00000000" w:rsidR="00000000" w:rsidRPr="00000000">
          <w:rPr>
            <w:rtl w:val="0"/>
            <w:rPrChange w:author="Truc Alexandre" w:id="2" w:date="2026-05-11T08:58:59Z">
              <w:rPr/>
            </w:rPrChange>
          </w:rPr>
          <w:t xml:space="preserve">[@culbertReference2025;@martin-martinGoogle2021;@claveauMacrodynamics2016]</w:t>
        </w:r>
        <w:r w:rsidDel="00000000" w:rsidR="00000000" w:rsidRPr="00000000">
          <w:rPr>
            <w:rtl w:val="0"/>
          </w:rPr>
          <w:t xml:space="preserve"> </w:t>
        </w:r>
      </w:ins>
      <w:r w:rsidDel="00000000" w:rsidR="00000000" w:rsidRPr="00000000">
        <w:rPr>
          <w:rtl w:val="0"/>
        </w:rPr>
        <w:t xml:space="preserve">.</w:t>
      </w:r>
      <w:r w:rsidDel="00000000" w:rsidR="00000000" w:rsidRPr="00000000">
        <w:rPr>
          <w:rtl w:val="0"/>
        </w:rPr>
        <w:t xml:space="preserve"> As for full text, we relied on three providers. First, JSTOR’s full-text collection offers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w:t>
      </w:r>
      <w:r w:rsidDel="00000000" w:rsidR="00000000" w:rsidRPr="00000000">
        <w:rPr>
          <w:vertAlign w:val="superscript"/>
        </w:rPr>
        <w:footnoteReference w:customMarkFollows="0" w:id="4"/>
      </w:r>
      <w:r w:rsidDel="00000000" w:rsidR="00000000" w:rsidRPr="00000000">
        <w:rPr>
          <w:rtl w:val="0"/>
        </w:rPr>
        <w:t xml:space="preserve"> </w:t>
      </w:r>
      <w:r w:rsidDel="00000000" w:rsidR="00000000" w:rsidRPr="00000000">
        <w:rPr>
          <w:rtl w:val="0"/>
        </w:rPr>
        <w:t xml:space="preserve">Third, remaining full texts were obtained through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5"/>
      </w:r>
      <w:r w:rsidDel="00000000" w:rsidR="00000000" w:rsidRPr="00000000">
        <w:rPr>
          <w:rtl w:val="0"/>
        </w:rPr>
        <w:t xml:space="preserve"> We obtain a first meta-corpus of 290 000 economics articles that will be later filtered to focus on “rationality”.</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meta-corpus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meta-corpus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w:t>
      </w:r>
      <w:r w:rsidDel="00000000" w:rsidR="00000000" w:rsidRPr="00000000">
        <w:rPr>
          <w:vertAlign w:val="superscript"/>
        </w:rPr>
        <w:footnoteReference w:customMarkFollows="0" w:id="7"/>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8"/>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9"/>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10"/>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by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@andradaUnderstanding2017; @fontanaFragmentation2023] entails comparatively definitional or boundary challenges. While some large-scale studies focus on the discipline as a whole [@claveauMacrodynamics2016; @ambrosinoWhat2018; </w:t>
      </w:r>
      <w:ins w:author="Truc Alexandre" w:id="3" w:date="2026-05-11T09:02:54Z">
        <w:r w:rsidDel="00000000" w:rsidR="00000000" w:rsidRPr="00000000">
          <w:rPr>
            <w:rtl w:val="0"/>
          </w:rPr>
          <w:t xml:space="preserve">@bacciniExploring2025</w:t>
        </w:r>
      </w:ins>
      <w:r w:rsidDel="00000000" w:rsidR="00000000" w:rsidRPr="00000000">
        <w:rPr>
          <w:rtl w:val="0"/>
        </w:rPr>
        <w:t xml:space="preserve">],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w:t>
      </w:r>
      <w:ins w:author="Truc Alexandre" w:id="4" w:date="2026-05-11T09:04:36Z">
        <w:r w:rsidDel="00000000" w:rsidR="00000000" w:rsidRPr="00000000">
          <w:rPr>
            <w:rtl w:val="0"/>
          </w:rPr>
          <w:t xml:space="preserve"> or “research specialty” [@morrisMapping2008; @lyutovMachine2021; ]</w:t>
        </w:r>
      </w:ins>
      <w:r w:rsidDel="00000000" w:rsidR="00000000" w:rsidRPr="00000000">
        <w:rPr>
          <w:rtl w:val="0"/>
        </w:rPr>
        <w:t xml:space="preserve"> </w:t>
      </w:r>
      <w:del w:author="Truc Alexandre" w:id="5" w:date="2026-05-11T09:04:33Z">
        <w:r w:rsidDel="00000000" w:rsidR="00000000" w:rsidRPr="00000000">
          <w:rPr>
            <w:rtl w:val="0"/>
          </w:rPr>
          <w:delText xml:space="preserve">(Cherrier, this issue)</w:delText>
        </w:r>
      </w:del>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act must be  assessed instrumentally, not as a definitive delineation, but as an operational hypothesis tailored to a specific research question</w:t>
      </w:r>
      <w:ins w:author="Truc Alexandre" w:id="6" w:date="2026-05-11T09:12:36Z">
        <w:r w:rsidDel="00000000" w:rsidR="00000000" w:rsidRPr="00000000">
          <w:rPr>
            <w:rtl w:val="0"/>
          </w:rPr>
          <w:t xml:space="preserve"> or even an act of “drawing impossible boundaries” </w:t>
        </w:r>
        <w:r w:rsidDel="00000000" w:rsidR="00000000" w:rsidRPr="00000000">
          <w:rPr>
            <w:rtl w:val="0"/>
            <w:rPrChange w:author="Truc Alexandre" w:id="7" w:date="2026-05-11T09:12:36Z">
              <w:rPr/>
            </w:rPrChange>
          </w:rPr>
          <w:t xml:space="preserve">[@lietzDrawing2020; @zittBibliometric2019]</w:t>
        </w:r>
      </w:ins>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w:t>
      </w:r>
      <w:r w:rsidDel="00000000" w:rsidR="00000000" w:rsidRPr="00000000">
        <w:rPr>
          <w:rtl w:val="0"/>
        </w:rPr>
        <w:t xml:space="preserve"> documents by building the corpus from </w:t>
      </w:r>
      <w:r w:rsidDel="00000000" w:rsidR="00000000" w:rsidRPr="00000000">
        <w:rPr>
          <w:i w:val="1"/>
          <w:iCs w:val="1"/>
          <w:rtl w:val="0"/>
        </w:rPr>
        <w:t xml:space="preserve">peer-review</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1"/>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2"/>
      </w:r>
      <w:r w:rsidDel="00000000" w:rsidR="00000000" w:rsidRPr="00000000">
        <w:rPr>
          <w:rtl w:val="0"/>
        </w:rPr>
        <w:t xml:space="preserve"> We were able to retrieve 289538 articles published in these journals from 1900 to 2009. </w:t>
      </w:r>
      <w:r w:rsidDel="00000000" w:rsidR="00000000" w:rsidRPr="00000000">
        <w:rPr>
          <w:rtl w:val="0"/>
        </w:rPr>
        <w:t xml:space="preserve">These articles form what we call our “m</w:t>
      </w:r>
      <w:r w:rsidDel="00000000" w:rsidR="00000000" w:rsidRPr="00000000">
        <w:rPr>
          <w:rtl w:val="0"/>
        </w:rPr>
        <w:t xml:space="preserve">eta-corpus”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3"/>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represents sentences into vectors that summarize their context and meaning.</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4"/>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 “rationality,”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discusses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Computing a single representative vector over 110 years raises serious historical issues, though. Because our project is historical, we must account for how LLMs handle </w:t>
      </w:r>
      <w:r w:rsidDel="00000000" w:rsidR="00000000" w:rsidRPr="00000000">
        <w:rPr>
          <w:rtl w:val="0"/>
        </w:rPr>
        <w:t xml:space="preserve">temporally</w:t>
      </w:r>
      <w:r w:rsidDel="00000000" w:rsidR="00000000" w:rsidRPr="00000000">
        <w:rPr>
          <w:rtl w:val="0"/>
        </w:rPr>
        <w:t xml:space="preserve"> situated language. LLMs are trained on billions of texts, the majority of which are recent, and therefore reflect a presentist, numerical view of language.</w:t>
      </w:r>
      <w:r w:rsidDel="00000000" w:rsidR="00000000" w:rsidRPr="00000000">
        <w:rPr>
          <w:vertAlign w:val="superscript"/>
        </w:rPr>
        <w:footnoteReference w:customMarkFollows="0" w:id="15"/>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window,</w:t>
      </w:r>
      <w:r w:rsidDel="00000000" w:rsidR="00000000" w:rsidRPr="00000000">
        <w:rPr>
          <w:rtl w:val="0"/>
        </w:rPr>
        <w:t xml:space="preserve"> based on all the sentences containing “rationality” or “rational”.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6"/>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vertAlign w:val="superscript"/>
        </w:rPr>
        <w:footnoteReference w:customMarkFollows="0" w:id="17"/>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“representative vectors.”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it is close in the vector space from real sentences. </w:t>
      </w:r>
      <w:r w:rsidDel="00000000" w:rsidR="00000000" w:rsidRPr="00000000">
        <w:rPr>
          <w:rtl w:val="0"/>
        </w:rPr>
        <w:t xml:space="preserve">@tbl-illustrative_sentences</w:t>
      </w:r>
      <w:r w:rsidDel="00000000" w:rsidR="00000000" w:rsidRPr="00000000">
        <w:rPr>
          <w:rtl w:val="0"/>
        </w:rPr>
        <w:t xml:space="preserve"> reports the 5 sentences closest to the representative vector, ranked by cosine similarity for the years 1910, 1950 and 2000.</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Finally, for each year, we select from all the </w:t>
      </w:r>
      <w:r w:rsidDel="00000000" w:rsidR="00000000" w:rsidRPr="00000000">
        <w:rPr>
          <w:rtl w:val="0"/>
        </w:rPr>
        <w:t xml:space="preserve">sentences</w:t>
      </w:r>
      <w:r w:rsidDel="00000000" w:rsidR="00000000" w:rsidRPr="00000000">
        <w:rPr>
          <w:rtl w:val="0"/>
        </w:rPr>
        <w:t xml:space="preserve"> from our meta-corpus the 1% of sentences whose embeddings are closest to the corresponding representative vector.</w:t>
      </w:r>
      <w:r w:rsidDel="00000000" w:rsidR="00000000" w:rsidRPr="00000000">
        <w:rPr>
          <w:vertAlign w:val="superscript"/>
        </w:rPr>
        <w:footnoteReference w:customMarkFollows="0" w:id="18"/>
      </w:r>
      <w:r w:rsidDel="00000000" w:rsidR="00000000" w:rsidRPr="00000000">
        <w:rPr>
          <w:rtl w:val="0"/>
        </w:rPr>
        <w:t xml:space="preserve"> This yields a “sentences-corpus” of 499 157 sentences, which is then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that group similar sentences together. </w:t>
      </w:r>
    </w:p>
    <w:p w:rsidR="00000000" w:rsidDel="00000000" w:rsidP="00000000" w:rsidRDefault="00000000" w:rsidRPr="00000000" w14:paraId="00000025">
      <w:pPr>
        <w:rPr/>
      </w:pPr>
      <w:r w:rsidDel="00000000" w:rsidR="00000000" w:rsidRPr="00000000">
        <w:rPr>
          <w:rtl w:val="0"/>
        </w:rPr>
        <w:t xml:space="preserve">We also used our representative vectors to extract from our meta-corpus the documents that are closest to the corresponding representative vector. Because </w:t>
      </w:r>
      <w:r w:rsidDel="00000000" w:rsidR="00000000" w:rsidRPr="00000000">
        <w:rPr>
          <w:rtl w:val="0"/>
        </w:rPr>
        <w:t xml:space="preserve">each document consists of a set of sentences, we can also give a vectorial representation to the document by computing the centroid of its sentence embeddings. Thus, we select the 10% of articles published after 1960 whose centroid are closest to the corresponding representative vector. @tbl-illustrative_documents displays the five closest documents for years 1910, 1950 and 2000 where document vectors are computed as the centroid of all sentence vectors within the document. This “articles-corpus”, composed of 25 916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9"/>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In the appendix, @fig-method-schema-general summarises this whole process of building our two corpora from our different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w:t>
      </w:r>
      <w:del w:author="Truc Alexandre" w:id="8" w:date="2026-05-11T09:17:32Z">
        <w:r w:rsidDel="00000000" w:rsidR="00000000" w:rsidRPr="00000000">
          <w:rPr>
            <w:rtl w:val="0"/>
          </w:rPr>
          <w:delText xml:space="preserve">, e.g.,</w:delText>
        </w:r>
      </w:del>
      <w:r w:rsidDel="00000000" w:rsidR="00000000" w:rsidRPr="00000000">
        <w:rPr>
          <w:rtl w:val="0"/>
        </w:rPr>
        <w:t xml:space="preserve"> @tahamtanCore2018</w:t>
      </w:r>
      <w:ins w:author="Truc Alexandre" w:id="9" w:date="2026-05-11T09:17:38Z">
        <w:r w:rsidDel="00000000" w:rsidR="00000000" w:rsidRPr="00000000">
          <w:rPr>
            <w:rtl w:val="0"/>
          </w:rPr>
          <w:t xml:space="preserve"> for a litterature review on the issue</w:t>
        </w:r>
      </w:ins>
      <w:r w:rsidDel="00000000" w:rsidR="00000000" w:rsidRPr="00000000">
        <w:rPr>
          <w:rtl w:val="0"/>
        </w:rPr>
        <w:t xml:space="preserv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w:t>
      </w:r>
      <w:ins w:author="Truc Alexandre" w:id="10" w:date="2026-05-11T09:22:15Z">
        <w:r w:rsidDel="00000000" w:rsidR="00000000" w:rsidRPr="00000000">
          <w:rPr>
            <w:rtl w:val="0"/>
          </w:rPr>
          <w:t xml:space="preserve">@teixeiraMatthew2021; </w:t>
        </w:r>
      </w:ins>
      <w:r w:rsidDel="00000000" w:rsidR="00000000" w:rsidRPr="00000000">
        <w:rPr>
          <w:rtl w:val="0"/>
        </w:rPr>
        <w:t xml:space="preserve">@teplitskiyHow2022</w:t>
      </w:r>
      <w:ins w:author="Truc Alexandre" w:id="11" w:date="2026-05-11T09:21:01Z">
        <w:r w:rsidDel="00000000" w:rsidR="00000000" w:rsidRPr="00000000">
          <w:rPr>
            <w:rtl w:val="0"/>
          </w:rPr>
          <w:t xml:space="preserve">; @eikaStarstruck2022</w:t>
        </w:r>
      </w:ins>
      <w:r w:rsidDel="00000000" w:rsidR="00000000" w:rsidRPr="00000000">
        <w:rPr>
          <w:rtl w:val="0"/>
        </w:rPr>
        <w:t xml:space="preserve">].</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20"/>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1"/>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2"/>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@claveauMacrodynamics2016; @trucForty2022; @bacciniDoes2025].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w:t>
      </w:r>
      <w:r w:rsidDel="00000000" w:rsidR="00000000" w:rsidRPr="00000000">
        <w:rPr>
          <w:rtl w:val="0"/>
        </w:rPr>
        <w:t xml:space="preserve">[@claveauMacrodyanmics2016; @goutsmedtIndependent2023; @camilottoNavigating2023]</w:t>
      </w:r>
      <w:r w:rsidDel="00000000" w:rsidR="00000000" w:rsidRPr="00000000">
        <w:rPr>
          <w:rtl w:val="0"/>
        </w:rPr>
        <w:t xml:space="preserve">, </w:t>
      </w:r>
      <w:commentRangeStart w:id="0"/>
      <w:commentRangeStart w:id="1"/>
      <w:commentRangeStart w:id="2"/>
      <w:r w:rsidDel="00000000" w:rsidR="00000000" w:rsidRPr="00000000">
        <w:rPr>
          <w:rtl w:val="0"/>
        </w:rPr>
        <w:t xml:space="preserve">we therefore split our corpus into overlapping eight-year windows,</w:t>
      </w:r>
      <w:ins w:author="Truc Alexandre" w:id="12" w:date="2026-05-11T09:30:52Z">
        <w:r w:rsidDel="00000000" w:rsidR="00000000" w:rsidRPr="00000000">
          <w:rPr>
            <w:vertAlign w:val="superscript"/>
          </w:rPr>
          <w:footnoteReference w:customMarkFollows="0" w:id="23"/>
        </w:r>
      </w:ins>
      <w:r w:rsidDel="00000000" w:rsidR="00000000" w:rsidRPr="00000000">
        <w:rPr>
          <w:rtl w:val="0"/>
        </w:rPr>
        <w:t xml:space="preserve"> starting in 1960 (1960–1967; 1961–1968; … ; 2002–2009), and built a series of 43 separate networks. </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4"/>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@montanelliSurvey2024; @peritiSystematic2024a] and take inspiration from @giulianelliAnalysing2020.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5"/>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6"/>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For the purpose of the exploration and interpretation of our results, we have built an [online interactive application](</w:t>
      </w:r>
      <w:hyperlink r:id="rId8">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t xml:space="preserve">)</w:t>
      </w:r>
      <w:r w:rsidDel="00000000" w:rsidR="00000000" w:rsidRPr="00000000">
        <w:rPr>
          <w:rtl w:val="0"/>
        </w:rPr>
        <w:t xml:space="preserve">, where one finds all the semantic clusters and bibliometric communities, and their corresponding indicators. Let us take as an example the semantic cluster “Rationality and its Limits,” which gathers close to 20,000 sentences from 1920 to 2009.</w:t>
      </w:r>
      <w:r w:rsidDel="00000000" w:rsidR="00000000" w:rsidRPr="00000000">
        <w:rPr>
          <w:vertAlign w:val="superscript"/>
        </w:rPr>
        <w:footnoteReference w:customMarkFollows="0" w:id="27"/>
      </w:r>
      <w:r w:rsidDel="00000000" w:rsidR="00000000" w:rsidRPr="00000000">
        <w:rPr>
          <w:rtl w:val="0"/>
        </w:rPr>
        <w:t xml:space="preserve">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rtl w:val="0"/>
        </w:rPr>
        <w:t xml:space="preserve">The most identifying words of the cluster for each decade, based on Term Frequency-Inverse Document Frequency (TF-IDF).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as well as the closest sentences from the  cluster’s centroid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rtl w:val="0"/>
        </w:rPr>
        <w:t xml:space="preserve">From the 1950s onward, the most cited references (based on the number of citations per article, whether the article has one or ten sentences in the cluster).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community </w:t>
      </w:r>
      <w:r w:rsidDel="00000000" w:rsidR="00000000" w:rsidRPr="00000000">
        <w:rPr>
          <w:rtl w:val="0"/>
        </w:rPr>
        <w:t xml:space="preserve">“Behavioral Economics: Risk &amp; Uncertainty”</w:t>
      </w:r>
      <w:r w:rsidDel="00000000" w:rsidR="00000000" w:rsidRPr="00000000">
        <w:rPr>
          <w:rtl w:val="0"/>
        </w:rPr>
        <w:t xml:space="preserve"> community in the 1981-1988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8"/>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arguments about utility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9"/>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“Methodological Discussions” captures a significant share of sentences from 1900–1920 that articulate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0"/>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While intertemporal semantic cluster “Utility Theory”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1"/>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emerges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intertemporal semantic clusters that persist over time while reflecting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2"/>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3"/>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4"/>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5"/>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A similar trajectory to macroeconomics can also be observed in finance. The origins of financial issues can be traced to the semantic cluster “Capital &amp; Investment Theory,”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becomes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rarely discussed explicitly prior to the emergence of behavioral finance.</w:t>
      </w:r>
    </w:p>
    <w:p w:rsidR="00000000" w:rsidDel="00000000" w:rsidP="00000000" w:rsidRDefault="00000000" w:rsidRPr="00000000" w14:paraId="00000058">
      <w:pPr>
        <w:rPr/>
      </w:pPr>
      <w:r w:rsidDel="00000000" w:rsidR="00000000" w:rsidRPr="00000000">
        <w:rPr>
          <w:rtl w:val="0"/>
        </w:rPr>
        <w:t xml:space="preserve">However, from the 1980s onward, modern asset pricing becomes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emerges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The divergent fates of Simon’s bounded rationality and Kahneman and Tversky’s heuristics-and-biases approach thus present a striking puzzle in the history of economic thought. Both challenged standard assumptions of rationality under the banner of behavioral economics, and both were ultimately recognized with Nobel Prizes, yet their patterns of reception and adoption differed. While our methods cannot identify the precise epistemological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Semantic cluster “Rationality &amp; its Limits” undergoes a marked transformation following the rise of Simon’s influence. In the 1950s,</w:t>
      </w:r>
      <w:ins w:author="Truc Alexandre" w:id="13" w:date="2026-05-11T11:12:31Z">
        <w:r w:rsidDel="00000000" w:rsidR="00000000" w:rsidRPr="00000000">
          <w:rPr>
            <w:rtl w:val="0"/>
          </w:rPr>
          <w:t xml:space="preserve"> the</w:t>
        </w:r>
      </w:ins>
      <w:r w:rsidDel="00000000" w:rsidR="00000000" w:rsidRPr="00000000">
        <w:rPr>
          <w:rtl w:val="0"/>
        </w:rPr>
        <w:t xml:space="preserve"> discourse</w:t>
      </w:r>
      <w:ins w:author="Truc Alexandre" w:id="14" w:date="2026-05-11T11:12:27Z">
        <w:r w:rsidDel="00000000" w:rsidR="00000000" w:rsidRPr="00000000">
          <w:rPr>
            <w:rtl w:val="0"/>
          </w:rPr>
          <w:t xml:space="preserve"> was</w:t>
        </w:r>
      </w:ins>
      <w:r w:rsidDel="00000000" w:rsidR="00000000" w:rsidRPr="00000000">
        <w:rPr>
          <w:rtl w:val="0"/>
        </w:rPr>
        <w:t xml:space="preserve"> centered on terms such as “rational behavior,” “rationalization,” and “irrationality.” By the 1970s, “bounded rationality” had become one the most prevalent expression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clusters,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these different research streams coalesced into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institutionnalist approache</w:t>
      </w:r>
      <w:r w:rsidDel="00000000" w:rsidR="00000000" w:rsidRPr="00000000">
        <w:rPr>
          <w:rtl w:val="0"/>
        </w:rPr>
        <w:t xml:space="preserve">s</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2">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a lot of these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The contrast is stark and raises fundamental questions about disciplinary reception. Our quantitative study yields two particularly surprising results regarding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 </w:t>
      </w:r>
      <w:ins w:author="Truc Alexandre" w:id="15" w:date="2026-05-11T11:30:29Z">
        <w:r w:rsidDel="00000000" w:rsidR="00000000" w:rsidRPr="00000000">
          <w:rPr>
            <w:rtl w:val="0"/>
            <w:rPrChange w:author="Truc Alexandre" w:id="16" w:date="2026-05-11T11:30:29Z">
              <w:rPr/>
            </w:rPrChange>
          </w:rPr>
          <w:t xml:space="preserve">This align with a general findings in scientometrics that citations in the first two years after publication explain more than half of the variation in cumulative citations [@sternHighRanked2014]. While the institutionnal structures that came after played an important role in the subsequent reception of the research program as a whole, it is important to recognize how the reception of Kahneman and Tversky’s differ greatly in the couple of years after publications. Moreover, </w:t>
        </w:r>
      </w:ins>
      <w:del w:author="Truc Alexandre" w:id="15" w:date="2026-05-11T11:30:29Z">
        <w:r w:rsidDel="00000000" w:rsidR="00000000" w:rsidRPr="00000000">
          <w:rPr>
            <w:rtl w:val="0"/>
          </w:rPr>
          <w:delText xml:space="preserve">A</w:delText>
        </w:r>
      </w:del>
      <w:ins w:author="Truc Alexandre" w:id="15" w:date="2026-05-11T11:30:29Z">
        <w:r w:rsidDel="00000000" w:rsidR="00000000" w:rsidRPr="00000000">
          <w:rPr>
            <w:rtl w:val="0"/>
          </w:rPr>
          <w:t xml:space="preserve">a</w:t>
        </w:r>
      </w:ins>
      <w:r w:rsidDel="00000000" w:rsidR="00000000" w:rsidRPr="00000000">
        <w:rPr>
          <w:rtl w:val="0"/>
        </w:rPr>
        <w:t xml:space="preserve">s early as the 1978–1985 bibliometric network, we </w:t>
      </w:r>
      <w:r w:rsidDel="00000000" w:rsidR="00000000" w:rsidRPr="00000000">
        <w:rPr>
          <w:rtl w:val="0"/>
        </w:rPr>
        <w:t xml:space="preserve">identify</w:t>
      </w:r>
      <w:r w:rsidDel="00000000" w:rsidR="00000000" w:rsidRPr="00000000">
        <w:rPr>
          <w:rtl w:val="0"/>
        </w:rPr>
        <w:t xml:space="preserve"> a</w:t>
      </w:r>
      <w:ins w:author="Truc Alexandre" w:id="17" w:date="2026-05-11T11:35:52Z">
        <w:r w:rsidDel="00000000" w:rsidR="00000000" w:rsidRPr="00000000">
          <w:rPr>
            <w:rtl w:val="0"/>
          </w:rPr>
          <w:t xml:space="preserve">n autonomous</w:t>
        </w:r>
      </w:ins>
      <w:r w:rsidDel="00000000" w:rsidR="00000000" w:rsidRPr="00000000">
        <w:rPr>
          <w:rtl w:val="0"/>
        </w:rPr>
        <w:t xml:space="preserve"> cluster structured around their work</w:t>
      </w:r>
      <w:ins w:author="Truc Alexandre" w:id="18" w:date="2026-05-11T11:35:40Z">
        <w:r w:rsidDel="00000000" w:rsidR="00000000" w:rsidRPr="00000000">
          <w:rPr>
            <w:rtl w:val="0"/>
          </w:rPr>
          <w:t xml:space="preserve"> (cl_391)</w:t>
        </w:r>
      </w:ins>
      <w:r w:rsidDel="00000000" w:rsidR="00000000" w:rsidRPr="00000000">
        <w:rPr>
          <w:rtl w:val="0"/>
        </w:rPr>
        <w:t xml:space="preserve">, indicating that the article not only attracted citations but quickly catalyzed new research strands, in a way Simon’s work never did within economics [@heukelom_sense_2012].</w:t>
      </w:r>
    </w:p>
    <w:p w:rsidR="00000000" w:rsidDel="00000000" w:rsidP="00000000" w:rsidRDefault="00000000" w:rsidRPr="00000000" w14:paraId="00000065">
      <w:pPr>
        <w:rPr/>
      </w:pPr>
      <w:r w:rsidDel="00000000" w:rsidR="00000000" w:rsidRPr="00000000">
        <w:rPr>
          <w:rtl w:val="0"/>
        </w:rPr>
        <w:t xml:space="preserve">The second surprising finding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8">
      <w:pPr>
        <w:rPr/>
      </w:pPr>
      <w:r w:rsidDel="00000000" w:rsidR="00000000" w:rsidRPr="00000000">
        <w:rPr>
          <w:rtl w:val="0"/>
        </w:rPr>
        <w:t xml:space="preserve">A favorable interpretation holds that “new” behavioral economics has genuinely revived previously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A third interpretation suggests that rising citation counts reflect a growing backlash against the “new” behavioral program, as defenders of “old” behavioral economics increasingly invoke Simon and others to challenge the heuristics-and-biases framework.</w:t>
      </w:r>
    </w:p>
    <w:p w:rsidR="00000000" w:rsidDel="00000000" w:rsidP="00000000" w:rsidRDefault="00000000" w:rsidRPr="00000000" w14:paraId="00000069">
      <w:pPr>
        <w:rPr/>
      </w:pPr>
      <w:r w:rsidDel="00000000" w:rsidR="00000000" w:rsidRPr="00000000">
        <w:rPr>
          <w:rtl w:val="0"/>
        </w:rPr>
        <w:t xml:space="preserve">Our findings tentatively support the second interpretation. The sparse and weakly structured citation patterns associated with “old” behavioral economics, combined with the fact that contemporary discussions of rationality are increasingly framed through the concepts and tools of “new” behavioral and experimental economics, point toward appropriation rather than genuine integration. Citations may acknowledge earlier work without engaging its distinctive methodological commitments or theoretical ambitions. Simon’s influence thus persists primarily as a symbolic and framing reference, useful for situating debates and reconstructing intellectual lineages, while his substantive framework remains only superficially incorporated. Although a definitive assessment would require closer qualitative analysis of how these citations function in contemporary texts, our study provides a quantitative roadmap for future research on the complex and ambivalent relationship between “old” and “new” behavioral economics.</w:t>
      </w:r>
      <w:r w:rsidDel="00000000" w:rsidR="00000000" w:rsidRPr="00000000">
        <w:rPr>
          <w:rtl w:val="0"/>
        </w:rPr>
      </w:r>
    </w:p>
    <w:p w:rsidR="00000000" w:rsidDel="00000000" w:rsidP="00000000" w:rsidRDefault="00000000" w:rsidRPr="00000000" w14:paraId="0000006A">
      <w:pPr>
        <w:pStyle w:val="Heading1"/>
        <w:rPr>
          <w:b w:val="1"/>
          <w:bCs w:val="1"/>
        </w:rPr>
        <w:sectPr>
          <w:headerReference r:id="rId9" w:type="default"/>
          <w:footerReference r:id="rId10"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B">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w:t>
      </w:r>
    </w:p>
    <w:p w:rsidR="00000000" w:rsidDel="00000000" w:rsidP="00000000" w:rsidRDefault="00000000" w:rsidRPr="00000000" w14:paraId="0000006C">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6E">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6F">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0">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w:t>
      </w:r>
      <w:r w:rsidDel="00000000" w:rsidR="00000000" w:rsidRPr="00000000">
        <w:rPr>
          <w:rtl w:val="0"/>
        </w:rPr>
        <w:t xml:space="preserve">interactive application](https://019adac8-81d4-aa0e-808c-08861c261fd2.share.connect.posit.cloud/) </w:t>
      </w:r>
      <w:r w:rsidDel="00000000" w:rsidR="00000000" w:rsidRPr="00000000">
        <w:rPr>
          <w:rtl w:val="0"/>
        </w:rPr>
        <w:t xml:space="preserve">to explore our results, we hope to encourage readers to pursue their own paths of discovery within the corpus.</w:t>
      </w: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0" w:date="2026-04-15T15:19:40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ruc Alexandre" w:id="12" w:date="2026-05-11T09:30:52Z"/>
          <w:rFonts w:ascii="Arial" w:cs="Arial" w:eastAsia="Arial" w:hAnsi="Arial"/>
          <w:b w:val="0"/>
          <w:bCs w:val="0"/>
          <w:i w:val="0"/>
          <w:iCs w:val="0"/>
          <w:smallCaps w:val="0"/>
          <w:strike w:val="0"/>
          <w:color w:val="000000"/>
          <w:sz w:val="22"/>
          <w:szCs w:val="22"/>
          <w:u w:val="none"/>
          <w:shd w:fill="auto" w:val="clear"/>
          <w:vertAlign w:val="baseline"/>
        </w:rPr>
      </w:pPr>
      <w:ins w:author="Truc Alexandre" w:id="12" w:date="2026-05-11T09:30:52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8 year window justification here</w:t>
        </w:r>
      </w:ins>
    </w:p>
  </w:comment>
  <w:comment w:author="Aurélien Goutsmedt" w:id="1" w:date="2026-05-09T14:05:20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ruc Alexandre" w:id="12" w:date="2026-05-11T09:30:52Z"/>
          <w:rFonts w:ascii="Arial" w:cs="Arial" w:eastAsia="Arial" w:hAnsi="Arial"/>
          <w:b w:val="0"/>
          <w:bCs w:val="0"/>
          <w:i w:val="0"/>
          <w:iCs w:val="0"/>
          <w:smallCaps w:val="0"/>
          <w:strike w:val="0"/>
          <w:color w:val="000000"/>
          <w:sz w:val="22"/>
          <w:szCs w:val="22"/>
          <w:u w:val="none"/>
          <w:shd w:fill="auto" w:val="clear"/>
          <w:vertAlign w:val="baseline"/>
        </w:rPr>
      </w:pPr>
      <w:ins w:author="Truc Alexandre" w:id="12" w:date="2026-05-11T09:30:52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@alexandre.truc77@gmail.com</w:t>
        </w:r>
      </w:ins>
    </w:p>
  </w:comment>
  <w:comment w:author="Truc Alexandre" w:id="2" w:date="2026-05-11T09:36:16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ns w:author="Truc Alexandre" w:id="12" w:date="2026-05-11T09:30:52Z"/>
          <w:rFonts w:ascii="Arial" w:cs="Arial" w:eastAsia="Arial" w:hAnsi="Arial"/>
          <w:b w:val="0"/>
          <w:bCs w:val="0"/>
          <w:i w:val="0"/>
          <w:iCs w:val="0"/>
          <w:smallCaps w:val="0"/>
          <w:strike w:val="0"/>
          <w:color w:val="000000"/>
          <w:sz w:val="22"/>
          <w:szCs w:val="22"/>
          <w:u w:val="none"/>
          <w:shd w:fill="auto" w:val="clear"/>
          <w:vertAlign w:val="baseline"/>
        </w:rPr>
      </w:pPr>
      <w:ins w:author="Truc Alexandre" w:id="12" w:date="2026-05-11T09:30:52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Footnote added. Should we also discuss why different time windows are used somewhere and include some elements of the letter in a footnote ?</w:t>
        </w:r>
      </w:ins>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3">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9">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r w:rsidDel="00000000" w:rsidR="00000000" w:rsidRPr="00000000">
        <w:rPr>
          <w:rtl w:val="0"/>
        </w:rPr>
      </w:r>
    </w:p>
  </w:footnote>
  <w:footnote w:id="0">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3">
    <w:p w:rsidR="00000000" w:rsidDel="00000000" w:rsidP="00000000" w:rsidRDefault="00000000" w:rsidRPr="00000000" w14:paraId="0000007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8">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5">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10">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11">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2">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3">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5">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26">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Intertemporal semantic clusters are thus composed of several intra-decade clusters that have been aggregated together. The </w:t>
      </w:r>
      <w:hyperlink r:id="rId1">
        <w:r w:rsidDel="00000000" w:rsidR="00000000" w:rsidRPr="00000000">
          <w:rPr>
            <w:color w:val="1155cc"/>
            <w:sz w:val="20"/>
            <w:szCs w:val="20"/>
            <w:u w:val="single"/>
            <w:rtl w:val="0"/>
          </w:rPr>
          <w:t xml:space="preserve">interactive application</w:t>
        </w:r>
      </w:hyperlink>
      <w:r w:rsidDel="00000000" w:rsidR="00000000" w:rsidRPr="00000000">
        <w:rPr>
          <w:sz w:val="20"/>
          <w:szCs w:val="20"/>
          <w:rtl w:val="0"/>
        </w:rPr>
        <w:t xml:space="preserve"> represents all these intra-decade clusters and their integration into intertemporal clusters. Refer to the appendix for details.</w:t>
      </w:r>
    </w:p>
  </w:footnote>
  <w:footnote w:id="20">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29">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8">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0">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34">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5">
    <w:p w:rsidR="00000000" w:rsidDel="00000000" w:rsidP="00000000" w:rsidRDefault="00000000" w:rsidRPr="00000000" w14:paraId="00000084">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2">
    <w:p w:rsidR="00000000" w:rsidDel="00000000" w:rsidP="00000000" w:rsidRDefault="00000000" w:rsidRPr="00000000" w14:paraId="00000085">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here: </w:t>
      </w:r>
      <w:hyperlink r:id="rId2">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sz w:val="20"/>
          <w:szCs w:val="20"/>
          <w:rtl w:val="0"/>
        </w:rPr>
        <w:t xml:space="preserve"> </w:t>
      </w:r>
    </w:p>
  </w:footnote>
  <w:footnote w:id="4">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they have institutional access to the relevant issues.</w:t>
      </w:r>
    </w:p>
  </w:footnote>
  <w:footnote w:id="15">
    <w:p w:rsidR="00000000" w:rsidDel="00000000" w:rsidP="00000000" w:rsidRDefault="00000000" w:rsidRPr="00000000" w14:paraId="00000088">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8">
    <w:p w:rsidR="00000000" w:rsidDel="00000000" w:rsidP="00000000" w:rsidRDefault="00000000" w:rsidRPr="00000000" w14:paraId="00000089">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classified as “noise” by the HDBSCAN algorithm. </w:t>
      </w:r>
    </w:p>
  </w:footnote>
  <w:footnote w:id="17">
    <w:p w:rsidR="00000000" w:rsidDel="00000000" w:rsidP="00000000" w:rsidRDefault="00000000" w:rsidRPr="00000000" w14:paraId="0000008A">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highlight w:val="white"/>
          <w:rtl w:val="0"/>
        </w:rPr>
        <w:t xml:space="preserve">.</w:t>
      </w:r>
      <w:r w:rsidDel="00000000" w:rsidR="00000000" w:rsidRPr="00000000">
        <w:rPr>
          <w:sz w:val="20"/>
          <w:szCs w:val="20"/>
          <w:highlight w:val="white"/>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very easy to compute the closest embeddings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19">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6">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4">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 defined as the cosine of the angle between two vectors in the embedding space.</w:t>
      </w:r>
    </w:p>
  </w:footnote>
  <w:footnote w:id="22">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4">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6">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7">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1">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7">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w:t>
      </w:r>
    </w:p>
  </w:footnote>
  <w:footnote w:id="31">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3">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3">
    <w:p w:rsidR="00000000" w:rsidDel="00000000" w:rsidP="00000000" w:rsidRDefault="00000000" w:rsidRPr="00000000" w14:paraId="00000096">
      <w:pPr>
        <w:spacing w:after="0" w:before="0" w:line="240" w:lineRule="auto"/>
        <w:rPr>
          <w:ins w:author="Truc Alexandre" w:id="12" w:date="2026-05-11T09:30:52Z"/>
          <w:sz w:val="20"/>
          <w:szCs w:val="20"/>
          <w:rPrChange w:author="Truc Alexandre" w:id="19" w:date="2026-05-11T09:30:52Z">
            <w:rPr>
              <w:sz w:val="20"/>
              <w:szCs w:val="20"/>
            </w:rPr>
          </w:rPrChange>
        </w:rPr>
      </w:pPr>
      <w:r w:rsidDel="00000000" w:rsidR="00000000" w:rsidRPr="00000000">
        <w:rPr>
          <w:rStyle w:val="FootnoteReference"/>
          <w:vertAlign w:val="superscript"/>
        </w:rPr>
        <w:footnoteRef/>
      </w:r>
      <w:ins w:author="Truc Alexandre" w:id="12" w:date="2026-05-11T09:30:52Z">
        <w:r w:rsidDel="00000000" w:rsidR="00000000" w:rsidRPr="00000000">
          <w:rPr>
            <w:sz w:val="20"/>
            <w:szCs w:val="20"/>
            <w:rtl w:val="0"/>
            <w:rPrChange w:author="Truc Alexandre" w:id="19" w:date="2026-05-11T09:30:52Z">
              <w:rPr>
                <w:sz w:val="20"/>
                <w:szCs w:val="20"/>
              </w:rPr>
            </w:rPrChange>
          </w:rPr>
          <w:t xml:space="preserve"> The eight-year window for bibliometric communities follows established practice in the quantitative history of economics [@claveauMacrodyanmics2016], which is generally between 5 and 10 years [</w:t>
        </w:r>
        <w:r w:rsidDel="00000000" w:rsidR="00000000" w:rsidRPr="00000000">
          <w:rPr>
            <w:sz w:val="20"/>
            <w:szCs w:val="20"/>
            <w:rtl w:val="0"/>
            <w:rPrChange w:author="Truc Alexandre" w:id="19" w:date="2026-05-11T09:30:52Z">
              <w:rPr>
                <w:sz w:val="20"/>
                <w:szCs w:val="20"/>
              </w:rPr>
            </w:rPrChange>
          </w:rPr>
          <w:t xml:space="preserve">@abramoAssessing2011]</w:t>
        </w:r>
        <w:r w:rsidDel="00000000" w:rsidR="00000000" w:rsidRPr="00000000">
          <w:rPr>
            <w:sz w:val="20"/>
            <w:szCs w:val="20"/>
            <w:rtl w:val="0"/>
            <w:rPrChange w:author="Truc Alexandre" w:id="19" w:date="2026-05-11T09:30:52Z">
              <w:rPr>
                <w:sz w:val="20"/>
                <w:szCs w:val="20"/>
              </w:rPr>
            </w:rPrChange>
          </w:rPr>
          <w:t xml:space="preserve">. In our case, economics being a social science with longer citation spans of life [@lariviereLongterm2008; @aistleitnerCitation2019], and our object of study spanning across multiple decades, a longer time window than 5 years is favored while preserving more granularity than a 10-year one.</w:t>
        </w:r>
      </w:ins>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019adac8-81d4-aa0e-808c-08861c261fd2.share.connect.posit.cloud/"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019adac8-81d4-aa0e-808c-08861c261fd2.share.connect.posit.cloud/" TargetMode="External"/><Relationship Id="rId2" Type="http://schemas.openxmlformats.org/officeDocument/2006/relationships/hyperlink" Target="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