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w:t>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2"/>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3"/>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4"/>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5"/>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6"/>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7"/>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8"/>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9"/>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0"/>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can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one of the most straightforward indicators is term frequency, that is counting how often particular words or expressions appear.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simpler, more straightforward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As emphasized in this literature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(e.g., Simon, George Katona), to the emergence of “new” behavioral economics is organized around such milestones. In this sense, citations serve as a complementary proxy alongside these traditional indicators. For instance, although both Simon and Kahneman received the Nobel Prize, Kahneman ultimately exerted a broader influence on the discipline—something that is reflected in citation patterns. 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w:t>
      </w:r>
    </w:p>
    <w:p w:rsidR="00000000" w:rsidDel="00000000" w:rsidP="00000000" w:rsidRDefault="00000000" w:rsidRPr="00000000" w14:paraId="0000002B">
      <w:pPr>
        <w:rPr/>
      </w:pPr>
      <w:r w:rsidDel="00000000" w:rsidR="00000000" w:rsidRPr="00000000">
        <w:rPr>
          <w:rtl w:val="0"/>
        </w:rPr>
        <w:t xml:space="preserve">@fig-rationality-paper-citations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w:t>
      </w:r>
    </w:p>
    <w:p w:rsidR="00000000" w:rsidDel="00000000" w:rsidP="00000000" w:rsidRDefault="00000000" w:rsidRPr="00000000" w14:paraId="0000002C">
      <w:pPr>
        <w:rPr/>
      </w:pPr>
      <w:r w:rsidDel="00000000" w:rsidR="00000000" w:rsidRPr="00000000">
        <w:rPr>
          <w:rtl w:val="0"/>
        </w:rPr>
        <w:t xml:space="preserve">The influence of “new” behavioral economics clearly exceeds that of the earlier tradition, both in the top five journals and in the broader set of economics journals indexed in Web of Science.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D">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E">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F">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1"/>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30">
      <w:pPr>
        <w:rPr/>
      </w:pPr>
      <w:r w:rsidDel="00000000" w:rsidR="00000000" w:rsidRPr="00000000">
        <w:rPr>
          <w:rtl w:val="0"/>
        </w:rPr>
        <w:t xml:space="preserve">The counterpart of unsupervised methods are supervised methods—such as regressions—which estimate predefined relationships in the data. In contrast, unsupervised methods are particularly well suited to exploratory analysis. In this research context, analysts often lack precise knowledge of the corpus and its various intellectual contexts.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labelled data become harder to obtain and increase the risk of imposing categories that are inadequate or anachronistic relative to the historical context.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In this paper, for citation data, we use a method commonly employed in the history of economic thought: bibliographic coupling [ref].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their internal organization, including hierarchies and core–periphery structures.</w:t>
      </w:r>
    </w:p>
    <w:p w:rsidR="00000000" w:rsidDel="00000000" w:rsidP="00000000" w:rsidRDefault="00000000" w:rsidRPr="00000000" w14:paraId="00000032">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[three papers], we therefore split our corpus into overlapping eight-year windows, beginning in 1960 (1960–1967; 1961–1968; … ; 2002–2009), and built a series of 43 separate networks. Using community-detection algorithms [@traag…], we identify groups of documents that share a substantial fraction of references and therefore have a similar intellectual background; we refer to these groups as “bibliographic communities.” Our next step is to identify communities that persist over time. When two communities from consecutive networks share many of the same articles, we treat them as instances of the same underlying group—an “intertemporal bibliographic community.” In this way, our bibliographic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For textual data, historians of economics frequently rely on topic modeling [Ref].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4">
      <w:pPr>
        <w:rPr/>
      </w:pPr>
      <w:r w:rsidDel="00000000" w:rsidR="00000000" w:rsidRPr="00000000">
        <w:rPr>
          <w:rtl w:val="0"/>
        </w:rPr>
        <w:t xml:space="preserve">Because we focus on one large and historically fluid concept, we draw on the literature on semantic drift [ref] and take inspiration from @ref. Rather than starting with full documents, </w:t>
      </w:r>
      <w:r w:rsidDel="00000000" w:rsidR="00000000" w:rsidRPr="00000000">
        <w:rPr>
          <w:rtl w:val="0"/>
        </w:rPr>
        <w:t xml:space="preserve">we filter each year’s corpus to retain only the </w:t>
      </w:r>
      <w:r w:rsidDel="00000000" w:rsidR="00000000" w:rsidRPr="00000000">
        <w:rPr>
          <w:rtl w:val="0"/>
        </w:rPr>
        <w:t xml:space="preserve"> top 1% of sentences that are most similar to our annual representative vectors of “rationality” and “rational.” In other words, we extract the sentences most likely to engage with the concept of rationality in any form.</w:t>
      </w:r>
      <w:r w:rsidDel="00000000" w:rsidR="00000000" w:rsidRPr="00000000">
        <w:rPr>
          <w:vertAlign w:val="superscript"/>
        </w:rPr>
        <w:footnoteReference w:customMarkFollows="0" w:id="12"/>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5">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3"/>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4"/>
      </w: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With both methods, we thus obtain a list of “intertemporal bibliographic communities” and “intertemporal semantic clusters.”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than through citations. Choosing between the two therefore depends directly on the specific historical questions one aims to address. </w:t>
      </w:r>
    </w:p>
    <w:p w:rsidR="00000000" w:rsidDel="00000000" w:rsidP="00000000" w:rsidRDefault="00000000" w:rsidRPr="00000000" w14:paraId="00000037">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5"/>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8">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9">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categories—bibliographic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Groups resulting from an unsupervised method can comprise, depending on the corpus, anything from a few dozen to several thousand texts. To make sense of what brings peculiar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A">
      <w:pPr>
        <w:ind w:right="0"/>
        <w:rPr/>
      </w:pPr>
      <w:r w:rsidDel="00000000" w:rsidR="00000000" w:rsidRPr="00000000">
        <w:rPr>
          <w:rtl w:val="0"/>
        </w:rPr>
        <w:t xml:space="preserve">Thus, whether at the stage of data construction or in the interpretation of statistical patterns, quantitative methods demand a continuous dialogue with qualitative interpretation, supported by a close reading of the secondary literature on the topic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tools—such as our interactive applications—to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Let us take as an example the semantic cluster 11, which gathers close to 20,000 sentences from 1920 to 2009. How can we get a sense of what this cluster actually coalesces around? Before any qualitative interpretation or contextualization with the secondary literature is possible, we must first produce a series of indicators to characterize the cluster. Such indicators include:</w:t>
      </w:r>
    </w:p>
    <w:p w:rsidR="00000000" w:rsidDel="00000000" w:rsidP="00000000" w:rsidRDefault="00000000" w:rsidRPr="00000000" w14:paraId="0000003C">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most recurring authors. While Talcott Parsons and Frank Knight appear frequently in the 1920s and 1930s, Herbert Simon becomes a central author in the 1950s and 1970s. In the 1990s, we notably find Robert Sugden a behavioral economists.</w:t>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40">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1">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2">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and to see the evolution of these uses across time but also across topics and subdisciplines (in game theory, macroeconomics, behavioral economics or evolutionary economics).</w:t>
      </w:r>
    </w:p>
    <w:p w:rsidR="00000000" w:rsidDel="00000000" w:rsidP="00000000" w:rsidRDefault="00000000" w:rsidRPr="00000000" w14:paraId="00000043">
      <w:pPr>
        <w:rPr/>
      </w:pPr>
      <w:r w:rsidDel="00000000" w:rsidR="00000000" w:rsidRPr="00000000">
        <w:rPr>
          <w:rtl w:val="0"/>
        </w:rPr>
        <w:t xml:space="preserve">The bibliometric approach does not allow for such fine-grained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0"/>
      <w:commentRangeStart w:id="1"/>
      <w:r w:rsidDel="00000000" w:rsidR="00000000" w:rsidRPr="00000000">
        <w:rPr>
          <w:rtl w:val="0"/>
        </w:rPr>
        <w:t xml:space="preserve">“Behavioral Economics and Choice Theory”</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4">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5">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6">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6"/>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8">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t>
      </w:r>
    </w:p>
    <w:p w:rsidR="00000000" w:rsidDel="00000000" w:rsidP="00000000" w:rsidRDefault="00000000" w:rsidRPr="00000000" w14:paraId="0000004A">
      <w:pPr>
        <w:rPr/>
      </w:pPr>
      <w:r w:rsidDel="00000000" w:rsidR="00000000" w:rsidRPr="00000000">
        <w:rPr>
          <w:rtl w:val="0"/>
        </w:rPr>
        <w:t xml:space="preserve">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B">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7"/>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8"/>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D">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E">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F">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50">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51">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2">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19"/>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the assumption of expected utility.</w:t>
      </w:r>
    </w:p>
    <w:p w:rsidR="00000000" w:rsidDel="00000000" w:rsidP="00000000" w:rsidRDefault="00000000" w:rsidRPr="00000000" w14:paraId="00000053">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to the design of “rationalizing” policies [@herfeldTheories2018; @handsNormative2015].</w:t>
      </w:r>
    </w:p>
    <w:p w:rsidR="00000000" w:rsidDel="00000000" w:rsidP="00000000" w:rsidRDefault="00000000" w:rsidRPr="00000000" w14:paraId="00000055">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6">
      <w:pPr>
        <w:rPr/>
      </w:pPr>
      <w:r w:rsidDel="00000000" w:rsidR="00000000" w:rsidRPr="00000000">
        <w:rPr>
          <w:rtl w:val="0"/>
        </w:rPr>
        <w:t xml:space="preserve">As rationality increasingly came to be framed through modern microeconomics, the concept was extended to both individual and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not applied not only for individuals but also for firms and public policy. It is also in this cluster that issues of social choice emerge, notably debates on the implications of Arrow’s impossibility theorem [-@arrowSocial1951; see e.g. @igersheimDeath2019].</w:t>
      </w:r>
      <w:r w:rsidDel="00000000" w:rsidR="00000000" w:rsidRPr="00000000">
        <w:rPr>
          <w:vertAlign w:val="superscript"/>
        </w:rPr>
        <w:footnoteReference w:customMarkFollows="0" w:id="20"/>
      </w:r>
      <w:r w:rsidDel="00000000" w:rsidR="00000000" w:rsidRPr="00000000">
        <w:rPr>
          <w:rtl w:val="0"/>
        </w:rPr>
        <w:t xml:space="preserve"> Arrow’s contribution also stimulated the formation of cluster 16 on law and economics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Macroeconomics constituted a relatively important semantic cluster from the beginning of our period, in 1900, notably through monetary economics (cluster 1). This cluster grew in importance in the 1930s, particularly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1"/>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8">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9">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B">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C">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D">
      <w:pPr>
        <w:rPr/>
      </w:pPr>
      <w:r w:rsidDel="00000000" w:rsidR="00000000" w:rsidRPr="00000000">
        <w:rPr>
          <w:rtl w:val="0"/>
        </w:rPr>
        <w:t xml:space="preserve">The term "behavioral economics" has a complex history. While nowadays it is mostly associated to Kahneman and Tversky, George Katona is often credited as an early adopter [@giladEconomic1984; @hosseiniGeorge2011]. To distinguish different strands of behavioral economics,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it was less radical than “old” approaches, and that it emerged in the 1980s when economic theory faced multiple epistemological challenges, creating an opportune moment for alternative approaches. </w:t>
      </w:r>
    </w:p>
    <w:p w:rsidR="00000000" w:rsidDel="00000000" w:rsidP="00000000" w:rsidRDefault="00000000" w:rsidRPr="00000000" w14:paraId="0000005E">
      <w:pPr>
        <w:rPr/>
      </w:pPr>
      <w:r w:rsidDel="00000000" w:rsidR="00000000" w:rsidRPr="00000000">
        <w:rPr>
          <w:rtl w:val="0"/>
        </w:rPr>
        <w:t xml:space="preserve">The divergent fates of Herbert Simon's bounded rationality and Daniel Kahneman and Amos Tversky's heuristics and biases approache present a striking puzzle in the history of economic thought. Both challenged standard rationality assumptions under a “behavioral economics” approach, both earned Nobel recognition, yet their reception patterns differed dramatically. While our method cannot pinpoint the exact epistemological reasons for this shift, we can trace the patterns of reception and influence of both approaches to understand how and when they diverged.</w:t>
      </w:r>
    </w:p>
    <w:p w:rsidR="00000000" w:rsidDel="00000000" w:rsidP="00000000" w:rsidRDefault="00000000" w:rsidRPr="00000000" w14:paraId="0000005F">
      <w:pPr>
        <w:rPr/>
      </w:pPr>
      <w:r w:rsidDel="00000000" w:rsidR="00000000" w:rsidRPr="00000000">
        <w:rPr>
          <w:rtl w:val="0"/>
        </w:rPr>
        <w:t xml:space="preserve">Our analysis suggests that Simon's concept of "bounded rationality" do stands as one of the most influential critiques of standard rationality in economics in the sense that it framed a lot of the debates surrounding rationality. His presence dominated 1960s and 1970s discussions with his seminal articles and Nobel lecture  [@simonRational1979] appearing across numerous research areas from social choice theory to the theory of the firm and price setting. The textual analysis demonstrates Simon's conceptual centrality: Cluster 11, which captures discussions of individual rationality in economics, transformed rapidly after Simon's influence rose in the 1970s. In the 1950s, the general discourse of economists centered on terms like "rational," "empirical reality," and "irrationality." By the 1970s, "bounded rationality" had become the cluster's most prevalent expression, and by the 1990s, discussions of "boundedly rational agents" and "procedural rationality" clearly positioned Simon's concepts as central to economic thought with a late but significant integration.</w:t>
      </w:r>
    </w:p>
    <w:p w:rsidR="00000000" w:rsidDel="00000000" w:rsidP="00000000" w:rsidRDefault="00000000" w:rsidRPr="00000000" w14:paraId="00000060">
      <w:pPr>
        <w:rPr/>
      </w:pPr>
      <w:r w:rsidDel="00000000" w:rsidR="00000000" w:rsidRPr="00000000">
        <w:rPr>
          <w:rtl w:val="0"/>
        </w:rPr>
        <w:t xml:space="preserve">Not only did economists' language about rationality change radically after Simon's ideas gained traction, but these discussions also became substantially more prevalent. Cluster 11's share of all sentences grew from 5.76% in the 1950s to 7.85% in the 1980s, peaking at 9.56% in the 1990s. This represents a major shift in how much attention economics devoted to foundational questions about rationality. Citation analysis corroborates this late integration: references to @simonBehavioral1955 rose slowly after publication, with peak citations occurring only in the post-2000s period (@fig-rationality-paper-citations).</w:t>
      </w:r>
    </w:p>
    <w:p w:rsidR="00000000" w:rsidDel="00000000" w:rsidP="00000000" w:rsidRDefault="00000000" w:rsidRPr="00000000" w14:paraId="00000061">
      <w:pPr>
        <w:rPr/>
      </w:pPr>
      <w:r w:rsidDel="00000000" w:rsidR="00000000" w:rsidRPr="00000000">
        <w:rPr>
          <w:rtl w:val="0"/>
        </w:rPr>
        <w:t xml:space="preserve">However, Simon's influence remained limited in two critical respects. First, the slow adoption of his framework meant that by the time it achieved conceptual prominence, it faced competition from "new" behavioral economics. After peaking in the 1990s, Cluster 11 declined to 7.43% of sentences in the early 2000s. While bounded rationality remained conceptually embedded in many parts of economics, a larger transformation was underway. Progressively after the 1980s, Cluster 11's relative importance decreased in favor of more specialized clusters, each addressing specific dimensions of rationality: Clusters 5 and 15 examined expected utility theory, risk, and ambiguity; Clusters 6 and 7 focused on intertemporal and other-regarding behavior. All these clusters grew increasingly important in the 1980s, with most of them individually surpassing Cluster 11 in sentence share. While they integrated bounded rationality ideas, they did so primarily through "new" behavioral economics concepts, from prospect theory for risk, to experimental paradigms like the ultimatum game for other-regarding behavior [@gualaParadigmatic2008].</w:t>
      </w:r>
    </w:p>
    <w:p w:rsidR="00000000" w:rsidDel="00000000" w:rsidP="00000000" w:rsidRDefault="00000000" w:rsidRPr="00000000" w14:paraId="00000062">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clusters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After 1969–1976, this research stream coalesced into a smaller, short-lived community before fragmenting. References to Simon and critiques of profit maximization remained scattered, moving through several small communities (e.g., cl_761, cl_251,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3">
      <w:pPr>
        <w:ind w:right="0"/>
        <w:rPr/>
      </w:pPr>
      <w:r w:rsidDel="00000000" w:rsidR="00000000" w:rsidRPr="00000000">
        <w:rPr>
          <w:rtl w:val="0"/>
        </w:rPr>
        <w:t xml:space="preserve">Studying “new” behavioral economics reception reveals a dramatic contrast. In the 1979–1987 period, most clusters citing Simon became absorbed into a large "Behavioral Decision Theory" cluster dominated by Kahneman and Tversky. Unlike Simon's trajectory, the heuristics and biases research program of Kahneman, Tversky, and other "new" behavioral economists generated multiple stable clusters that formed well-identified and substantial research communities. A main "Behavioral Decision Theory" cluster emerged in the 1980s,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4">
      <w:pPr>
        <w:ind w:right="0"/>
        <w:rPr/>
      </w:pPr>
      <w:r w:rsidDel="00000000" w:rsidR="00000000" w:rsidRPr="00000000">
        <w:rPr>
          <w:rtl w:val="0"/>
        </w:rPr>
        <w:t xml:space="preserve">By the 2000s, behavioral economics had become the dominant venue for research on rationality. Three behavioral economics clusters represented approximately 30% of the entire network with many additional clusters structured by behavioral economics research without being explicitly characterized as such. The scale and speed of acceptance differed dramatically from Simon's experience. By 1980, @kahnemanProspect1979 was already more cited than @simonBehavioral1955 had been at that point (@fig-rationality-paper-citations). By 1985, prospect theory had surpassed the lifetime citation peak that Simon's work would ever achieve in economics. By the 2000s, most microeconomics publications about rationality connected to the behavioral economics research program. While bounded and procedural rationality remained regularly invoked concepts, no later research community clearly carried Simon's heritage as a bibliometric anchor.</w:t>
      </w:r>
    </w:p>
    <w:p w:rsidR="00000000" w:rsidDel="00000000" w:rsidP="00000000" w:rsidRDefault="00000000" w:rsidRPr="00000000" w14:paraId="00000065">
      <w:pPr>
        <w:ind w:right="0"/>
        <w:rPr/>
      </w:pPr>
      <w:r w:rsidDel="00000000" w:rsidR="00000000" w:rsidRPr="00000000">
        <w:rPr>
          <w:rtl w:val="0"/>
        </w:rPr>
        <w:t xml:space="preserve">The contrast is stark and raises fundamental questions about disciplinary reception: Why did one Nobel Prize-winning critique of rationality spawn a research empire while another remained conceptually influential but institutionally homeless?</w:t>
      </w:r>
    </w:p>
    <w:p w:rsidR="00000000" w:rsidDel="00000000" w:rsidP="00000000" w:rsidRDefault="00000000" w:rsidRPr="00000000" w14:paraId="00000066">
      <w:pPr>
        <w:rPr/>
      </w:pPr>
      <w:r w:rsidDel="00000000" w:rsidR="00000000" w:rsidRPr="00000000">
        <w:rPr>
          <w:rtl w:val="0"/>
        </w:rPr>
        <w:t xml:space="preserve">Our quantitative study yields two particularly surprising results about the contrasting reception of Kahneman and Simon. First, the temporal pattern of adoption differed radically. For historian @heukelomBehavioral2014, a pivotal moment in behavioral economics history was the explicit creation of research programs within the Sloan and Russell Sage Foundations between 1984 and 1992, notably leading to the Kahneman-Thaler collaboration that transformed the field's trajectory. However, our analysis suggests that even by the early 1980s, something distinctive was already happening with Kahneman and Tversky's reception. Despite @kahnemanProspect1979 being the duo's only economics publication until 1985 — long before the Sloan-Sage Foundation programs formalized behavioral economics — prospect theory became highly cited with rapid growth (@fig-rationality-paper-citations). As early as the 1977–1984 bibliometric network, we find a cluster structured by their work, suggesting that their article not only attracted citations but rapidly catalyzed new research strands in a way Simon's work never achieved in economics [@heukelomSense2012].</w:t>
      </w:r>
    </w:p>
    <w:p w:rsidR="00000000" w:rsidDel="00000000" w:rsidP="00000000" w:rsidRDefault="00000000" w:rsidRPr="00000000" w14:paraId="00000067">
      <w:pPr>
        <w:rPr/>
      </w:pPr>
      <w:r w:rsidDel="00000000" w:rsidR="00000000" w:rsidRPr="00000000">
        <w:rPr>
          <w:rtl w:val="0"/>
        </w:rPr>
        <w:t xml:space="preserve">This rapid adoption is particularly striking given the external similarities between the cases. Both Kahneman and Simon published in top economics journals and received Nobel Prizes. Yet Simon's Nobel Prize increased his influence in economics only marginally, while Kahneman's Nobel reversed a downward citation trend in the 2000s, cementing their contribution as a structural pillar of a wide-spanning research program.</w:t>
      </w:r>
    </w:p>
    <w:p w:rsidR="00000000" w:rsidDel="00000000" w:rsidP="00000000" w:rsidRDefault="00000000" w:rsidRPr="00000000" w14:paraId="00000068">
      <w:pPr>
        <w:rPr/>
      </w:pPr>
      <w:r w:rsidDel="00000000" w:rsidR="00000000" w:rsidRPr="00000000">
        <w:rPr>
          <w:rtl w:val="0"/>
        </w:rPr>
        <w:t xml:space="preserve">The second surprising finding concerns the relationship between "old" and "new" behavioral economics. Citations to @simonBehavioral1955 have never been higher than since the ascent of new behavioral economics, a paradoxical pattern given accusations that the field has forgotten its roots. @earlPrinciples2022 criticizes this apparent amnesia:</w:t>
      </w:r>
    </w:p>
    <w:p w:rsidR="00000000" w:rsidDel="00000000" w:rsidP="00000000" w:rsidRDefault="00000000" w:rsidRPr="00000000" w14:paraId="00000069">
      <w:pPr>
        <w:numPr>
          <w:ilvl w:val="0"/>
          <w:numId w:val="2"/>
        </w:numPr>
        <w:spacing w:before="0" w:lineRule="auto"/>
        <w:ind w:left="720" w:hanging="360"/>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2]</w:t>
      </w:r>
      <w:r w:rsidDel="00000000" w:rsidR="00000000" w:rsidRPr="00000000">
        <w:rPr>
          <w:rtl w:val="0"/>
        </w:rPr>
      </w:r>
    </w:p>
    <w:p w:rsidR="00000000" w:rsidDel="00000000" w:rsidP="00000000" w:rsidRDefault="00000000" w:rsidRPr="00000000" w14:paraId="0000006A">
      <w:pPr>
        <w:ind w:right="0"/>
        <w:rPr/>
      </w:pPr>
      <w:r w:rsidDel="00000000" w:rsidR="00000000" w:rsidRPr="00000000">
        <w:rPr>
          <w:rtl w:val="0"/>
        </w:rPr>
        <w:t xml:space="preserve">The rising citations to older work from Simon and Allais demonstrate that while "new" behavioral economists may not always acknowledge "old" behavioral economics contributions all the time, the field's rapid growth and large size has actually drawn more attention to earlier work than it ever received during its original publication period. This pattern admits at least three interpretations, each with different implications for how we understand the evolution of economic thought.</w:t>
      </w:r>
    </w:p>
    <w:p w:rsidR="00000000" w:rsidDel="00000000" w:rsidP="00000000" w:rsidRDefault="00000000" w:rsidRPr="00000000" w14:paraId="0000006B">
      <w:pPr>
        <w:rPr/>
      </w:pPr>
      <w:r w:rsidDel="00000000" w:rsidR="00000000" w:rsidRPr="00000000">
        <w:rPr>
          <w:rtl w:val="0"/>
        </w:rPr>
        <w:t xml:space="preserve">A favorable reading suggests that the "new" behavioral economics genuinely helped revive abandoned research directions, moving toward reconciliation with earlier strands, a research direction wished by @sentRationality2008 and more recently by @earlPrinciples2022. A more critical view sees intellectual appropriation, in which classic references are strategically reframed to fit the new agenda, renewing interest but through a biased and presentist lens as it happened with Allais [@monginAllais2019]. A third interpretation suggests that citation increases reflect growing backlash against the "new" program from defenders of "old" behavioral economics, as critics invoke Simon and others to challenge the heuristics and biases framework.</w:t>
      </w:r>
    </w:p>
    <w:p w:rsidR="00000000" w:rsidDel="00000000" w:rsidP="00000000" w:rsidRDefault="00000000" w:rsidRPr="00000000" w14:paraId="0000006C">
      <w:pPr>
        <w:rPr/>
      </w:pPr>
      <w:r w:rsidDel="00000000" w:rsidR="00000000" w:rsidRPr="00000000">
        <w:rPr>
          <w:rtl w:val="0"/>
        </w:rPr>
        <w:t xml:space="preserve">Our findings tentatively support the second interpretation. The sparse and unstructured citation patterns to "old" behavioral economics, combined with the fact that discussions of rationality are increasingly framed by "new" behavioral and experimental concepts, suggest appropriation rather than genuine integration. Citations may acknowledge earlier work without meaningfully engaging its methodological or theoretical distinctiveness. The conceptual influence of Simon remains as a way to frame the general discussion and reconstruct behavioral economics intellectual lineages, but his actual methodological and conceptual framework remain superficially integrated. While a definitive conclusion requires deeper qualitative analysis of how these citations are used in contemporary work, our study provides a quantitative roadmap for future research examining the complex relationship between "old" and "new" behavioral economics. </w:t>
      </w:r>
    </w:p>
    <w:p w:rsidR="00000000" w:rsidDel="00000000" w:rsidP="00000000" w:rsidRDefault="00000000" w:rsidRPr="00000000" w14:paraId="0000006D">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E">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[@peritiSystematic2024].</w:t>
      </w:r>
    </w:p>
    <w:p w:rsidR="00000000" w:rsidDel="00000000" w:rsidP="00000000" w:rsidRDefault="00000000" w:rsidRPr="00000000" w14:paraId="0000006F">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This procedure necessarily involves setting similarity thresholds to determine when a sentence or an article can be considered sufficiently “close.” By retaining approximately 500,000 sentences for the textual analysis and 29,000 articles for the bibliometric analysis, we deliberately opted for a broad initial corpus. Higher thresholds would have reduced these numbers and restricted the material to discussions more narrowly centered on rationality. Our methodological choice was instead to cast a wide net at the outset, in order to preserve flexibility for subsequent stages of analysis.</w:t>
      </w:r>
    </w:p>
    <w:p w:rsidR="00000000" w:rsidDel="00000000" w:rsidP="00000000" w:rsidRDefault="00000000" w:rsidRPr="00000000" w14:paraId="00000070">
      <w:pPr>
        <w:rPr/>
      </w:pPr>
      <w:r w:rsidDel="00000000" w:rsidR="00000000" w:rsidRPr="00000000">
        <w:rPr>
          <w:rtl w:val="0"/>
        </w:rPr>
        <w:t xml:space="preserve">This choice is central to the interest of the unsupervised methods we deploy.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2">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3">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4">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commentRangeStart w:id="2"/>
      <w:r w:rsidDel="00000000" w:rsidR="00000000" w:rsidRPr="00000000">
        <w:rPr>
          <w:rtl w:val="0"/>
        </w:rPr>
        <w:t xml:space="preserve">We have briefly pointed to some of these patterns above.</w:t>
      </w:r>
      <w:commentRangeEnd w:id="2"/>
      <w:r w:rsidDel="00000000" w:rsidR="00000000" w:rsidRPr="00000000">
        <w:commentReference w:id="2"/>
      </w:r>
      <w:r w:rsidDel="00000000" w:rsidR="00000000" w:rsidRPr="00000000">
        <w:rPr>
          <w:rtl w:val="0"/>
        </w:rPr>
        <w:t xml:space="preserve"> By making available two interactive applications to explore our results, we hope to encourage readers to pursue their own paths of discovery within the corpus.</w:t>
      </w:r>
    </w:p>
    <w:p w:rsidR="00000000" w:rsidDel="00000000" w:rsidP="00000000" w:rsidRDefault="00000000" w:rsidRPr="00000000" w14:paraId="00000075">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2" w:date="2025-12-16T10:01:08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 eu la flemme de mettre des exemples pour le moment.</w:t>
      </w:r>
    </w:p>
  </w:comment>
  <w:comment w:author="Thomas Delcey" w:id="0" w:date="2025-12-13T01:11:21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1" w:date="2025-12-13T11:14:16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5">
    <w:p w:rsidR="00000000" w:rsidDel="00000000" w:rsidP="00000000" w:rsidRDefault="00000000" w:rsidRPr="00000000" w14:paraId="0000007A">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B">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2">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4">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3">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6">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7">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8">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9">
    <w:p w:rsidR="00000000" w:rsidDel="00000000" w:rsidP="00000000" w:rsidRDefault="00000000" w:rsidRPr="00000000" w14:paraId="00000082">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0">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4">
      <w:pPr>
        <w:spacing w:after="0" w:before="0" w:line="240" w:lineRule="auto"/>
        <w:rPr>
          <w:sz w:val="20"/>
          <w:szCs w:val="20"/>
        </w:rPr>
      </w:pPr>
      <w:r w:rsidDel="00000000" w:rsidR="00000000" w:rsidRPr="00000000">
        <w:rPr>
          <w:rtl w:val="0"/>
        </w:rPr>
      </w:r>
    </w:p>
  </w:footnote>
  <w:footnote w:id="12">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3">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Note here that we don’t use overlapping windows in this case, notably for computational reasons: finding HDSBCAN clusters on a set of tens of thousands of sentences is much computationally intensive than finding bibliographic communities for at most five thousands of articles..</w:t>
      </w:r>
    </w:p>
  </w:footnote>
  <w:footnote w:id="14">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more details about this.</w:t>
      </w:r>
    </w:p>
  </w:footnote>
  <w:footnote w:id="15">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r w:rsidDel="00000000" w:rsidR="00000000" w:rsidRPr="00000000">
        <w:rPr>
          <w:rtl w:val="0"/>
        </w:rPr>
      </w:r>
    </w:p>
  </w:footnote>
  <w:footnote w:id="11">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analysts must choose a particular model and its parameters and these choices embed methodological priors about the types of patterns the procedure is likely to reveal. For instance, one famous crucial parameter in many unsupervised models is the number of categories that will emerge from the algorithm.</w:t>
      </w:r>
    </w:p>
  </w:footnote>
  <w:footnote w:id="17">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6">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and from choosing illustrations that support a particular line of interpretation—all the more so given that the scope of our study is too broad to summarize every pattern revealed by our results. Other scholars could have, at various junctures, pursued different interpretive directions on the basis of the same material. The publication of the interactive applications we used to explore the results thus serves as an exercise in transparency and—in addition to being, we hope, useful for historians of economic thought more generally—allows readers to assess the robustness and limits of our narrative.</w:t>
      </w:r>
    </w:p>
  </w:footnote>
  <w:footnote w:id="18">
    <w:p w:rsidR="00000000" w:rsidDel="00000000" w:rsidP="00000000" w:rsidRDefault="00000000" w:rsidRPr="00000000" w14:paraId="0000008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0">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1">
    <w:p w:rsidR="00000000" w:rsidDel="00000000" w:rsidP="00000000" w:rsidRDefault="00000000" w:rsidRPr="00000000" w14:paraId="0000008E">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19">
    <w:p w:rsidR="00000000" w:rsidDel="00000000" w:rsidP="00000000" w:rsidRDefault="00000000" w:rsidRPr="00000000" w14:paraId="0000008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rtl w:val="0"/>
        </w:rPr>
        <w:t xml:space="preserve">herfeldTheories2018]</w:t>
      </w:r>
      <w:r w:rsidDel="00000000" w:rsidR="00000000" w:rsidRPr="00000000">
        <w:rPr>
          <w:rtl w:val="0"/>
        </w:rPr>
        <w:t xml:space="preserve">.</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