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HistorialMedico</w:t>
      </w:r>
    </w:p>
    <w:p>
      <w:pPr>
        <w:spacing w:before="160"/>
        <w:jc w:val="center"/>
      </w:pPr>
      <w:r>
        <w:rPr>
          <w:color w:val="2E75B6"/>
          <w:sz w:val="30"/>
          <w:szCs w:val="30"/>
        </w:rPr>
        <w:t xml:space="preserve">From Single-Clinic System to Multi-Tenant SaaS</w:t>
      </w:r>
    </w:p>
    <w:p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 xml:space="preserve">Strategy &amp; Implementation Roadmap</w:t>
      </w:r>
    </w:p>
    <w:p>
      <w:pPr>
        <w:spacing w:before="800"/>
        <w:jc w:val="center"/>
      </w:pPr>
      <w:r>
        <w:rPr>
          <w:color w:val="808080"/>
          <w:sz w:val="20"/>
          <w:szCs w:val="20"/>
        </w:rPr>
        <w:t xml:space="preserve">Prepared for Pavel  •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line="276"/>
      </w:pPr>
      <w:r>
        <w:t xml:space="preserve">HistorialMedico is currently a single-tenant electronic medical record (EMR) system, built for one practice (the codebase references “Cirugía Sureda” in its CORS configuration) on a modern .NET 9 stack with a clean Core / Application / Infrastructure / Presentation architecture. It already has the bones a SaaS product needs — JWT authentication, role-based access (Admin / User), patient records with medical history and file attachments, and a clear separation of concerns.</w:t>
      </w:r>
    </w:p>
    <w:p>
      <w:pPr>
        <w:spacing w:after="160" w:line="276"/>
      </w:pPr>
      <w:r>
        <w:t xml:space="preserve">Turning it into a SaaS means one core architectural shift: today the system assumes there is exactly one clinic, one set of users, and one database of patients. A SaaS version must support many independent clinics (tenants) on shared infrastructure, each with its own users, patients, files, and billing relationship — without any tenant ever seeing another tenant's data.</w:t>
      </w:r>
    </w:p>
    <w:p>
      <w:pPr>
        <w:spacing w:after="160" w:line="276"/>
      </w:pPr>
      <w:r>
        <w:t xml:space="preserve">This document lays out: who the product should target, how to restructure the architecture for multi-tenancy, what compliance and security obligations come with handling medical data, a subscription/billing model, and a phased roadmap from MVP to general availability.</w:t>
      </w:r>
    </w:p>
    <w:p>
      <w:pPr>
        <w:pStyle w:val="Heading2"/>
      </w:pPr>
      <w:r>
        <w:t xml:space="preserve">Key recommendation</w:t>
      </w:r>
    </w:p>
    <w:p>
      <w:pPr>
        <w:spacing w:after="160" w:line="276"/>
      </w:pPr>
      <w:r>
        <w:t xml:space="preserve">Adopt a shared-database, shared-schema multi-tenancy model with a TenantId discriminator on every table, enforced through EF Core global query filters and a tenant-resolution middleware. This is the fastest path to market for a solo-doctor / small-clinic audience, keeps infrastructure costs low at low volume, and can be migrated to database-per-tenant later for large or regulation-sensitive customers if needed.</w:t>
      </w:r>
    </w:p>
    <w:p>
      <w:r>
        <w:br w:type="page"/>
      </w:r>
    </w:p>
    <w:p>
      <w:pPr>
        <w:pStyle w:val="Heading1"/>
      </w:pPr>
      <w:r>
        <w:t xml:space="preserve">2. Current State Assessment</w:t>
      </w:r>
    </w:p>
    <w:p>
      <w:pPr>
        <w:spacing w:after="160" w:line="276"/>
      </w:pPr>
      <w:r>
        <w:t xml:space="preserve">A review of the codebase shows the following architecture and constraints: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Current implementation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.NET 9 minimal API, EF Core, SQL Server, Swagger/OpenAPI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Clean architecture: Core (entities, configs), Application (services), Infrastructure (DbContexts, migrations), Presentation (API endpoints in Program.cs)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Data layer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Two separate DbContexts: ApplicationDbContext (ASP.NET Identity — users, roles) and HistorialDbContext (Patients, MedicalHistories, Attachments, AdditionalPhones, ExpedienteCounters). No tenant/organization concept exists in either.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ASP.NET Core Identity + JWT bearer tokens, two roles (Admin, User). Token claims carry user identity and role only — no organization/tenant claim.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Domain model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Patient entity is pediatric-oriented (mother/father contact info, gestation, delivery, birth weight) with sequential expediente (record) numbers, medical history notes, and file attachments.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Attachments are written to local disk via a configurable UploadPath, organized by patient ID. Not tenant-aware and not suitable for multi-instance cloud deployment as-is.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CORS / config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Hard-coded origins for one organization's domains (intranet.cirugiasureda.local). Configuration is environment-based (Development/Production), not tenant-based.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Billing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None — no subscription, plan, payment, or usage-tracking infrastructure exists yet.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In short: the product itself — patient records, history notes, attachments, user management — is a solid foundation. The gap is entirely in the “operate many independent customers on one platform and charge them for it” layer, which doesn't exist yet.</w:t>
      </w:r>
    </w:p>
    <w:p>
      <w:r>
        <w:br w:type="page"/>
      </w:r>
    </w:p>
    <w:p>
      <w:pPr>
        <w:pStyle w:val="Heading1"/>
      </w:pPr>
      <w:r>
        <w:t xml:space="preserve">3. Target Market &amp; Positioning</w:t>
      </w:r>
    </w:p>
    <w:p>
      <w:pPr>
        <w:pStyle w:val="Heading2"/>
      </w:pPr>
      <w:r>
        <w:t xml:space="preserve">3.1 Who to sell to</w:t>
      </w:r>
    </w:p>
    <w:p>
      <w:pPr>
        <w:spacing w:after="160" w:line="276"/>
      </w:pPr>
      <w:r>
        <w:t xml:space="preserve">Given the current domain model (pediatric intake fields, expediente numbering typical of Latin American clinics, Spanish-language fields throughout), the natural first audience 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Independent doctors and small clinics (1–10 staff) currently relying on paper records, spreadsheets, or generic tools like WhatsApp and Google Drive for patient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Pediatric and family-medicine practices in Spanish-speaking markets (Mexico and broader Latin America are a strong starting point given the existing field set and naming conventions).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Practices that need to track structured medical history, attachments (lab results, imaging, referrals), and basic contact/billing information for patients and their guardians.</w:t>
      </w:r>
    </w:p>
    <w:p>
      <w:pPr>
        <w:pStyle w:val="Heading2"/>
      </w:pPr>
      <w:r>
        <w:t xml:space="preserve">3.2 Why this segment is a good entry point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Lower switching costs: small practices often have no existing system, so the comparison is “this vs. paper,” not “this vs. an entrenched competitor.”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Shorter sales cycles and no procurement committees — the doctor or office manager is the buyer.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Price sensitivity is real, but so is willingness to pay for something that visibly saves time (faster lookups, fewer lost files, easier handoffs between staff).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 focused niche (pediatrics/family medicine) lets the product stay simple while still feeling tailor-made, which is a strong differentiator against generic EMRs built for hospitals.</w:t>
      </w:r>
    </w:p>
    <w:p>
      <w:pPr>
        <w:pStyle w:val="Heading2"/>
      </w:pPr>
      <w:r>
        <w:t xml:space="preserve">3.3 Positioning statement (draft)</w:t>
      </w:r>
    </w:p>
    <w:p>
      <w:pPr>
        <w:spacing w:after="160" w:line="276"/>
      </w:pPr>
      <w:r>
        <w:t xml:space="preserve">“HistorialMedico is the simplest way for independent doctors and small clinics to keep patient records, history, and files organized, secure, and accessible from anywhere — without the complexity or cost of hospital-grade EMR software.”</w:t>
      </w:r>
    </w:p>
    <w:p>
      <w:r>
        <w:br w:type="page"/>
      </w:r>
    </w:p>
    <w:p>
      <w:pPr>
        <w:pStyle w:val="Heading1"/>
      </w:pPr>
      <w:r>
        <w:t xml:space="preserve">4. Multi-Tenancy Architecture</w:t>
      </w:r>
    </w:p>
    <w:p>
      <w:pPr>
        <w:spacing w:after="160" w:line="276"/>
      </w:pPr>
      <w:r>
        <w:t xml:space="preserve">The single biggest technical change is introducing the concept of a “tenant” (a clinic / practice / organization) and ensuring every piece of data and every request is scoped to exactly one tenant.</w:t>
      </w:r>
    </w:p>
    <w:p>
      <w:pPr>
        <w:pStyle w:val="Heading2"/>
      </w:pPr>
      <w:r>
        <w:t xml:space="preserve">4.1 Multi-tenancy models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Trade-offs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Shared DB, shared schema (TenantId column)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One database, every table gets a TenantId column; queries are filtered by tenant automatically.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Lowest cost and operational overhead; fastest to build and scale to thousands of small tenants. Requires strict discipline to avoid data leaks (mitigated with EF Core global query filters).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Shared DB, schema-per-tenant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One database server, separate schema per tenant.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Better isolation than the column approach, but migrations and connection management get notably more complex; awkward at large tenant counts.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Database-per-tenant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Each clinic gets its own database (and possibly its own app instance).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Strongest isolation and easiest “export my data and leave” story; highest infrastructure cost and operational complexity. Usually reserved for large/enterprise or regulation-heavy customers.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pStyle w:val="Heading2"/>
      </w:pPr>
      <w:r>
        <w:t xml:space="preserve">4.2 Recommended approach: shared database with TenantId</w:t>
      </w:r>
    </w:p>
    <w:p>
      <w:pPr>
        <w:spacing w:after="160" w:line="276"/>
      </w:pPr>
      <w:r>
        <w:t xml:space="preserve">For a product targeting solo doctors and small clinics, cost-efficiency and speed to market matter more than the marginal isolation benefits of separate databases. The recommended path: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Add a Tenant (or “Clinic” / “Organization”) entity: Id, Name, Subdomain/Slug, Plan, BillingStatus, CreatedAt, etc.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Add a TenantId foreign key to every tenant-scoped entity: Patient, MedicalHistory, Attachment, AdditionalPhone, ExpedienteCounter, and to the User/Identity tables (a user belongs to a tenant; a “super-admin” role can exist outside any tenant for platform operators).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Enforce isolation at the data-access layer with EF Core global query filters (HasQueryFilter) on HistorialDbContext and ApplicationDbContext, scoped to an injected “current tenant” value — so it is structurally impossible for a query to accidentally cross tenant boundaries.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Resolve the current tenant per request via middleware: from the authenticated user's JWT claim (TenantId), or from a subdomain/custom domain mapping for the public-facing app, and inject it into a scoped ICurrentTenantService consumed by the DbContexts and services.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Update JWT issuance (UserService) to embed a TenantId claim at login, and update authorization so every protected endpoint is implicitly tenant-scoped.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Replace the hard-coded ExpedienteCounter logic so record numbering is generated per tenant, not globally.</w:t>
      </w:r>
    </w:p>
    <w:p>
      <w:pPr>
        <w:pStyle w:val="Heading2"/>
      </w:pPr>
      <w:r>
        <w:t xml:space="preserve">4.3 File storage</w:t>
      </w:r>
    </w:p>
    <w:p>
      <w:pPr>
        <w:spacing w:after="160" w:line="276"/>
      </w:pPr>
      <w:r>
        <w:t xml:space="preserve">Local-disk storage (the current UploadPath approach) does not work for a multi-instance, cloud-hosted SaaS. Move attachments to object storage (e.g., Azure Blob Storage or Amazon S3), with a key prefix per tenant (tenants/{tenantId}/patients/{patientId}/...) and short-lived signed URLs for downloads. This also simplifies backup, retention policies, and per-tenant storage quotas tied to subscription plans.</w:t>
      </w:r>
    </w:p>
    <w:p>
      <w:pPr>
        <w:pStyle w:val="Heading2"/>
      </w:pPr>
      <w:r>
        <w:t xml:space="preserve">4.4 Configuration &amp; branding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Replace hard-coded CORS origins with a tenant/domain registry so each clinic can use a subdomain (e.g., clinica-sureda.historialmedico.app) or eventually a custom domain.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Centralize environment configuration (connection strings, JWT secrets, storage credentials) in a secrets manager rather than appsettings files, since production secrets currently live in source-controlled JSON.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Plan for light per-tenant branding (clinic name/logo on PDFs and the portal) — a small touch that matters a lot to small-business buyers.</w:t>
      </w:r>
    </w:p>
    <w:p>
      <w:r>
        <w:br w:type="page"/>
      </w:r>
    </w:p>
    <w:p>
      <w:pPr>
        <w:pStyle w:val="Heading1"/>
      </w:pPr>
      <w:r>
        <w:t xml:space="preserve">5. Security &amp; Compliance Considerations</w:t>
      </w:r>
    </w:p>
    <w:p>
      <w:pPr>
        <w:spacing w:after="160" w:line="276"/>
      </w:pPr>
      <w:r>
        <w:t xml:space="preserve">Medical record data is among the most sensitive categories of personal data, and storing it for many independent practices raises the compliance bar substantially compared to a single in-house deployment. Key areas to address before onboarding paying customers: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Data protection law: identify which jurisdictions you'll sell into and the applicable rules (e.g., Mexico's Ley Federal de Protección de Datos Personales en Posesión de los Particulares and NOM-024 for electronic health records; GDPR if expanding to the EU; HIPAA if targeting the U.S.). This determines requirements like data residency, breach notification, and patient consent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Encryption: enforce TLS in transit; encrypt sensitive fields and attachments at rest; ensure backups are encrypted.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Audit logging: record who accessed or changed which patient record and when — expected by regulators and often requested by clinics themselves.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Tenant isolation testing: automated tests that specifically try to access another tenant's data and assert failure; this should be a release gate, not an afterthought.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Secrets management: move JWT signing keys, DB credentials, and storage keys out of source-controlled appsettings files and into a managed secrets store (Azure Key Vault, AWS Secrets Manager, etc.).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Backups &amp; data portability: automated backups per tenant, and a clear “export your data” path — both a trust signal for buyers and frequently a legal requirement.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Business Associate / Data Processing Agreements: small practices will likely ask for a contract describing how their patients' data is handled — plan to have a template ready.</w:t>
      </w:r>
    </w:p>
    <w:p>
      <w:pPr>
        <w:spacing w:after="160" w:line="276"/>
      </w:pPr>
      <w:r>
        <w:t xml:space="preserve">None of this blocks an early pilot with a friendly clinic, but it does need to be substantially in place before any broad commercial launch handling real patient data.</w:t>
      </w:r>
    </w:p>
    <w:p>
      <w:r>
        <w:br w:type="page"/>
      </w:r>
    </w:p>
    <w:p>
      <w:pPr>
        <w:pStyle w:val="Heading1"/>
      </w:pPr>
      <w:r>
        <w:t xml:space="preserve">6. Subscription &amp; Billing Model</w:t>
      </w:r>
    </w:p>
    <w:p>
      <w:pPr>
        <w:pStyle w:val="Heading2"/>
      </w:pPr>
      <w:r>
        <w:t xml:space="preserve">6.1 Suggested plan structure</w:t>
      </w:r>
    </w:p>
    <w:p>
      <w:pPr>
        <w:spacing w:after="160" w:line="276"/>
      </w:pPr>
      <w:r>
        <w:t xml:space="preserve">A simple, transparent tiered model fits the target buyer best — solo doctors and small clinics want to know exactly what they'll pay and won't tolerate usage-based surprises early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Fits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Illustrative limits /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Solo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Individual practitioner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1 user, capped patient count, baseline storage, core record-keeping and attachments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Clinic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Small practice, 2–10 staff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Multiple users with roles, higher patient/storage caps, basic reporting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Growth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Larger or multi-location practices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Larger limits, priority support, export tools, custom branding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Monthly and annual billing (with a discount for annual) is the standard expectation — Stripe Billing handles subscriptions, invoicing, dunning, and proration well and integrates cleanly with .NET.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Offer a free trial (e.g., 14–30 days) rather than a permanently free tier — it reduces support burden while still lowering the barrier to “try it.”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Track usage that maps to plan limits (active patients, storage used, active users) so upgrade prompts are based on real usage, not guesswork.</w:t>
      </w:r>
    </w:p>
    <w:p>
      <w:pPr>
        <w:pStyle w:val="Heading2"/>
      </w:pPr>
      <w:r>
        <w:t xml:space="preserve">6.2 What needs to be built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 Subscription/Plan model tied to each Tenant, with status (trialing, active, past_due, canceled).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 billing integration (Stripe is the pragmatic default) for checkout, webhooks (payment succeeded/failed, subscription changed), and a customer self-service portal.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Plan-aware authorization: gate features and enforce limits (user count, patient count, storage) based on the tenant's current plan.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An onboarding flow: sign-up → create tenant → create first admin user → start trial → collect payment method before/at trial end.</w:t>
      </w:r>
    </w:p>
    <w:p>
      <w:r>
        <w:br w:type="page"/>
      </w:r>
    </w:p>
    <w:p>
      <w:pPr>
        <w:pStyle w:val="Heading1"/>
      </w:pPr>
      <w:r>
        <w:t xml:space="preserve">7. Phased Roadmap</w:t>
      </w:r>
    </w:p>
    <w:p>
      <w:pPr>
        <w:pStyle w:val="Heading2"/>
      </w:pPr>
      <w:r>
        <w:t xml:space="preserve">Phase 0 — Foundations (4–6 weeks)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Introduce the Tenant entity and TenantId across all relevant tables and migrations.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Build tenant-resolution middleware and EF Core global query filters; add the TenantId claim to JWTs.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Move file attachments from local disk to object storage with tenant-prefixed keys.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Move secrets out of source-controlled config files into a secrets manager.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Write automated cross-tenant isolation tests as a standing release gate.</w:t>
      </w:r>
    </w:p>
    <w:p>
      <w:pPr>
        <w:pStyle w:val="Heading2"/>
      </w:pPr>
      <w:r>
        <w:t xml:space="preserve">Phase 1 — Self-serve onboarding &amp; billing (4–6 weeks)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Build sign-up flow: new tenant creation, first admin user, subdomain assignment.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Integrate Stripe Billing: plans, trials, checkout, webhooks, customer portal.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Add plan-aware limits (users, patients, storage) and upgrade prompts.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Replace hard-coded CORS/domain configuration with a tenant/domain registry.</w:t>
      </w:r>
    </w:p>
    <w:p>
      <w:pPr>
        <w:pStyle w:val="Heading2"/>
      </w:pPr>
      <w:r>
        <w:t xml:space="preserve">Phase 2 — Pilot with real clinics (4–8 weeks, run in parallel with Phase 1 hardening)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Onboard 2–5 friendly clinics (ideally including the existing Cirugía Sureda relationship as an early reference customer).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Stand up audit logging, encrypted backups, and a basic data-export tool.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Draft and circulate a data-processing / confidentiality agreement template for clinics.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Collect structured feedback and prioritize the highest-friction gaps before wider launch.</w:t>
      </w:r>
    </w:p>
    <w:p>
      <w:pPr>
        <w:pStyle w:val="Heading2"/>
      </w:pPr>
      <w:r>
        <w:t xml:space="preserve">Phase 3 — Public launch &amp; growth (ongoing)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Open self-serve sign-up to the broader market with the validated pricing tiers.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Add light per-tenant branding (clinic name/logo on the portal and exported documents).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Build basic reporting/analytics (patients seen, attachments stored, active users) as an upsell into higher tiers.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Revisit the multi-tenancy model if/when large or regulation-heavy customers require database-per-tenant isolation.</w:t>
      </w:r>
    </w:p>
    <w:p>
      <w:r>
        <w:br w:type="page"/>
      </w:r>
    </w:p>
    <w:p>
      <w:pPr>
        <w:pStyle w:val="Heading1"/>
      </w:pPr>
      <w:r>
        <w:t xml:space="preserve">8. Risks &amp;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Data residency: if pursuing customers in specific countries (e.g., Mexico), confirm whether local regulations require patient data to be hosted within that country — this can affect cloud region choice from day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Existing customer transition: Cirugía Sureda's current data and workflows will need a migration plan into the new multi-tenant model without disruption — this is also a chance to validate the new architecture with a real, willing customer.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Domain specialization: the current field set leans pediatric/family medicine. Decide early whether to stay specialized (stronger fit, smaller addressable market) or generalize the record model (broader market, more configuration complexity).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Localization: the product is currently Spanish-only with Latin American conventions; confirm whether that is the deliberate initial market or whether English/other-locale support belongs on the roadmap.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Support load: small-practice buyers often need more hand-holding than enterprise buyers expect to provide themselves — budget for onboarding support and in-app guidance, not just the software itself.</w:t>
      </w:r>
    </w:p>
    <w:p>
      <w:pPr>
        <w:spacing w:after="160" w:line="276"/>
      </w:pPr>
      <w:r>
        <w:t xml:space="preserve"/>
      </w:r>
    </w:p>
    <w:p>
      <w:pPr>
        <w:pBdr>
          <w:bottom w:val="single" w:color="1F4E79" w:sz="6" w:space="1"/>
        </w:pBdr>
        <w:spacing w:after="240"/>
      </w:pPr>
    </w:p>
    <w:p>
      <w:pPr>
        <w:spacing w:after="160" w:line="276"/>
      </w:pPr>
      <w:r>
        <w:rPr>
          <w:i/>
          <w:iCs/>
          <w:color w:val="595959"/>
        </w:rPr>
        <w:t xml:space="preserve">This roadmap is intentionally sequenced so that the riskiest and most foundational change — multi-tenancy — happens first and is proven out with real isolation tests before any billing or public-launch work is layered on top of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808080"/>
        <w:sz w:val="18"/>
        <w:szCs w:val="18"/>
      </w:rPr>
      <w:t xml:space="preserve">HistorialMedico — SaaS Strategy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HistorialMedico — SaaS Strategy &amp; Roadmap</dc:title>
  <dc:creator>Claude</dc:creator>
  <cp:lastModifiedBy>Un-named</cp:lastModifiedBy>
  <cp:revision>1</cp:revision>
  <dcterms:created xsi:type="dcterms:W3CDTF">2026-06-07T18:47:02.536Z</dcterms:created>
  <dcterms:modified xsi:type="dcterms:W3CDTF">2026-06-07T18:47:02.537Z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