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[фамилия],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[30,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[30,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[35].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[27,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[23].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[24].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[30,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[30,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[35].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[35].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[25].</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[25].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[35].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[36].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[20].</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[19],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[28].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[19].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[35].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[19].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[16].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[19].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[33]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[35],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[16].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[33].</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[31].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[21], а доказателствено обоснованите принципи на мултимедийното учене предоставят емпирично проверена база, върху която такива критерии могат да стъпят [30,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[29].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[26].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[26],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[10]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[11]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[12]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[13]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[14]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[15]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[16]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[17]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[18]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[19]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[20]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[21]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[22]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[23]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[24]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[25]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[26]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[27]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[28]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[30]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[31]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[34]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[35]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[36] Z. Liu, S. X. Yin, D. H.-L. Goh, and N. F. Chen, "COGENT: A curriculum-oriented framework for generating grade-appropriate educational content," in Proc. 20th Workshop on Innovative Use of NLP for Building Educational Applications (BEA 2025), 2025.</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2026-08-17T15:58:43.400Z</dcterms:created>
  <dcterms:modified xsi:type="dcterms:W3CDTF">2026-08-17T15:58:43.401Z</dcterms:modified>
</cp:coreProperties>
</file>

<file path=docProps/custom.xml><?xml version="1.0" encoding="utf-8"?>
<Properties xmlns="http://schemas.openxmlformats.org/officeDocument/2006/custom-properties" xmlns:vt="http://schemas.openxmlformats.org/officeDocument/2006/docPropsVTypes"/>
</file>