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Clark и Mayer определят електронното обучение като обучение, доставяно чрез цифрово устройство и предназначено да подпомага ученето, като изрично отделят два негови компонента — съдържание, тоест информация, и педагогически методи, тоест техники, които помагат на човека да усвои това съдържание [37, гл. 1].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Стандартът за метаданни на учебни обекти отразява това, като включва контекста на употреба сред описателните характеристики на учебния обект [52].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Схемата за метаданни на учебни обекти по стандарта IEEE 1484.12.1 определя структура от девет категории описателни характеристики от първо ниво, сред които образователната категория включва точно признаците, разгледани по-горе: вид на ресурса, равнище на интерактивност, предназначена роля на крайния потребител и типично учебно време [52].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Накрая, оста на произхода заслужава разгръщане, защото с нея е свързан и контролът на качеството. Институционално създаваното съдържание — учебници, официални курсове — по правило преминава редакционен и рецензионен процес; съдържанието, създавано от отделния преподавател, се опира на неговата експертиза и понякога на колегиален преглед; съдържанието, създавано от самите обучаеми, се използва с изрична уговорка за статута му. Генеративно създаденото съдържание е единственият масов вид, който по подразбиране не преминава през никакъв утвърден контролен механизъм: то се произвежда извън редакционни процеси, а привидната му завършеност не подсказва нужда от преглед. Тази асиметрия между произход и контрол е още една формулировка на празнината, която настоящата работа адресира.</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два-три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 включването на съдържание, което не обслужва нито една цел, е дефект, а не богатство.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с. 44–45].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текст само по изключение.</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[47].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[37, гл. 13]. Експерименталното изследване на разгърнатата обратна връзка уточнява това: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[53]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[32].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[53],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[53].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[53],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[53]; педагогическата съдържателна основа е налична в доказателствено обоснованите принципи на мултимедийното учене [38]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[27].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[29, с. 44–45].</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[30].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[31].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[26]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[27]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[28]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[29]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[30]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[31]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[32]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[37] R. C. Clark and R. E. Mayer, e-Learning and the Science of Instruction: Proven Guidelines for Consumers and Designers of Multimedia Learning, 4th ed. Hoboken, NJ, USA: Wiley, 2016.</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IMS Meta-Data Best Practice Guide for IEEE 1484.12.1-2002 Standard for Learning Object Metadata, v1.3, IMS Global Learning Consortium, 2006. [Online]. Available: https://www.imsglobal.org/metadata/mdv1p3/imsmd_bestv1p3.html</w:t>
      </w:r>
    </w:p>
    <w:p>
      <w:pPr>
        <w:spacing w:after="120" w:line="300"/>
        <w:ind w:left="1134" w:hanging="1134"/>
        <w:jc w:val="left"/>
      </w:pPr>
      <w:r>
        <w:rPr>
          <w:rFonts w:ascii="Times New Roman" w:cs="Times New Roman" w:eastAsia="Times New Roman" w:hAnsi="Times New Roman"/>
          <w:sz w:val="28"/>
          <w:szCs w:val="28"/>
        </w:rPr>
        <w:t>[53]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