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line="276"/>
        <w:jc w:val="center"/>
      </w:pPr>
      <w:r>
        <w:rPr>
          <w:rFonts w:ascii="Times New Roman" w:cs="Times New Roman" w:eastAsia="Times New Roman" w:hAnsi="Times New Roman"/>
          <w:b/>
          <w:bCs/>
          <w:sz w:val="28"/>
          <w:szCs w:val="28"/>
        </w:rPr>
        <w:t xml:space="preserve">УНИВЕРСИТЕТ ПО БИБЛИОТЕКОЗНАНИЕ И ИНФОРМАЦИОННИ ТЕХНОЛОГИИ</w:t>
      </w:r>
    </w:p>
    <w:p>
      <w:pPr>
        <w:spacing w:after="100" w:before="0" w:line="276"/>
        <w:jc w:val="center"/>
      </w:pPr>
      <w:r>
        <w:rPr>
          <w:rFonts w:ascii="Times New Roman" w:cs="Times New Roman" w:eastAsia="Times New Roman" w:hAnsi="Times New Roman"/>
          <w:b/>
          <w:bCs/>
          <w:sz w:val="28"/>
          <w:szCs w:val="28"/>
        </w:rPr>
        <w:t xml:space="preserve">КАТЕДРА „………………………………“</w:t>
      </w:r>
    </w:p>
    <w:p>
      <w:pPr>
        <w:spacing w:after="1400" w:before="0" w:line="276"/>
        <w:jc w:val="center"/>
      </w:pPr>
      <w:r>
        <w:rPr>
          <w:rFonts w:ascii="Times New Roman" w:cs="Times New Roman" w:eastAsia="Times New Roman" w:hAnsi="Times New Roman"/>
          <w:b/>
          <w:bCs/>
          <w:sz w:val="28"/>
          <w:szCs w:val="28"/>
        </w:rPr>
        <w:t xml:space="preserve">МАГИСТЪРСКА ПРОГРАМА „………………………………“</w:t>
      </w:r>
    </w:p>
    <w:p>
      <w:pPr>
        <w:spacing w:after="100" w:before="0" w:line="276"/>
        <w:jc w:val="center"/>
      </w:pPr>
      <w:r>
        <w:rPr>
          <w:rFonts w:ascii="Times New Roman" w:cs="Times New Roman" w:eastAsia="Times New Roman" w:hAnsi="Times New Roman"/>
          <w:b/>
          <w:bCs/>
          <w:sz w:val="28"/>
          <w:szCs w:val="28"/>
        </w:rPr>
        <w:t xml:space="preserve">МАГИСТЪРСКА ТЕЗА</w:t>
      </w:r>
    </w:p>
    <w:p>
      <w:pPr>
        <w:spacing w:after="900" w:before="0" w:line="276"/>
        <w:jc w:val="center"/>
      </w:pPr>
      <w:r>
        <w:rPr>
          <w:rFonts w:ascii="Times New Roman" w:cs="Times New Roman" w:eastAsia="Times New Roman" w:hAnsi="Times New Roman"/>
          <w:b w:val="false"/>
          <w:bCs w:val="false"/>
          <w:sz w:val="28"/>
          <w:szCs w:val="28"/>
        </w:rPr>
        <w:t xml:space="preserve">на тема:</w:t>
      </w:r>
    </w:p>
    <w:p>
      <w:pPr>
        <w:spacing w:after="1800" w:before="0" w:line="276"/>
        <w:jc w:val="center"/>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tabs>
          <w:tab w:val="left" w:pos="5000"/>
        </w:tabs>
        <w:spacing w:after="0" w:line="276"/>
      </w:pPr>
      <w:r>
        <w:rPr>
          <w:rFonts w:ascii="Times New Roman" w:cs="Times New Roman" w:eastAsia="Times New Roman" w:hAnsi="Times New Roman"/>
          <w:sz w:val="28"/>
          <w:szCs w:val="28"/>
        </w:rPr>
        <w:t xml:space="preserve">Дипломант:	Научен ръководител:</w:t>
      </w:r>
    </w:p>
    <w:p>
      <w:pPr>
        <w:tabs>
          <w:tab w:val="left" w:pos="5000"/>
        </w:tabs>
        <w:spacing w:after="0" w:line="276"/>
      </w:pPr>
      <w:r>
        <w:rPr>
          <w:rFonts w:ascii="Times New Roman" w:cs="Times New Roman" w:eastAsia="Times New Roman" w:hAnsi="Times New Roman"/>
          <w:sz w:val="28"/>
          <w:szCs w:val="28"/>
        </w:rPr>
        <w:t>Александър Гръмов</w:t>
        <w:tab/>
        <w:t>(………………………………)</w:t>
      </w:r>
    </w:p>
    <w:p>
      <w:pPr>
        <w:tabs>
          <w:tab w:val="left" w:pos="5000"/>
        </w:tabs>
        <w:spacing w:after="0" w:line="276"/>
      </w:pPr>
      <w:r>
        <w:rPr>
          <w:rFonts w:ascii="Times New Roman" w:cs="Times New Roman" w:eastAsia="Times New Roman" w:hAnsi="Times New Roman"/>
          <w:sz w:val="28"/>
          <w:szCs w:val="28"/>
        </w:rPr>
        <w:t xml:space="preserve">………………… обучение	</w:t>
      </w:r>
    </w:p>
    <w:p>
      <w:pPr>
        <w:tabs>
          <w:tab w:val="left" w:pos="5000"/>
        </w:tabs>
        <w:spacing w:after="0" w:line="276"/>
      </w:pPr>
      <w:r>
        <w:rPr>
          <w:rFonts w:ascii="Times New Roman" w:cs="Times New Roman" w:eastAsia="Times New Roman" w:hAnsi="Times New Roman"/>
          <w:sz w:val="28"/>
          <w:szCs w:val="28"/>
        </w:rPr>
        <w:t xml:space="preserve">Ф. № …………………	</w:t>
      </w:r>
    </w:p>
    <w:p>
      <w:pPr>
        <w:spacing w:after="0" w:before="1400" w:line="276"/>
        <w:jc w:val="center"/>
      </w:pPr>
      <w:r>
        <w:rPr>
          <w:rFonts w:ascii="Times New Roman" w:cs="Times New Roman" w:eastAsia="Times New Roman" w:hAnsi="Times New Roman"/>
          <w:b w:val="false"/>
          <w:bCs w:val="false"/>
          <w:sz w:val="28"/>
          <w:szCs w:val="28"/>
        </w:rPr>
        <w:t xml:space="preserve">София</w:t>
      </w:r>
    </w:p>
    <w:p>
      <w:pPr>
        <w:spacing w:after="0" w:before="0" w:line="276"/>
        <w:jc w:val="center"/>
      </w:pPr>
      <w:r>
        <w:rPr>
          <w:rFonts w:ascii="Times New Roman" w:cs="Times New Roman" w:eastAsia="Times New Roman" w:hAnsi="Times New Roman"/>
          <w:b w:val="false"/>
          <w:bCs w:val="false"/>
          <w:sz w:val="28"/>
          <w:szCs w:val="28"/>
        </w:rPr>
        <w:t xml:space="preserve">2026</w:t>
      </w:r>
    </w:p>
    <w:p>
      <w:r>
        <w:br w:type="page"/>
      </w:r>
    </w:p>
    <w:p>
      <w:pPr>
        <w:pStyle w:val="Heading1"/>
      </w:pPr>
      <w:r>
        <w:rPr>
          <w:rFonts w:ascii="Times New Roman" w:cs="Times New Roman" w:eastAsia="Times New Roman" w:hAnsi="Times New Roman"/>
          <w:b/>
          <w:bCs/>
          <w:sz w:val="28"/>
          <w:szCs w:val="28"/>
        </w:rPr>
        <w:t xml:space="preserve">РЕЗЮМЕ</w:t>
      </w:r>
    </w:p>
    <w:p>
      <w:pPr>
        <w:spacing w:after="200" w:line="360"/>
        <w:jc w:val="both"/>
      </w:pPr>
      <w:r>
        <w:rPr>
          <w:rFonts w:ascii="Times New Roman" w:cs="Times New Roman" w:eastAsia="Times New Roman" w:hAnsi="Times New Roman"/>
          <w:i/>
          <w:iCs/>
          <w:sz w:val="28"/>
          <w:szCs w:val="28"/>
        </w:rPr>
        <w:t xml:space="preserve">Гръмов, А. Модел за оценяване на качеството на електронно учебно съдържание, разработено с генеративни AI инструменти. Научен ръководител ……………………………… . С., 2026. Катедра „………………………………“. Магистърска програма „………………………………“. УниБИТ. 77 с. Брой източници — 45, приложения — 4, таблици — 4.</w:t>
      </w:r>
    </w:p>
    <w:p>
      <w:pPr>
        <w:spacing w:after="120" w:line="360"/>
        <w:ind w:firstLine="1134"/>
        <w:jc w:val="both"/>
      </w:pPr>
      <w:r>
        <w:rPr>
          <w:rFonts w:ascii="Times New Roman" w:cs="Times New Roman" w:eastAsia="Times New Roman" w:hAnsi="Times New Roman"/>
          <w:sz w:val="28"/>
          <w:szCs w:val="28"/>
        </w:rPr>
        <w:t xml:space="preserve">Целта на магистърската теза е да бъде разработен и апробиран модел за оценяване на качеството на електронно учебно съдържание, създадено с генеративни инструменти с изкуствен интелект. Задачите са четири: да се изяснят същността и видовете електронно учебно съдържание и характеристиките на генеративните инструменти; да се анализират съществуващите подходи и критерии за оценяване и типичните дефицити на генерираното съдържание; да се конструира модел с критерии, показатели, скала и процедура за приложение; и моделът да бъде апробиран върху реални генерирани материали.</w:t>
      </w:r>
    </w:p>
    <w:p>
      <w:pPr>
        <w:spacing w:after="120" w:line="360"/>
        <w:ind w:firstLine="1134"/>
        <w:jc w:val="both"/>
      </w:pPr>
      <w:r>
        <w:rPr>
          <w:rFonts w:ascii="Times New Roman" w:cs="Times New Roman" w:eastAsia="Times New Roman" w:hAnsi="Times New Roman"/>
          <w:sz w:val="28"/>
          <w:szCs w:val="28"/>
        </w:rPr>
        <w:t xml:space="preserve">Първа глава изяснява понятийния апарат и очертава границите на приложното поле: видовете електронно учебно съдържание, педагогическите изисквания към него, устройството и ограниченията на големите езикови модели, възможностите им при разработване на учебни материали, свързаните рискове, етичните и правните изисквания и наличните подходи за оценяване на качеството. Втора глава анализира съществуващите критериални системи, извежда четири логически независими области на качеството, съпоставя ги с документираните дефицити на генерираното съдържание и завършва с изрична спецификация на изискванията към бъдещия модел.</w:t>
      </w:r>
    </w:p>
    <w:p>
      <w:pPr>
        <w:spacing w:after="120" w:line="360"/>
        <w:ind w:firstLine="1134"/>
        <w:jc w:val="both"/>
      </w:pPr>
      <w:r>
        <w:rPr>
          <w:rFonts w:ascii="Times New Roman" w:cs="Times New Roman" w:eastAsia="Times New Roman" w:hAnsi="Times New Roman"/>
          <w:sz w:val="28"/>
          <w:szCs w:val="28"/>
        </w:rPr>
        <w:t xml:space="preserve">Трета глава съдържа собствения принос. Разработен е модел с четири оценъчни области — съдържателно качество, дидактическо качество, езикова и структурна пригодност, етична и академична коректност — разгърнати в критерии и общо двадесет и седем проверими показателя. Приета е четиристепенна скала на равнище показател и четиристепенна на равнище област, с изричен праг на допустимост и некомпенсаторно правило за агрегиране: крайното равнище се определя от най-ниската областна оценка, което изключва възможността слабата фактологическа коректност да бъде компенсирана от добър език. Моделът е операционализиран в оценъчна карта и в процедура за верифициране, предвидена за приложение от отделен преподавател с предметна компетентност, без специализирана инфраструктура и без разчитане на автоматични детектори за генериран текст.</w:t>
      </w:r>
    </w:p>
    <w:p>
      <w:pPr>
        <w:spacing w:after="120" w:line="360"/>
        <w:ind w:firstLine="1134"/>
        <w:jc w:val="both"/>
      </w:pPr>
      <w:r>
        <w:rPr>
          <w:rFonts w:ascii="Times New Roman" w:cs="Times New Roman" w:eastAsia="Times New Roman" w:hAnsi="Times New Roman"/>
          <w:sz w:val="28"/>
          <w:szCs w:val="28"/>
        </w:rPr>
        <w:t>Апробирането обхваща шест материала — електронен урок, тестови въпроси и указания за самоподготовка, генерирани от два широкодостъпни диалогови инструмента по обща тема от областта на уеб разработката, на български език, при документиран протокол и предварително фиксирани критерии, скала и прагове. [Количествените резултати от апробирането се вписват след попълването на шестте оценъчни карти.] Приносът на работата се състои в система от критерии и показатели, скала и оценъчна матрица, процедура за верифициране и апробиране на модела върху реални генерирани материали.</w:t>
      </w:r>
    </w:p>
    <w:p>
      <w:pPr>
        <w:spacing w:after="200" w:line="360"/>
        <w:jc w:val="both"/>
      </w:pPr>
      <w:r>
        <w:rPr>
          <w:rFonts w:ascii="Times New Roman" w:cs="Times New Roman" w:eastAsia="Times New Roman" w:hAnsi="Times New Roman"/>
          <w:i w:val="false"/>
          <w:iCs w:val="false"/>
          <w:sz w:val="28"/>
          <w:szCs w:val="28"/>
        </w:rPr>
        <w:t xml:space="preserve">Ключови думи: академична коректност; генеративен изкуствен интелект; голям езиков модел; дидактическо качество; електронно учебно съдържание; критерии и показатели; модел за оценяване; оценъчна карта.</w:t>
      </w:r>
    </w:p>
    <w:p>
      <w:r>
        <w:br w:type="page"/>
      </w:r>
    </w:p>
    <w:p>
      <w:pPr>
        <w:pStyle w:val="Heading1"/>
      </w:pPr>
      <w:r>
        <w:rPr>
          <w:rFonts w:ascii="Times New Roman" w:cs="Times New Roman" w:eastAsia="Times New Roman" w:hAnsi="Times New Roman"/>
          <w:b/>
          <w:bCs/>
          <w:sz w:val="28"/>
          <w:szCs w:val="28"/>
        </w:rPr>
        <w:t xml:space="preserve">СЪДЪРЖАНИЕ</w:t>
      </w:r>
    </w:p>
    <w:sdt>
      <w:sdtPr>
        <w:alias w:val="Съдържание"/>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b/>
          <w:bCs/>
          <w:sz w:val="28"/>
          <w:szCs w:val="28"/>
        </w:rPr>
        <w:t xml:space="preserve">УВОД</w:t>
      </w:r>
    </w:p>
    <w:p>
      <w:pPr>
        <w:spacing w:after="120" w:line="360"/>
        <w:ind w:firstLine="1134"/>
        <w:jc w:val="both"/>
      </w:pPr>
      <w:r>
        <w:rPr>
          <w:rFonts w:ascii="Times New Roman" w:cs="Times New Roman" w:eastAsia="Times New Roman" w:hAnsi="Times New Roman"/>
          <w:sz w:val="28"/>
          <w:szCs w:val="28"/>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1134"/>
        <w:jc w:val="both"/>
      </w:pPr>
      <w:r>
        <w:rPr>
          <w:rFonts w:ascii="Times New Roman" w:cs="Times New Roman" w:eastAsia="Times New Roman" w:hAnsi="Times New Roman"/>
          <w:sz w:val="28"/>
          <w:szCs w:val="28"/>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1134"/>
        <w:jc w:val="both"/>
      </w:pPr>
      <w:r>
        <w:rPr>
          <w:rFonts w:ascii="Times New Roman" w:cs="Times New Roman" w:eastAsia="Times New Roman" w:hAnsi="Times New Roman"/>
          <w:sz w:val="28"/>
          <w:szCs w:val="28"/>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1134"/>
        <w:jc w:val="both"/>
      </w:pPr>
      <w:r>
        <w:rPr>
          <w:rFonts w:ascii="Times New Roman" w:cs="Times New Roman" w:eastAsia="Times New Roman" w:hAnsi="Times New Roman"/>
          <w:sz w:val="28"/>
          <w:szCs w:val="28"/>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1134"/>
        <w:jc w:val="both"/>
      </w:pPr>
      <w:r>
        <w:rPr>
          <w:rFonts w:ascii="Times New Roman" w:cs="Times New Roman" w:eastAsia="Times New Roman" w:hAnsi="Times New Roman"/>
          <w:sz w:val="28"/>
          <w:szCs w:val="28"/>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1134"/>
        <w:jc w:val="both"/>
      </w:pPr>
      <w:r>
        <w:rPr>
          <w:rFonts w:ascii="Times New Roman" w:cs="Times New Roman" w:eastAsia="Times New Roman" w:hAnsi="Times New Roman"/>
          <w:sz w:val="28"/>
          <w:szCs w:val="28"/>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Консенсусната дефиниция, изведена чрез международно експертно проучване, определя електронното обучение като подход към преподаването и ученето, който представя изцяло или отчасти прилагания образователен модел и се основава на използването на електронни средства и устройства като инструменти за подобряване на достъпа до обучение, комуникацията и взаимодействието [11]. Определящият признак следователно е образователният модел, а електронните средства са инструменти в него.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Понятието се нуждае и от разграничаване от съседни на него термини, които в практиката често се смесват. В настоящата разработка трите понятия се разграничават така: електронното обучение е подходът към преподаването и ученето, който представя прилагания образователен модел [11]; електронната образователна среда е технологичната платформа, в която този подход се осъществява; а електронното учебно съдържание е самият учебен материал, който средата поднася. Clark и Mayer определят електронното обучение като обучение, доставяно чрез цифрово устройство и предназначено да подпомага ученето, като изрично отделят два негови компонента — съдържание, тоест информация, и педагогически методи, тоест техники, които помагат на човека да усвои това съдържание [37, гл. 1].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Стандартът за метаданни на учебни обекти отразява това, като включва контекста на употреба сред описателните характеристики на учебния обект [52].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[38].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[17].</w:t>
      </w:r>
    </w:p>
    <w:p>
      <w:pPr>
        <w:spacing w:after="120" w:line="360"/>
        <w:ind w:firstLine="709"/>
        <w:jc w:val="both"/>
      </w:pPr>
      <w:r>
        <w:rPr>
          <w:rFonts w:ascii="Times New Roman" w:cs="Times New Roman" w:eastAsia="Times New Roman" w:hAnsi="Times New Roman"/>
          <w:sz w:val="24"/>
          <w:szCs w:val="24"/>
        </w:rPr>
        <w:t>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[42].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Схемата за метаданни на учебни обекти по стандарта IEEE 1484.12.1 определя структура от девет категории описателни характеристики от първо ниво, сред които образователната категория включва точно признаците, разгледани по-горе: вид на ресурса, равнище на интерактивност, предназначена роля на крайния потребител и типично учебно време [52].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а натрупаното техническо съдържание остарява по-бързо, отколкото се обновява. Емпиричното изследване на остарелите отговори в най-голямата платформа за програмистки въпроси установява, че над половината от тях (58,4 на сто) са били остарели още при публикуването си, а едва една пета (20,5 на сто) някога биват обновени [24].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е произходът на съдържанието. Ръководството на 1EdTech за съдържание, създадено с генеративен изкуствен интелект, степенува този признак в пет равнища — от съдържание, създадено от човек с минимална машинна помощ, през водено от човека и обогатено машинно, съвместно създадено под човешко ръководство и машинно доминирано с човешки надзор, до изцяло машинно генерирано с минимален или никакъв човешки контрол [49].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Накрая, оста на произхода заслужава разгръщане, защото с нея е пряко свързан контролът на качеството. Ръководството на 1EdTech обвързва равнището на човешко участие с равнището на необходимата проверка и формулира изрично изискване: генерираното съдържание подлежи на човешка валидация за точност, издържаност и съответствие със стандартите и не може да бъде използвано в непроменен вид в учебно значими контексти без проверка от специалист по предметната област, който да провери фактите, да прецени материала за пристрастност и да съобрази изискванията за достъпност [49]. При най-високото равнище от същата скала обаче съдържанието се създава и публикува с минимален или никакъв човешки надзор [49]. Настоящата работа тръгва именно от това разминаване между изискваната проверка и възможността тя да отсъства: задачата е изискването да бъде операционализирано в система от области, критерии и показатели, приложима към конкретен учебен материал.</w:t>
      </w:r>
    </w:p>
    <w:p>
      <w:pPr>
        <w:spacing w:after="120" w:line="360"/>
        <w:ind w:firstLine="709"/>
        <w:jc w:val="both"/>
      </w:pPr>
      <w:r>
        <w:rPr>
          <w:rFonts w:ascii="Times New Roman" w:cs="Times New Roman" w:eastAsia="Times New Roman" w:hAnsi="Times New Roman"/>
          <w:sz w:val="24"/>
          <w:szCs w:val="24"/>
        </w:rPr>
        <w:t>За целите на настоящата разработка, и в съответствие с препоръчителното ограничение на обхвата, апробирането на предложения модел ще се съсредоточи върху 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Изведените по-долу изисквания са подредени тук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съдържание, което не обслужва нито една формулирана цел, няма учебно основание да присъства.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[29].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[25].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 само когато това е изрично изискано от него.</w:t>
      </w:r>
    </w:p>
    <w:p>
      <w:pPr>
        <w:spacing w:after="120" w:line="360"/>
        <w:ind w:firstLine="709"/>
        <w:jc w:val="both"/>
      </w:pPr>
      <w:r>
        <w:rPr>
          <w:rFonts w:ascii="Times New Roman" w:cs="Times New Roman" w:eastAsia="Times New Roman" w:hAnsi="Times New Roman"/>
          <w:sz w:val="24"/>
          <w:szCs w:val="24"/>
        </w:rPr>
        <w:t>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което в ревизираната формулировка на авторите не се добавя към общото натоварване, а преразпределя ресурсите на работната памет от външното към вътрешното; централното предписание е обработката, несъществена за ученето, да се сведе до минимум, а съществената за него — да се оптимизира [26].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Петте области изисквания не се прилагат с еднаква тежест към всеки вид съдържание, а част от тях просто нямат предмет при даден материал: изискванията към обратната връзка са безпредметни при справочен текст без задачи, а изискванията към последователността на изложението — при отделен тестов въпрос. Затова оценяването трябва да предвижда изрична стойност „неприложимо“, вместо да отчита като дефект липсата на нещо, което видът на материала не предполага — решение, операционализирано в скалата на модела в трета глава.</w:t>
      </w:r>
    </w:p>
    <w:p>
      <w:pPr>
        <w:spacing w:after="120" w:line="360"/>
        <w:ind w:firstLine="709"/>
        <w:jc w:val="both"/>
      </w:pPr>
      <w:r>
        <w:rPr>
          <w:rFonts w:ascii="Times New Roman" w:cs="Times New Roman" w:eastAsia="Times New Roman" w:hAnsi="Times New Roman"/>
          <w:sz w:val="24"/>
          <w:szCs w:val="24"/>
        </w:rPr>
        <w:t>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[38, с. 235–236].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709"/>
        <w:jc w:val="both"/>
      </w:pPr>
      <w:r>
        <w:rPr>
          <w:rFonts w:ascii="Times New Roman" w:cs="Times New Roman" w:eastAsia="Times New Roman" w:hAnsi="Times New Roman"/>
          <w:sz w:val="24"/>
          <w:szCs w:val="24"/>
        </w:rPr>
        <w:t>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[37, гл. 13]. Експерименталното изследване на разгърнатата обратна връзка уточнява това: подробното обяснение подобрява възприемането на обратната връзка и преноса на наученото при задачи със свободен отговор, но не и при въпроси с множествен избор [48].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Разгърнатата обратна връзка се определя като допълнителна инструктивна информация към верния отговор — обяснения, насоки и стъпки за решаване [48].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рубриката на Quality Matters за висшето образование ги подрежда в осем общи и четиридесет и четири конкретни ревизионни стандарта [53] — което подготвя прехода от изисквания към критерии, предмет на следващия етап от изследването.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Изследванията върху приложението на генеративния изкуствен интелект в образованието нарастват рязко след пускането на ChatGPT през ноември 2022 г.: библиометричният анализ на полето отчита значителен и експоненциален ръст на публикациите през 2023 г. [46]. За целите на настоящото изследване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на всяка стъпка избира следващата единица въз основа на вече генерираните [44]. Втората е контекстният прозорец — ограниченият обем текст, който моделът може да отчита едновременно. Емпиричните изследвания показват, че подадената информация не се използва еднакво надеждно по цялата си дължина: представянето се влошава осезаемо, когато същественото е разположено в средата на дълъг контекст, а не в началото или края му [32]. Третата е вероятностният подбор при генерирането: методите, основани на извадка, избират следващата единица от вероятностно разпределение, като запазват възможността да бъде избрана и всяка от останалите, поради което при едни и същи входни данни моделът може да произведе различни изходи [44].</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всяко апробиране: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предстоящото, и подлежи на изрично деклариране.</w:t>
      </w:r>
    </w:p>
    <w:p>
      <w:pPr>
        <w:spacing w:after="120" w:line="360"/>
        <w:ind w:firstLine="709"/>
        <w:jc w:val="both"/>
      </w:pPr>
      <w:r>
        <w:rPr>
          <w:rFonts w:ascii="Times New Roman" w:cs="Times New Roman" w:eastAsia="Times New Roman" w:hAnsi="Times New Roman"/>
          <w:sz w:val="24"/>
          <w:szCs w:val="24"/>
        </w:rPr>
        <w:t>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Архитектурно те стъпват на трансформера и на механизма на самовнимание, а обучението им протича на два етапа — предварително обучение върху голям корпус и последваща настройка за конкретна задача, след която моделът произвежда свързан, стилистично издържан текст по практически всякаква тема [16].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[16]. Прегледът на полето обхваща приложения за оценяване, за персонализирана подкрепа на обучаемите и за интелигентни системи за обучение [46].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генерирането, обогатено с извличане, привлича знание от външни бази данни и според систематичния преглед на подхода повишава точността и достоверността на изхода, като същевременно позволява непрекъснато обновяване на знанието и включване на предметно специфична информация [45].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[27].</w:t>
      </w:r>
    </w:p>
    <w:p>
      <w:pPr>
        <w:spacing w:after="120" w:line="360"/>
        <w:ind w:firstLine="709"/>
        <w:jc w:val="both"/>
      </w:pPr>
      <w:r>
        <w:rPr>
          <w:rFonts w:ascii="Times New Roman" w:cs="Times New Roman" w:eastAsia="Times New Roman" w:hAnsi="Times New Roman"/>
          <w:sz w:val="24"/>
          <w:szCs w:val="24"/>
        </w:rPr>
        <w:t>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[16].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[27].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мулти-агентните реализации предвиждат именно такива междинни режими — направляван по каталог и направляван чрез обратна връзка [23].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за качество.</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са подредени тук на три равнища — подпомогнато създаване чрез диалог, структурирани рамкови подходи и автономни системни реализации. Прегледът на полето обхваща приложения в целия учебен процес, без да предлага такава степенувана класификация [46].</w:t>
      </w:r>
    </w:p>
    <w:p>
      <w:pPr>
        <w:spacing w:after="120" w:line="360"/>
        <w:ind w:firstLine="709"/>
        <w:jc w:val="both"/>
      </w:pPr>
      <w:r>
        <w:rPr>
          <w:rFonts w:ascii="Times New Roman" w:cs="Times New Roman" w:eastAsia="Times New Roman" w:hAnsi="Times New Roman"/>
          <w:sz w:val="24"/>
          <w:szCs w:val="24"/>
        </w:rPr>
        <w:t>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[16].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[15].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[14].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се предвижда адаптивен алгоритъм да изгражда индивидуален профил на обучаемия, да генерира клинични сценарии и тестове съобразно равнището му и да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[47].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четири режима на човешко участие — автономен, направляван по каталог, направляван чрез обратна връзка и режим на пълно съвместно управление, което позволява гъвкав контрол върху степента на човешка намеса [23].</w:t>
      </w:r>
    </w:p>
    <w:p>
      <w:pPr>
        <w:spacing w:after="120" w:line="360"/>
        <w:ind w:firstLine="709"/>
        <w:jc w:val="both"/>
      </w:pPr>
      <w:r>
        <w:rPr>
          <w:rFonts w:ascii="Times New Roman" w:cs="Times New Roman" w:eastAsia="Times New Roman" w:hAnsi="Times New Roman"/>
          <w:sz w:val="24"/>
          <w:szCs w:val="24"/>
        </w:rPr>
        <w:t>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обобщава публикувани данни, според които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[8]. Публикувано описание на инструментален работен процес в българско висше училище посочва значително съкращаване на времето за подготовка на стандартни учебни материали [6], което илюстрира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[2].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Отделен фактор, който преминава през всички равнища, е формулирането на заявката. Практическо ръководство за преподаватели извежда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процесът е документиран като последователност от стъпки [15].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[21],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[33].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Предимствата са концентрирани около производителността и обхвата. Генеративните инструменти намаляват натоварването на преподавателя при подготовката на учебни материали и разнообразяват учебните дейности и задачи, което прави възможно създаването на различни версии на един и същ материал — за различни равнища на подготовка, стилове на представяне и формати [21]. Към това прегледът на полето добавя персонализираната подкрепа на обучаемите и интелигентните системи за обучение [46].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а при задачите и средствата за оценяване анализът отчита липса на дълбочина [21].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Отвъд слабостите на самите материали стоят рисковете за образователната среда. На първо място е академичната коректност. Литературата отбелязва, че става все по-трудно да се различи машинно от човешко авторство [16]; при неотчетено използване това размива границата между собствен и чужд труд както при обучаемите, така и при преподавателите и авторите на учебни ресурси. Следва рискът от прекомерна зависимост: авторите на цитирания анализ поставят въпроса дали прехвърлянето на подготовката върху инструмента не лишава преподавателя от ценна възможност сам да се учи как да преподава по-добре [21]. Към него се добавят рисковете за личните данни при работа с комерсиални платформи, за които литературата извежда изискване политиките за събиране, съхранение и използване на данните да съответстват на действащата правна уредба [16], както и рискът от неравен достъп: без справедлив достъп технологията може да задълбочи образователната пропаст както никоя друга преди нея [16].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положително отношение към образователните приложения на изкуствения интелект по три оценъчни скали, с около шестдесет на сто високи оценки по всяка от тях,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Данните описват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Към рисковете за обучаемите българските публикации препращат и към данни за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[41]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Отговорът на литературата не е отказ от инструментите, а отговорно използване. Цитираният източник извежда изискване за прозрачност, която позволява на потребителя да разбере изхода на модела и данните зад него, и за преглед и валидиране на генерираното от преподавател или специалист по предмета [16].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Изследванията върху взаимодействието с генеративни инструменти документират именно такъв риск: прекомерно доверие, повърхностно подражание и прекомерна зависимост от машинния изход [22].</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литературата настоява генерираното съдържание да бъде преглеждано, валидирано и обяснявано от преподавателя [16], откъдето следва, че отговорността за учебния материал остава у човека, който го одобрява и предоставя на обучаемите, независимо каква част от текста е генерирана.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изисква институционална координация — планове за внедряване, обучение на състава и показатели за оценка — а не само закупуване на технология [41].</w:t>
      </w:r>
    </w:p>
    <w:p>
      <w:pPr>
        <w:spacing w:after="120" w:line="360"/>
        <w:ind w:firstLine="709"/>
        <w:jc w:val="both"/>
      </w:pPr>
      <w:r>
        <w:rPr>
          <w:rFonts w:ascii="Times New Roman" w:cs="Times New Roman" w:eastAsia="Times New Roman" w:hAnsi="Times New Roman"/>
          <w:sz w:val="24"/>
          <w:szCs w:val="24"/>
        </w:rPr>
        <w:t>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[18].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докторанта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изискването по чл. 50 генерираното или манипулирано съдържание да бъде маркирано в машинночетим формат и разпознаваемо като изкуствено създадено [39].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цитираната литература извежда като изискване съответствие на политиките за събиране, съхранение и използване на данни на обучаемите с действащата правна уредба, включително Общия регламент относно защитата на данните [16].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[16]. Как това изискване се превръща в проверим критерий — включително предвид ненадеждността на автоматичното разпознаване на генериран текст — е предмет на отделен анализ.</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бъдещият модел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Отделен и все още неустановен въпрос е авторскоправният статут на генерираното съдържание. Литературата посочва, че генерираният отговор може да възпроизведе цяло изречение или дори абзац от обучителния корпус, което поражда въпроси за авторското право и за плагиатството [16].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утвърдените рубрики систематизират изискванията за педагогическа издържаност и организация в проверими стандарти [53], а доказателствено обоснованите принципи на мултимедийното учене предоставят емпирично проверена база, върху която такива критерии могат да стъпят [38].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[53].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[40].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при сравнение по двойки без допускане на равенство съвпадението за най-силния модел достига 85 на сто — стойност, надхвърляща съгласуваността между самите човешки оценители, която при същите условия е 81 на сто [28]. Систематичният преглед на полето подрежда натрупаните подходи по три оси — какво се оценява, как се оценява и къде се прилага оценяването — и документира приложението им в широк кръг задачи [13].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[13].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като четиридесет и осем на сто от изследванията разчитат на едно семейство модели-оценители, а тридесет и три на сто използват единствен модел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актуалността, тъй като при нея границата на автоматизацията минава не през вида на проверката, а през устройството на проверяващата система. Езиковият модел разполага с обучителни данни до определена дата и по построение не може да установи какво се е променило след нея; изправен пред въпрос за текущото състояние на бързо развиваща се област, той възпроизвежда познатото си състояние, и то без сигнал за несигурност. Същият модел обаче, свързан с извличане от официалния източник — подходът, описан в точка 1.3 — получава текущото състояние в самата заявка и проверката става изпълнима. Актуалността следователно не е пример за неавтоматизируем показател, а пример за показател, при който изборът на архитектура е решаващ: без извличане проверката е предварително обречена, с извличане е рутинна.</w:t>
      </w:r>
    </w:p>
    <w:p>
      <w:pPr>
        <w:spacing w:after="120" w:line="360"/>
        <w:ind w:firstLine="709"/>
        <w:jc w:val="both"/>
      </w:pPr>
      <w:r>
        <w:rPr>
          <w:rFonts w:ascii="Times New Roman" w:cs="Times New Roman" w:eastAsia="Times New Roman" w:hAnsi="Times New Roman"/>
          <w:sz w:val="24"/>
          <w:szCs w:val="24"/>
        </w:rPr>
        <w:t xml:space="preserve">Обобщено, полезното разграничение не е между проверими и непроверими показатели, а между такива, за които съществува авторитет, достъпен със заявка, и такива, за които такъв авторитет не съществува. Фактическата вярност, актуалността, съществуването на цитираните източници и изпълнимостта на програмния код разполагат с авторитет — съответно учебната литература, официалната документация на съответната технология, библиографските бази и самата среда за изпълнение. Дидактическото съответствие не разполага: неговият референт са конкретна аудитория и конкретен курс, които не се съдържат в никакъв източник и се знаят единствено от преподавателя. Същото важи за преценката доколко натрупаните дребни неточности правят материала ненадежден като източник — тя предполага представа за подготвеността на конкретните обучаеми. Оттук следва и реалистичната посока на автоматизацията: не заместване на оценителя, а поемане на онези показатели, чийто авторитет е достъпен, при запазено човешко решение по останалите.</w:t>
      </w:r>
    </w:p>
    <w:p>
      <w:pPr>
        <w:spacing w:after="120" w:line="360"/>
        <w:ind w:firstLine="709"/>
        <w:jc w:val="both"/>
      </w:pPr>
      <w:r>
        <w:rPr>
          <w:rFonts w:ascii="Times New Roman" w:cs="Times New Roman" w:eastAsia="Times New Roman" w:hAnsi="Times New Roman"/>
          <w:sz w:val="24"/>
          <w:szCs w:val="24"/>
        </w:rPr>
        <w:t>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разработвания модел,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[14], документираните отклонения в преценката на моделите-оценители [13] и съображението,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която подлежи на отделно разглеждане в препоръките към практиката.</w:t>
      </w:r>
    </w:p>
    <w:p>
      <w:pPr>
        <w:spacing w:after="120" w:line="360"/>
        <w:ind w:firstLine="709"/>
        <w:jc w:val="both"/>
      </w:pPr>
      <w:r>
        <w:rPr>
          <w:rFonts w:ascii="Times New Roman" w:cs="Times New Roman" w:eastAsia="Times New Roman" w:hAnsi="Times New Roman"/>
          <w:sz w:val="24"/>
          <w:szCs w:val="24"/>
        </w:rPr>
        <w:t>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в него проучване едва шестнадесет на сто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[13].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В прегледаните критериални инструменти не се среща отделен показател за фактическа достоверност [53], което е обяснимо при добросъвестен човешки автор;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следващия етап: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следващия етап от изследването, а негов резултат са изискванията към бъдещия модел.</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настъпва след използването; не предотвратява дефекта</w:t>
            </w:r>
          </w:p>
        </w:tc>
      </w:tr>
    </w:tbl>
    <w:p>
      <w:pPr>
        <w:pStyle w:val="Heading2"/>
      </w:pPr>
      <w:r>
        <w:rPr>
          <w:rFonts w:ascii="Times New Roman" w:cs="Times New Roman" w:eastAsia="Times New Roman" w:hAnsi="Times New Roman"/>
          <w:b/>
          <w:bCs/>
          <w:sz w:val="28"/>
          <w:szCs w:val="28"/>
        </w:rPr>
        <w:t>ИЗВОДИ ПО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следващия етап от изследването.</w:t>
      </w:r>
    </w:p>
    <w:p>
      <w:pPr>
        <w:spacing w:after="120" w:line="360"/>
        <w:ind w:firstLine="709"/>
        <w:jc w:val="both"/>
      </w:pPr>
      <w:r>
        <w:rPr>
          <w:rFonts w:ascii="Times New Roman" w:cs="Times New Roman" w:eastAsia="Times New Roman" w:hAnsi="Times New Roman"/>
          <w:sz w:val="24"/>
          <w:szCs w:val="24"/>
        </w:rPr>
        <w:t>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приложена в утвърдени инструменти за оценяване на онлайн курсове [53]; педагогическата съдържателна основа е налична в доказателствено обоснованите принципи на мултимедийното учене [38] и в първите принципи на обучението [29];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[28],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[10], към които настоящата работа отнася и българския,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следващия етап: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2.1. Съществуващи подходи и критерии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1134"/>
        <w:jc w:val="both"/>
      </w:pPr>
      <w:r>
        <w:rPr>
          <w:rFonts w:ascii="Times New Roman" w:cs="Times New Roman" w:eastAsia="Times New Roman" w:hAnsi="Times New Roman"/>
          <w:sz w:val="28"/>
          <w:szCs w:val="28"/>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1134"/>
        <w:jc w:val="both"/>
      </w:pPr>
      <w:r>
        <w:rPr>
          <w:rFonts w:ascii="Times New Roman" w:cs="Times New Roman" w:eastAsia="Times New Roman" w:hAnsi="Times New Roman"/>
          <w:sz w:val="28"/>
          <w:szCs w:val="28"/>
        </w:rPr>
        <w:t>Към това семейство принадлежи и българският принос по темата: цитираното изследване на проблемите и решенията при генеративния изкуствен интелект в образованието очертава контурите на интегрирана система за оценяване на качеството на генерирани материали, съчетаваща метрики за кохезия, кохерентност, четивност и семантично сходство с експертен преглед [7]. Предложението остава на равнище рамка за бъдеща разработка и е ориентирано към автоматизирани средства, което го прави допълващо, а не конкурентно на настоящата работа: тук акцентът е върху инструмент, приложим непосредствено от отделния преподавател без специализирана техническа инфраструктура.</w:t>
      </w:r>
    </w:p>
    <w:p>
      <w:pPr>
        <w:spacing w:after="120" w:line="360"/>
        <w:ind w:firstLine="1134"/>
        <w:jc w:val="both"/>
      </w:pPr>
      <w:r>
        <w:rPr>
          <w:rFonts w:ascii="Times New Roman" w:cs="Times New Roman" w:eastAsia="Times New Roman" w:hAnsi="Times New Roman"/>
          <w:sz w:val="28"/>
          <w:szCs w:val="28"/>
        </w:rPr>
        <w:t>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който съчетава метода Делфи с аналитичен йерархичен процес и подрежда двадесет показателя в четири измерения — съдържателни, на изразяването, потребителски и технически, с най-голяма тежест на съдържателните [36].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1134"/>
        <w:jc w:val="both"/>
      </w:pPr>
      <w:r>
        <w:rPr>
          <w:rFonts w:ascii="Times New Roman" w:cs="Times New Roman" w:eastAsia="Times New Roman" w:hAnsi="Times New Roman"/>
          <w:sz w:val="28"/>
          <w:szCs w:val="28"/>
        </w:rPr>
        <w:t>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[47], а мулти-агентните архитектури като Instructional Agents възпроизвеждат ролево разпределение по образеца на екип по инструкционен дизайн и предвиждат преглед на произведените материали от преподавател преди употреба [23].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[41].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1134"/>
        <w:jc w:val="both"/>
      </w:pPr>
      <w:r>
        <w:rPr>
          <w:rFonts w:ascii="Times New Roman" w:cs="Times New Roman" w:eastAsia="Times New Roman" w:hAnsi="Times New Roman"/>
          <w:sz w:val="28"/>
          <w:szCs w:val="28"/>
        </w:rPr>
        <w:t>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1134"/>
        <w:jc w:val="both"/>
      </w:pPr>
      <w:r>
        <w:rPr>
          <w:rFonts w:ascii="Times New Roman" w:cs="Times New Roman" w:eastAsia="Times New Roman" w:hAnsi="Times New Roman"/>
          <w:sz w:val="28"/>
          <w:szCs w:val="28"/>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8"/>
          <w:szCs w:val="28"/>
        </w:rPr>
        <w:t xml:space="preserve">2.2. Критерии за научна коректност и достоверност на учебното съдържание</w:t>
      </w:r>
    </w:p>
    <w:p>
      <w:pPr>
        <w:spacing w:after="120" w:line="360"/>
        <w:ind w:firstLine="1134"/>
        <w:jc w:val="both"/>
      </w:pPr>
      <w:r>
        <w:rPr>
          <w:rFonts w:ascii="Times New Roman" w:cs="Times New Roman" w:eastAsia="Times New Roman" w:hAnsi="Times New Roman"/>
          <w:sz w:val="28"/>
          <w:szCs w:val="28"/>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1134"/>
        <w:jc w:val="both"/>
      </w:pPr>
      <w:r>
        <w:rPr>
          <w:rFonts w:ascii="Times New Roman" w:cs="Times New Roman" w:eastAsia="Times New Roman" w:hAnsi="Times New Roman"/>
          <w:sz w:val="28"/>
          <w:szCs w:val="28"/>
        </w:rPr>
        <w:t>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[27]. От друга страна, тези грешки не са маркирани стилистично: сравнителните изследвания показват, че възприеманото от студентите качество на генерираните учебни ресурси е равностойно на това на ресурсите, създадени от техни връстници [34].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1134"/>
        <w:jc w:val="both"/>
      </w:pPr>
      <w:r>
        <w:rPr>
          <w:rFonts w:ascii="Times New Roman" w:cs="Times New Roman" w:eastAsia="Times New Roman" w:hAnsi="Times New Roman"/>
          <w:sz w:val="28"/>
          <w:szCs w:val="28"/>
        </w:rPr>
        <w:t>Актуалността произтича от начина на обучение на езиковите модели: систематизациите на подхода за обогатено с извличане генериране посочват остарялото знание сред основните ограничения на тези модели, наред с халюцинациите и непроследимостта на разсъжденията [45].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1134"/>
        <w:jc w:val="both"/>
      </w:pPr>
      <w:r>
        <w:rPr>
          <w:rFonts w:ascii="Times New Roman" w:cs="Times New Roman" w:eastAsia="Times New Roman" w:hAnsi="Times New Roman"/>
          <w:sz w:val="28"/>
          <w:szCs w:val="28"/>
        </w:rPr>
        <w:t>Изискването за актуалност придобива особена острота при версионираните технологии, където предметната област има формален график на промяна. Рамката Angular е показателен пример: до версия 22 тя следва шестмесечен цикъл на основните издания, като от версия 22 преминава към едно основно издание годишно с четири до шест междинни; всяко основно издание се поддържа двадесет и четири месеца, а отпадащите програмни интерфейси преминават през период на отпадане с продължителност поне едно основно издание [50]. Тази публично обявена динамика има две следствия за оценяването. Първото е количествено: дори за няколко години предметната област сменя няколко основни издания, а част от препоръчаните практики отпадат. Второто е качествено и по-опасно: отпадналият интерфейс обикновено продължава да работи известно време, поради което генерираният пример не произвежда грешка при изпълнение, а тихо възпроизвежда остаряла практика — дефект, който проверката за работоспособност не улавя, а само съпоставката с актуалната документация.</w:t>
      </w:r>
    </w:p>
    <w:p>
      <w:pPr>
        <w:spacing w:after="120" w:line="360"/>
        <w:ind w:firstLine="1134"/>
        <w:jc w:val="both"/>
      </w:pPr>
      <w:r>
        <w:rPr>
          <w:rFonts w:ascii="Times New Roman" w:cs="Times New Roman" w:eastAsia="Times New Roman" w:hAnsi="Times New Roman"/>
          <w:sz w:val="28"/>
          <w:szCs w:val="28"/>
        </w:rPr>
        <w:t xml:space="preserve">Оттук произтича и практическото изискване към показателя за актуалност: той не може да бъде прилаган абстрактно, а изисква изрично фиксирана отправна точка — коя версия на технологията, кое издание на стандарта или коя редакция на нормативния документ се приема за актуални към момента на оценяването. Без такава отправна точка преценката „остаряло“ е неопределима, а оценките на различни оценители или на един оценител в различно време стават несъпоставими. Затова оценъчната карта предвижда отделно поле за референтния източник и за датата на проверката — процедурно решение, което превръща подвижния критерий за актуалност в проверимо твърдение.</w:t>
      </w:r>
    </w:p>
    <w:p>
      <w:pPr>
        <w:spacing w:after="120" w:line="360"/>
        <w:ind w:firstLine="1134"/>
        <w:jc w:val="both"/>
      </w:pPr>
      <w:r>
        <w:rPr>
          <w:rFonts w:ascii="Times New Roman" w:cs="Times New Roman" w:eastAsia="Times New Roman" w:hAnsi="Times New Roman"/>
          <w:sz w:val="28"/>
          <w:szCs w:val="28"/>
        </w:rPr>
        <w:t>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документиран емпирично: при по-стария от два широко използвани модела 55 на сто от генерираните библиографски позовавания са изцяло измислени, а при по-новия — 18 на сто [43].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1134"/>
        <w:jc w:val="both"/>
      </w:pPr>
      <w:r>
        <w:rPr>
          <w:rFonts w:ascii="Times New Roman" w:cs="Times New Roman" w:eastAsia="Times New Roman" w:hAnsi="Times New Roman"/>
          <w:sz w:val="28"/>
          <w:szCs w:val="28"/>
        </w:rPr>
        <w:t>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значими грешки съдържат 43 на сто при по-стария и 24 на сто при по-новия модел [43].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8"/>
          <w:szCs w:val="28"/>
        </w:rPr>
        <w:t xml:space="preserve">2.3. Критерии за дидактическа пригодност и съответствие с учебните цели</w:t>
      </w:r>
    </w:p>
    <w:p>
      <w:pPr>
        <w:spacing w:after="120" w:line="360"/>
        <w:ind w:firstLine="1134"/>
        <w:jc w:val="both"/>
      </w:pPr>
      <w:r>
        <w:rPr>
          <w:rFonts w:ascii="Times New Roman" w:cs="Times New Roman" w:eastAsia="Times New Roman" w:hAnsi="Times New Roman"/>
          <w:sz w:val="28"/>
          <w:szCs w:val="28"/>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1134"/>
        <w:jc w:val="both"/>
      </w:pPr>
      <w:r>
        <w:rPr>
          <w:rFonts w:ascii="Times New Roman" w:cs="Times New Roman" w:eastAsia="Times New Roman" w:hAnsi="Times New Roman"/>
          <w:sz w:val="28"/>
          <w:szCs w:val="28"/>
        </w:rPr>
        <w:t>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[38];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[29].</w:t>
      </w:r>
    </w:p>
    <w:p>
      <w:pPr>
        <w:spacing w:after="120" w:line="360"/>
        <w:ind w:firstLine="1134"/>
        <w:jc w:val="both"/>
      </w:pPr>
      <w:r>
        <w:rPr>
          <w:rFonts w:ascii="Times New Roman" w:cs="Times New Roman" w:eastAsia="Times New Roman" w:hAnsi="Times New Roman"/>
          <w:sz w:val="28"/>
          <w:szCs w:val="28"/>
        </w:rPr>
        <w:t>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[47]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1134"/>
        <w:jc w:val="both"/>
      </w:pPr>
      <w:r>
        <w:rPr>
          <w:rFonts w:ascii="Times New Roman" w:cs="Times New Roman" w:eastAsia="Times New Roman" w:hAnsi="Times New Roman"/>
          <w:sz w:val="28"/>
          <w:szCs w:val="28"/>
        </w:rPr>
        <w:t>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граматическа правилност, отговоримост, контролирана трудност, естественост на формулировката и качество на дистракторите — и че оценяването на това качество се извършва от човешки оценители, като добрата практика изисква повече от един оценител и отчитане на съгласуваността между тях [19].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1134"/>
        <w:jc w:val="both"/>
      </w:pPr>
      <w:r>
        <w:rPr>
          <w:rFonts w:ascii="Times New Roman" w:cs="Times New Roman" w:eastAsia="Times New Roman" w:hAnsi="Times New Roman"/>
          <w:sz w:val="28"/>
          <w:szCs w:val="28"/>
        </w:rPr>
        <w:t>Практиката добавя към тези критерии и един по-фин дидактически дефицит. Документираният опит с автоматизирано генериране на тестови въпроси показва системна склонност на моделите да формулират задачи по отделен детайл от подадения текст, вместо по водещото понятие, което той изгражда — дефект, който наложил въвеждането на изрична настройка за концептуална дълбочина в работния процес [2]. Значението за оценяването е конкретно: материалът може да покрива формално всички теми и въпреки това да проверява запаметяване на подробности, а не разбиране на понятия. Показателят за съответствие с целите следователно трябва да се прилага не само количествено — покрита ли е всяка цел — но и качествено: на какво познавателно равнище я покрива материалът.</w:t>
      </w:r>
    </w:p>
    <w:p>
      <w:pPr>
        <w:spacing w:after="120" w:line="360"/>
        <w:ind w:firstLine="1134"/>
        <w:jc w:val="both"/>
      </w:pPr>
      <w:r>
        <w:rPr>
          <w:rFonts w:ascii="Times New Roman" w:cs="Times New Roman" w:eastAsia="Times New Roman" w:hAnsi="Times New Roman"/>
          <w:sz w:val="28"/>
          <w:szCs w:val="28"/>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8"/>
          <w:szCs w:val="28"/>
        </w:rPr>
        <w:t xml:space="preserve">2.4. Критерии за езикова яснота, структура и достъпност</w:t>
      </w:r>
    </w:p>
    <w:p>
      <w:pPr>
        <w:spacing w:after="120" w:line="360"/>
        <w:ind w:firstLine="1134"/>
        <w:jc w:val="both"/>
      </w:pPr>
      <w:r>
        <w:rPr>
          <w:rFonts w:ascii="Times New Roman" w:cs="Times New Roman" w:eastAsia="Times New Roman" w:hAnsi="Times New Roman"/>
          <w:sz w:val="28"/>
          <w:szCs w:val="28"/>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1134"/>
        <w:jc w:val="both"/>
      </w:pPr>
      <w:r>
        <w:rPr>
          <w:rFonts w:ascii="Times New Roman" w:cs="Times New Roman" w:eastAsia="Times New Roman" w:hAnsi="Times New Roman"/>
          <w:sz w:val="28"/>
          <w:szCs w:val="28"/>
        </w:rPr>
        <w:t>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Литературата отбелязва, че основната част от изследванията върху езиковите модели е направена за английския език и че за останалите езици остава изследователска празнина [16]; документираният български опит потвърждава това от практическата страна — при генериране от учебен текст на български делът на въпросите, изискващи редакция, е двукратно до петкратно по-висок, отколкото при английски, а необходимите корекции са предимно от езиков и стилистичен характер [2].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1134"/>
        <w:jc w:val="both"/>
      </w:pPr>
      <w:r>
        <w:rPr>
          <w:rFonts w:ascii="Times New Roman" w:cs="Times New Roman" w:eastAsia="Times New Roman" w:hAnsi="Times New Roman"/>
          <w:sz w:val="28"/>
          <w:szCs w:val="28"/>
        </w:rPr>
        <w:t>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[35].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1134"/>
        <w:jc w:val="both"/>
      </w:pPr>
      <w:r>
        <w:rPr>
          <w:rFonts w:ascii="Times New Roman" w:cs="Times New Roman" w:eastAsia="Times New Roman" w:hAnsi="Times New Roman"/>
          <w:sz w:val="28"/>
          <w:szCs w:val="28"/>
        </w:rPr>
        <w:t>Твърдението за по-слабото качество при езици с ограничено представяне в обучителните данни има и пряко емпирично потвърждение за българския език. При съпоставимо по обем генериране на тестови въпроси от учебен текст на два езика делът на въпросите, изискващи редакция, е около 4–5 на сто при българските срещу 1–2 на сто при английските, а преобладаващият тип нередност е именно неестествено или несвойствено формулиране на български [2]. Данните са показателни в две отношения: разликата между езиците е двукратна до петкратна, а характерът на дефекта е езиков, а не фактически — тоест той не се улавя от проверка за вярност, а само от внимателен прочит с оглед на естествеността на изказа. За материали, предназначени за българска аудитория, показателят за естественост на езика следователно не е второстепенен, а един от най-натоварените в цялата област.</w:t>
      </w:r>
    </w:p>
    <w:p>
      <w:pPr>
        <w:spacing w:after="120" w:line="360"/>
        <w:ind w:firstLine="1134"/>
        <w:jc w:val="both"/>
      </w:pPr>
      <w:r>
        <w:rPr>
          <w:rFonts w:ascii="Times New Roman" w:cs="Times New Roman" w:eastAsia="Times New Roman" w:hAnsi="Times New Roman"/>
          <w:sz w:val="28"/>
          <w:szCs w:val="28"/>
        </w:rPr>
        <w:t>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изключването на несъществения текст и на ненужния визуален материал подобрява ученето [38].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1134"/>
        <w:jc w:val="both"/>
      </w:pPr>
      <w:r>
        <w:rPr>
          <w:rFonts w:ascii="Times New Roman" w:cs="Times New Roman" w:eastAsia="Times New Roman" w:hAnsi="Times New Roman"/>
          <w:sz w:val="28"/>
          <w:szCs w:val="28"/>
        </w:rPr>
        <w:t>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[51].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[20].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8"/>
          <w:szCs w:val="28"/>
        </w:rPr>
        <w:t xml:space="preserve">2.5. Критерии за оригиналност, етична допустимост и академична коректност</w:t>
      </w:r>
    </w:p>
    <w:p>
      <w:pPr>
        <w:spacing w:after="120" w:line="360"/>
        <w:ind w:firstLine="1134"/>
        <w:jc w:val="both"/>
      </w:pPr>
      <w:r>
        <w:rPr>
          <w:rFonts w:ascii="Times New Roman" w:cs="Times New Roman" w:eastAsia="Times New Roman" w:hAnsi="Times New Roman"/>
          <w:sz w:val="28"/>
          <w:szCs w:val="28"/>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1134"/>
        <w:jc w:val="both"/>
      </w:pPr>
      <w:r>
        <w:rPr>
          <w:rFonts w:ascii="Times New Roman" w:cs="Times New Roman" w:eastAsia="Times New Roman" w:hAnsi="Times New Roman"/>
          <w:sz w:val="28"/>
          <w:szCs w:val="28"/>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1134"/>
        <w:jc w:val="both"/>
      </w:pPr>
      <w:r>
        <w:rPr>
          <w:rFonts w:ascii="Times New Roman" w:cs="Times New Roman" w:eastAsia="Times New Roman" w:hAnsi="Times New Roman"/>
          <w:sz w:val="28"/>
          <w:szCs w:val="28"/>
        </w:rPr>
        <w:t>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[30].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1134"/>
        <w:jc w:val="both"/>
      </w:pPr>
      <w:r>
        <w:rPr>
          <w:rFonts w:ascii="Times New Roman" w:cs="Times New Roman" w:eastAsia="Times New Roman" w:hAnsi="Times New Roman"/>
          <w:sz w:val="28"/>
          <w:szCs w:val="28"/>
        </w:rPr>
        <w:t>Към общата ненадеждност на детекторите се добавя и обстоятелство, съществено за настоящата работа. Анализът на приложимостта им в българска академична среда посочва два системни проблема: фалшивите положителни резултати са особено характерни за текстове с висока терминологична наситеност и формализиран стил — тоест точно за добре написаното научно и учебно изложение — а детекторите, обучени предимно върху текстове на английски език, губят точност при проверка на текстове на български [1]. Оттук произтича и процедурното следствие, което същият анализ формулира: никое решение не бива да се основава единствено на машинен доклад, а резултатът от детектор може да бъде само повод за съдържателна проверка, но не и неин заместител. За модел, предназначен за оценяване на учебни материали на български език, това е решаващ аргумент — критерият за оригиналност се операционализира процедурно, а не детекционно.</w:t>
      </w:r>
    </w:p>
    <w:p>
      <w:pPr>
        <w:spacing w:after="120" w:line="360"/>
        <w:ind w:firstLine="1134"/>
        <w:jc w:val="both"/>
      </w:pPr>
      <w:r>
        <w:rPr>
          <w:rFonts w:ascii="Times New Roman" w:cs="Times New Roman" w:eastAsia="Times New Roman" w:hAnsi="Times New Roman"/>
          <w:sz w:val="28"/>
          <w:szCs w:val="28"/>
        </w:rPr>
        <w:t>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[31].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1134"/>
        <w:jc w:val="both"/>
      </w:pPr>
      <w:r>
        <w:rPr>
          <w:rFonts w:ascii="Times New Roman" w:cs="Times New Roman" w:eastAsia="Times New Roman" w:hAnsi="Times New Roman"/>
          <w:sz w:val="28"/>
          <w:szCs w:val="28"/>
        </w:rPr>
        <w:t>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[16].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1134"/>
        <w:jc w:val="both"/>
      </w:pPr>
      <w:r>
        <w:rPr>
          <w:rFonts w:ascii="Times New Roman" w:cs="Times New Roman" w:eastAsia="Times New Roman" w:hAnsi="Times New Roman"/>
          <w:sz w:val="28"/>
          <w:szCs w:val="28"/>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8"/>
          <w:szCs w:val="28"/>
        </w:rPr>
        <w:t xml:space="preserve">2.6. Анализ на типични дефицити в съдържание, създадено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1134"/>
        <w:jc w:val="both"/>
      </w:pPr>
      <w:r>
        <w:rPr>
          <w:rFonts w:ascii="Times New Roman" w:cs="Times New Roman" w:eastAsia="Times New Roman" w:hAnsi="Times New Roman"/>
          <w:sz w:val="28"/>
          <w:szCs w:val="28"/>
        </w:rPr>
        <w:t>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възприеманото качество на генерираните ресурси е равностойно на това на човешките [34],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1134"/>
        <w:jc w:val="both"/>
      </w:pPr>
      <w:r>
        <w:rPr>
          <w:rFonts w:ascii="Times New Roman" w:cs="Times New Roman" w:eastAsia="Times New Roman" w:hAnsi="Times New Roman"/>
          <w:sz w:val="28"/>
          <w:szCs w:val="28"/>
        </w:rPr>
        <w:t>В дидактическата област типичните дефицити са логическите пропуски — несъобразеността с конкретната аудитория и учебна програма — дефицит, който системите за контролирано генериране компенсират, като вграждат структурирана информация за учебната програма и ограничения върху сложността на езика според равнището на обучаемите направо в процеса на генериране [47];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1134"/>
        <w:jc w:val="both"/>
      </w:pPr>
      <w:r>
        <w:rPr>
          <w:rFonts w:ascii="Times New Roman" w:cs="Times New Roman" w:eastAsia="Times New Roman" w:hAnsi="Times New Roman"/>
          <w:sz w:val="28"/>
          <w:szCs w:val="28"/>
        </w:rPr>
        <w:t>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[16].</w:t>
      </w:r>
    </w:p>
    <w:p>
      <w:pPr>
        <w:spacing w:after="120" w:line="360"/>
        <w:ind w:firstLine="1134"/>
        <w:jc w:val="both"/>
      </w:pPr>
      <w:r>
        <w:rPr>
          <w:rFonts w:ascii="Times New Roman" w:cs="Times New Roman" w:eastAsia="Times New Roman" w:hAnsi="Times New Roman"/>
          <w:sz w:val="28"/>
          <w:szCs w:val="28"/>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8"/>
          <w:szCs w:val="28"/>
        </w:rPr>
        <w:t xml:space="preserve">2.7. Извеждане на изисквания към бъдещ модел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1134"/>
        <w:jc w:val="both"/>
      </w:pPr>
      <w:r>
        <w:rPr>
          <w:rFonts w:ascii="Times New Roman" w:cs="Times New Roman" w:eastAsia="Times New Roman" w:hAnsi="Times New Roman"/>
          <w:sz w:val="28"/>
          <w:szCs w:val="28"/>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1134"/>
        <w:jc w:val="both"/>
      </w:pPr>
      <w:r>
        <w:rPr>
          <w:rFonts w:ascii="Times New Roman" w:cs="Times New Roman" w:eastAsia="Times New Roman" w:hAnsi="Times New Roman"/>
          <w:sz w:val="28"/>
          <w:szCs w:val="28"/>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1134"/>
        <w:jc w:val="both"/>
      </w:pPr>
      <w:r>
        <w:rPr>
          <w:rFonts w:ascii="Times New Roman" w:cs="Times New Roman" w:eastAsia="Times New Roman" w:hAnsi="Times New Roman"/>
          <w:sz w:val="28"/>
          <w:szCs w:val="28"/>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3.</w:t>
      </w:r>
    </w:p>
    <w:p>
      <w:pPr>
        <w:spacing w:after="120" w:before="200"/>
        <w:jc w:val="center"/>
      </w:pPr>
      <w:r>
        <w:rPr>
          <w:rFonts w:ascii="Times New Roman" w:cs="Times New Roman" w:eastAsia="Times New Roman" w:hAnsi="Times New Roman"/>
          <w:i/>
          <w:iCs/>
          <w:sz w:val="20"/>
          <w:szCs w:val="20"/>
        </w:rPr>
        <w:t xml:space="preserve">Таблица 3.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проследимост на процеса (осигурена процедурно)</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обозначени заети елементи; примери без приписвания, които темата не налага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необозначени заемания; стереотипи в примерите; неотчетена употреба</w:t>
            </w:r>
          </w:p>
        </w:tc>
      </w:tr>
    </w:tbl>
    <w:p>
      <w:pPr>
        <w:spacing w:after="120" w:line="360"/>
        <w:ind w:firstLine="1134"/>
        <w:jc w:val="both"/>
      </w:pPr>
      <w:r>
        <w:rPr>
          <w:rFonts w:ascii="Times New Roman" w:cs="Times New Roman" w:eastAsia="Times New Roman" w:hAnsi="Times New Roman"/>
          <w:sz w:val="28"/>
          <w:szCs w:val="28"/>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8"/>
          <w:szCs w:val="28"/>
        </w:rPr>
        <w:t>ИЗВОДИ ПО ВТОРА ГЛАВА</w:t>
      </w:r>
    </w:p>
    <w:p>
      <w:pPr>
        <w:spacing w:after="120" w:line="360"/>
        <w:ind w:firstLine="1134"/>
        <w:jc w:val="both"/>
      </w:pPr>
      <w:r>
        <w:rPr>
          <w:rFonts w:ascii="Times New Roman" w:cs="Times New Roman" w:eastAsia="Times New Roman" w:hAnsi="Times New Roman"/>
          <w:sz w:val="28"/>
          <w:szCs w:val="28"/>
        </w:rPr>
        <w:t xml:space="preserve">Анализът във втора глава води до следните изводи.</w:t>
      </w:r>
    </w:p>
    <w:p>
      <w:pPr>
        <w:spacing w:after="120" w:line="360"/>
        <w:ind w:firstLine="1134"/>
        <w:jc w:val="both"/>
      </w:pPr>
      <w:r>
        <w:rPr>
          <w:rFonts w:ascii="Times New Roman" w:cs="Times New Roman" w:eastAsia="Times New Roman" w:hAnsi="Times New Roman"/>
          <w:sz w:val="28"/>
          <w:szCs w:val="28"/>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1134"/>
        <w:jc w:val="both"/>
      </w:pPr>
      <w:r>
        <w:rPr>
          <w:rFonts w:ascii="Times New Roman" w:cs="Times New Roman" w:eastAsia="Times New Roman" w:hAnsi="Times New Roman"/>
          <w:sz w:val="28"/>
          <w:szCs w:val="28"/>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1134"/>
        <w:jc w:val="both"/>
      </w:pPr>
      <w:r>
        <w:rPr>
          <w:rFonts w:ascii="Times New Roman" w:cs="Times New Roman" w:eastAsia="Times New Roman" w:hAnsi="Times New Roman"/>
          <w:sz w:val="28"/>
          <w:szCs w:val="28"/>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1134"/>
        <w:jc w:val="both"/>
      </w:pPr>
      <w:r>
        <w:rPr>
          <w:rFonts w:ascii="Times New Roman" w:cs="Times New Roman" w:eastAsia="Times New Roman" w:hAnsi="Times New Roman"/>
          <w:sz w:val="28"/>
          <w:szCs w:val="28"/>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1134"/>
        <w:jc w:val="both"/>
      </w:pPr>
      <w:r>
        <w:rPr>
          <w:rFonts w:ascii="Times New Roman" w:cs="Times New Roman" w:eastAsia="Times New Roman" w:hAnsi="Times New Roman"/>
          <w:sz w:val="28"/>
          <w:szCs w:val="28"/>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3.1. Принципи при разработване на модела</w:t>
      </w:r>
    </w:p>
    <w:p>
      <w:pPr>
        <w:spacing w:after="120" w:line="360"/>
        <w:ind w:firstLine="1134"/>
        <w:jc w:val="both"/>
      </w:pPr>
      <w:r>
        <w:rPr>
          <w:rFonts w:ascii="Times New Roman" w:cs="Times New Roman" w:eastAsia="Times New Roman" w:hAnsi="Times New Roman"/>
          <w:sz w:val="28"/>
          <w:szCs w:val="28"/>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1134"/>
        <w:jc w:val="both"/>
      </w:pPr>
      <w:r>
        <w:rPr>
          <w:rFonts w:ascii="Times New Roman" w:cs="Times New Roman" w:eastAsia="Times New Roman" w:hAnsi="Times New Roman"/>
          <w:sz w:val="28"/>
          <w:szCs w:val="28"/>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1134"/>
        <w:jc w:val="both"/>
      </w:pPr>
      <w:r>
        <w:rPr>
          <w:rFonts w:ascii="Times New Roman" w:cs="Times New Roman" w:eastAsia="Times New Roman" w:hAnsi="Times New Roman"/>
          <w:sz w:val="28"/>
          <w:szCs w:val="28"/>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1134"/>
        <w:jc w:val="both"/>
      </w:pPr>
      <w:r>
        <w:rPr>
          <w:rFonts w:ascii="Times New Roman" w:cs="Times New Roman" w:eastAsia="Times New Roman" w:hAnsi="Times New Roman"/>
          <w:sz w:val="28"/>
          <w:szCs w:val="28"/>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1134"/>
        <w:jc w:val="both"/>
      </w:pPr>
      <w:r>
        <w:rPr>
          <w:rFonts w:ascii="Times New Roman" w:cs="Times New Roman" w:eastAsia="Times New Roman" w:hAnsi="Times New Roman"/>
          <w:sz w:val="28"/>
          <w:szCs w:val="28"/>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8"/>
          <w:szCs w:val="28"/>
        </w:rPr>
        <w:t xml:space="preserve">3.2. Структура на предложения модел</w:t>
      </w:r>
    </w:p>
    <w:p>
      <w:pPr>
        <w:spacing w:after="120" w:line="360"/>
        <w:ind w:firstLine="1134"/>
        <w:jc w:val="both"/>
      </w:pPr>
      <w:r>
        <w:rPr>
          <w:rFonts w:ascii="Times New Roman" w:cs="Times New Roman" w:eastAsia="Times New Roman" w:hAnsi="Times New Roman"/>
          <w:sz w:val="28"/>
          <w:szCs w:val="28"/>
        </w:rPr>
        <w:t>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1134"/>
        <w:jc w:val="both"/>
      </w:pPr>
      <w:r>
        <w:rPr>
          <w:rFonts w:ascii="Times New Roman" w:cs="Times New Roman" w:eastAsia="Times New Roman" w:hAnsi="Times New Roman"/>
          <w:sz w:val="28"/>
          <w:szCs w:val="28"/>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1134"/>
        <w:jc w:val="both"/>
      </w:pPr>
      <w:r>
        <w:rPr>
          <w:rFonts w:ascii="Times New Roman" w:cs="Times New Roman" w:eastAsia="Times New Roman" w:hAnsi="Times New Roman"/>
          <w:sz w:val="28"/>
          <w:szCs w:val="28"/>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1134"/>
        <w:jc w:val="both"/>
      </w:pPr>
      <w:r>
        <w:rPr>
          <w:rFonts w:ascii="Times New Roman" w:cs="Times New Roman" w:eastAsia="Times New Roman" w:hAnsi="Times New Roman"/>
          <w:sz w:val="28"/>
          <w:szCs w:val="28"/>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1134"/>
        <w:jc w:val="both"/>
      </w:pPr>
      <w:r>
        <w:rPr>
          <w:rFonts w:ascii="Times New Roman" w:cs="Times New Roman" w:eastAsia="Times New Roman" w:hAnsi="Times New Roman"/>
          <w:sz w:val="28"/>
          <w:szCs w:val="28"/>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8"/>
          <w:szCs w:val="28"/>
        </w:rPr>
        <w:t xml:space="preserve">3.3. Основни области, критерии и показатели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разгръща съдържанието на модела: четирите области, обозначени О1–О4, триначетиринадесетте критерия К1–К14 и двадесет и седемте показателя П1–П27. Номерацията на критериите и на показателите е непрекъсната през целия модел, а не поднаредена по области: код от вида П14 сочи един-единствен показател, без да изисква разгръщане на йерархията, което държи позоваванията в оценъчната карта и в анализа на резултатите кратки и еднозначни.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1134"/>
        <w:jc w:val="both"/>
      </w:pPr>
      <w:r>
        <w:rPr>
          <w:rFonts w:ascii="Times New Roman" w:cs="Times New Roman" w:eastAsia="Times New Roman" w:hAnsi="Times New Roman"/>
          <w:sz w:val="28"/>
          <w:szCs w:val="28"/>
        </w:rPr>
        <w:t>Област О1 — съдържателно качество — операционализира критериите от точка 2.2 в три критерия. 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К2 „Актуалност": П3 — съдържанието съответства на актуалното състояние на областта (действаща версия, съвременна терминология, препоръчани практики); П4 — не се представят отпаднали или несъвместими решения като текущи. К3 „Надеждност на източниците": П5 — всички цитирани в материала източници съществуват; П6 — цитираните източници действително съдържат приписаните им твърдения. За материали, които не цитират източници, К3 е неприложим и това се отбелязва с основание в картата; проверимостта на твърденията в такива материали се улавя от П1 и не се отчита повторно.</w:t>
      </w:r>
    </w:p>
    <w:p>
      <w:pPr>
        <w:spacing w:after="120" w:line="360"/>
        <w:ind w:firstLine="1134"/>
        <w:jc w:val="both"/>
      </w:pPr>
      <w:r>
        <w:rPr>
          <w:rFonts w:ascii="Times New Roman" w:cs="Times New Roman" w:eastAsia="Times New Roman" w:hAnsi="Times New Roman"/>
          <w:sz w:val="28"/>
          <w:szCs w:val="28"/>
        </w:rPr>
        <w:t xml:space="preserve">Област О2 — дидактическо качество — пренася критериите от точка 2.3 в четири критерия. К4 „Съответствие с учебните цели": П7 — всяка декларирана цел е покрита от съдържанието; П8 — материалът не съдържа съществени части, необслужващи нито една цел. К5 „Педагогическа последователност": П9 — всяко ключово понятие е въведено с точна дефиниция преди първата си употреба; П10 — изложението е сегментирано на усвоими смислови единици в логичен ред. К6 „Активно учене": П11 — налични са примери и задачи за прилагане на всяка основна цел; П12 — обратната връзка към задачите обяснява, а не само констатира. К7 „Съответствие с аудиторията": П13 — предпоставеното знание не надхвърля декларираното за аудиторията; П14 — обемът на материала съответства на заявения. Вторият показател е обвързан със заявения, а не с някакъв абстрактно подходящ обем по две причини. Първо, заявката е единственият документиран и проверим ориентир: съответствието се установява с преброяване, а не с преценка. Второ, така показателят измерва нещо, което е специфично за генеративните инструменти — доколко изпълняват изрично зададено количествено ограничение. Преобразуването на обема в учебно време остава преценка на преподавателя, който познава курса, и затова не се вписва в модела като отделно изискване. Броенето обхваща целия материал, както е получен, включително програмния код, тъй като заявката не е изключвала кода от обема, а изрично го е поискала като част от материала; мери се спрямо поставеното изискване, а не спрямо правило, въведено след генерирането. Тъй като заявката формулира обема с „около", е приет допуск, изведен от самата дума: отклонение до десет на сто от най-близката граница се смята за съответствие, отклонение над десет и до двадесет и пет на сто — за частично, а над двадесет и пет на сто — за несъответствие. При тестовите въпроси референтът е броят на въпросите, така както е зададен в заявката, а не броят думи.</w:t>
      </w:r>
    </w:p>
    <w:p>
      <w:pPr>
        <w:spacing w:after="120" w:line="360"/>
        <w:ind w:firstLine="1134"/>
        <w:jc w:val="both"/>
      </w:pPr>
      <w:r>
        <w:rPr>
          <w:rFonts w:ascii="Times New Roman" w:cs="Times New Roman" w:eastAsia="Times New Roman" w:hAnsi="Times New Roman"/>
          <w:sz w:val="28"/>
          <w:szCs w:val="28"/>
        </w:rPr>
        <w:t>Област О3 — езикова и структурна пригодност — обхваща критериите от точка 2.4 в пет критерия. К8 „Разбираемост и стил": П15 — изказът е адаптиран към равнището на аудиторията; П16 — езикът е естествен, без буквално пренесени чуждоезични конструкции. Вторият показател изисква уточнение при прилагането си върху терминологията. В редица предметни области утвърдена терминология на езика на материала може изобщо да не съществува: липсват официален превод и терминологичен стандарт, а практиката съчетава домашен и чужд термин според предпочитанието на отделния автор. Положението е свързано с документираната неравномерност на езиковото покритие в изследванията и в обучителните данни [16], [10]. Положението е типично за бързо развиващите се технологични области и за езиците с ограничено присъствие в специализираната литература; в апробирането по точка 3.7 то е налице по двете линии едновременно. Позоваването на „утвърдена употреба" следователно би въвело референт, който в много случаи не съществува, и би направило оценката произволна — същият дефект, който моделът избягва другаде. Показателят затова не отсъжда кое название е правилното, а прилага два теста, независими от авторитет: дали преведеният термин носи в общия език значение, различно от предметното, което може да подведе читателя, и дали обучаемият би намерил понятието в документацията по този термин. Термин, който издържа и двата теста, е допустим избор дори когато е буквален превод; последователността на употребата му в целия материал е предмет на К9. К9 „Терминологична еднозначност": единственият ѝ показател П17 изисква терминологията да е еднозначна в целия материал — едно понятие да се назовава по един начин и един термин да не означава две неща. К10 „Организация и икономия": П19 — заглавията и разделянето на части отразяват съдържанието; П20 — материалът не съдържа излишен текст без учебна стойност. К11 „Достъпност": П21 — нетекстовото съдържание има текстов еквивалент; П22 — структурата е изразена семантично и материалът е навигируем. К12 „Преносимост" съдържа един показател, П23 — материалът е използваем извън средата, в която е създаден.</w:t>
      </w:r>
    </w:p>
    <w:p>
      <w:pPr>
        <w:spacing w:after="120" w:line="360"/>
        <w:ind w:firstLine="1134"/>
        <w:jc w:val="both"/>
      </w:pPr>
      <w:r>
        <w:rPr>
          <w:rFonts w:ascii="Times New Roman" w:cs="Times New Roman" w:eastAsia="Times New Roman" w:hAnsi="Times New Roman"/>
          <w:sz w:val="28"/>
          <w:szCs w:val="28"/>
        </w:rPr>
        <w:t xml:space="preserve">Последният критерий в областта се нуждае от отделен довод, тъй като не произтича пряко от точка 2.4, а от начина, по който съвременните диалогови инструменти доставят изхода си. Част от този изход не е текст, а интерактивен обект, който съществува единствено в средата на самия инструмент: той не се пренася в система за управление на обучението, не се архивира и изчезва при износ във файл. Учебен материал, чиято част живее само при доставчика, не може да бъде раздаден на обучаемите — преподавателят разполага със сесия, а не с ресурс. Показателят П23 установява именно това: запазва ли всеки елемент функцията си, след като материалът бъде изнесен във формата, в която ще бъде предоставен. Критерият е поставен в областта на структурната пригодност, тъй като предметът му е формата на материала, а не съдържанието му, и е разграничен от достъпността: К11 пита дали съдържанието достига до обучаемия при различни начини на възприемане, К12 — дали изобщо достига до него извън средата на създаване.</w:t>
      </w:r>
    </w:p>
    <w:p>
      <w:pPr>
        <w:spacing w:after="120" w:line="360"/>
        <w:ind w:firstLine="1134"/>
        <w:jc w:val="both"/>
      </w:pPr>
      <w:r>
        <w:rPr>
          <w:rFonts w:ascii="Times New Roman" w:cs="Times New Roman" w:eastAsia="Times New Roman" w:hAnsi="Times New Roman"/>
          <w:sz w:val="28"/>
          <w:szCs w:val="28"/>
        </w:rPr>
        <w:t xml:space="preserve">Приписването на този дефект изисква изрично уточнение, тъй като показателят лесно би бил разчетен като преценка за езиковия модел, а той не е такава. Интерактивният обект е свойство на канала, през който е поискано съдържанието, а не на модела, който го е породил: същият модел, достъпен през приложно-програмен интерфейс, команден ред или настолно приложение, връща самостоятелен документ и този клас дефект изобщо не възниква. Каналът на генериране следователно е част от условията на оценяването и се вписва в заглавната част на картата наред с инструмента и изданието му. Уточнението обаче не омаловажава показателя, а определя адресата на извода. Преподавателят без техническа подготовка на практика работи именно през уеб интерфейс — той е подразбиращият се и единственият достъпен канал за повечето потребители — и получава материал, чиято част не може да раздаде. Дефектът е реален за него независимо от това, че при друг канал не би се появил. Оценката „не“ по П23 се разчита като указание към избора на канал и към формата, в който се иска изходът, а не като характеристика на генеративния инструмент.</w:t>
      </w:r>
    </w:p>
    <w:p>
      <w:pPr>
        <w:spacing w:after="120" w:line="360"/>
        <w:ind w:firstLine="1134"/>
        <w:jc w:val="both"/>
      </w:pPr>
      <w:r>
        <w:rPr>
          <w:rFonts w:ascii="Times New Roman" w:cs="Times New Roman" w:eastAsia="Times New Roman" w:hAnsi="Times New Roman"/>
          <w:sz w:val="28"/>
          <w:szCs w:val="28"/>
        </w:rPr>
        <w:t xml:space="preserve">Област О4 — етична и академична коректност — операционализира точка 2.5 в два критерия. К13 „Оригиналност": П24 — характерни пасажи от материала не показват близост до защитени източници при съпоставка; П25 — действително заетите елементи са обозначени. К14 „Етична допустимост": П26 — примерите не приписват роли, способности или поведение по пол, етнос, възраст или произход, когато предметната материя не го налага; П27 — съдържанието е уместно за възрастта и контекста на аудиторията.</w:t>
      </w:r>
    </w:p>
    <w:p>
      <w:pPr>
        <w:spacing w:after="120" w:line="360"/>
        <w:ind w:firstLine="1134"/>
        <w:jc w:val="both"/>
      </w:pPr>
      <w:r>
        <w:rPr>
          <w:rFonts w:ascii="Times New Roman" w:cs="Times New Roman" w:eastAsia="Times New Roman" w:hAnsi="Times New Roman"/>
          <w:sz w:val="28"/>
          <w:szCs w:val="28"/>
        </w:rPr>
        <w:t xml:space="preserve">Формулировката на П25 заслужава уточнение, тъй като изисква проверимост там, където преценката най-лесно се изражда в мнение. Изискване от вида „материалът не съдържа стереотипи и пристрастия" е отрицание без референт: оценяващият няма спрямо какво да го установи и на практика го приема или отхвърля по усет, което противоречи на принципа за проверимост от точка 3.1. Приетата формулировка обвързва показателя с две наблюдаеми неща — изчерпателния списък на срещанията на лица в примерите и предметната материя на темата. Въпросът става установим: налага ли темата точно това приписване на роли и поведение. Доказателството е изброяване на срещанията, а не впечатление от прочита. Когато материалът изобщо не съдържа примери с лица, което при техническото учебно съдържание е обичайно, показателят се отбелязва като неприложим.</w:t>
      </w:r>
    </w:p>
    <w:p>
      <w:pPr>
        <w:spacing w:after="120" w:line="360"/>
        <w:ind w:firstLine="1134"/>
        <w:jc w:val="both"/>
      </w:pPr>
      <w:r>
        <w:rPr>
          <w:rFonts w:ascii="Times New Roman" w:cs="Times New Roman" w:eastAsia="Times New Roman" w:hAnsi="Times New Roman"/>
          <w:sz w:val="28"/>
          <w:szCs w:val="28"/>
        </w:rPr>
        <w:t xml:space="preserve">Област О4 обхваща два критерия, а не три, и причината заслужава изричен довод, тъй като точка 2.5 извежда и трето изискване — прозрачност на произхода на материала. Това изискване не е формулирано като показател по принципно съображение. Оценъчната карта установява свойства на оценявания материал, а генериран текст по никакъв начин не съдържа декларация за собствения си произход: инструментът няма основание да я постави, а жанрът на учебния материал не я предвижда. Твърдение, чиято стойност е предизвестена, независимо какъв материал се оценява, не установява негово свойство и присъствието му сред показателите утежнява оценяването, без да различава материалите помежду им. Прозрачността на произхода е задължение на лицето, което пуска материала в употреба, а не характеристика на генерирания текст, и затова е предписана като задължителна стъпка в процедурата по точка 3.6. Разграничението между свойство на материала и задължение на неговия ползвател е общо правило при построяването на модела: първото се измерва, второто се предписва.</w:t>
      </w:r>
    </w:p>
    <w:p>
      <w:pPr>
        <w:spacing w:after="120" w:line="360"/>
        <w:ind w:firstLine="1134"/>
        <w:jc w:val="both"/>
      </w:pPr>
      <w:r>
        <w:rPr>
          <w:rFonts w:ascii="Times New Roman" w:cs="Times New Roman" w:eastAsia="Times New Roman" w:hAnsi="Times New Roman"/>
          <w:sz w:val="28"/>
          <w:szCs w:val="28"/>
        </w:rPr>
        <w:t xml:space="preserve">Показателят П23 изисква отделно уточнение, произтичащо от езиковото положение на учебното съдържание изобщо. Проверката за близост до защитени източници обичайно се извършва чрез дословно търсене на характерни пасажи, но когато материалът е на език, различен от този, на който е достъпна основната литература по темата, този способ улавя само част от случаите. В много предметни области — и особено в технологичните — литературата е предимно на английски, поради което най-вероятната форма на заемане не е дословното възпроизвеждане, а преводът: изходният текст е предаден на езика на материала, при което дословното съвпадение изчезва, а зависимостта остава. Обстоятелството има и правна страна, тъй като преводът е производно произведение и лицензите, които го допускат, обичайно изискват посочване на източника и указване, че са направени изменения.</w:t>
      </w:r>
    </w:p>
    <w:p>
      <w:pPr>
        <w:spacing w:after="120" w:line="360"/>
        <w:ind w:firstLine="1134"/>
        <w:jc w:val="both"/>
      </w:pPr>
      <w:r>
        <w:rPr>
          <w:rFonts w:ascii="Times New Roman" w:cs="Times New Roman" w:eastAsia="Times New Roman" w:hAnsi="Times New Roman"/>
          <w:sz w:val="28"/>
          <w:szCs w:val="28"/>
        </w:rPr>
        <w:t xml:space="preserve">Проверката на преводното заемане стъпва на едно общо съображение: през превода оцелява онова, което авторът е избрал свободно и което предметната материя не му е наложила. Оттук произтичат и признаците, по които съпоставката се извършва — числените стойности в примерите, подборът на конкретния пример измежду възможните, редът на подтемите и особено пропуснатото от тях, съотношението на обема между частите, а при техническо съдържание и програмният код, който не подлежи на превод и запазва имената на идентификаторите и стойностите непроменени. Най-силният признак е повторената чужда грешка: съвпадение в неточност, която предметната материя не налага, трудно се обяснява с независимо съставяне. Правилото има и обратна половина, без която показателят би бил неприложим: принуденият избор не доказва нищо. Когато предметната материя налага определена форма — минимален пример за употреба на дадена конструкция, стандартна последователност на стъпките в утвърдена процедура, канонична формулировка на определение — авторът не разполага със свобода и всеки коректен текст неизбежно ще прилича на останалите. Затова съпоставката се извършва на два хода: първо се отделя кое в предполагаемото съвпадение е наложено и кое е избрано, и едва след това се сравняват избраните части. Сравнението се води и спрямо каноничния източник на областта, а не спрямо произволна намерена публикация: учебните материали в мрежата в голямата си част са производни на канона, поради което сходството между два такива материала се обяснява по-икономично с общия им произход, отколкото със заемане на единия от другия. Способът има и ясна граница — при съдържание без произволен избор, каквото е формалната дефиниция или нормативният текст, всяко коректно изложение неизбежно прилича на останалите и показателят губи различаваща сила. В такива случаи оценяващият вписва по-ниска увереност с изрично основание, вместо да формулира категорична преценка, която данните не поддържат.</w:t>
      </w:r>
    </w:p>
    <w:p>
      <w:pPr>
        <w:spacing w:after="120" w:line="360"/>
        <w:ind w:firstLine="1134"/>
        <w:jc w:val="both"/>
      </w:pPr>
      <w:r>
        <w:rPr>
          <w:rFonts w:ascii="Times New Roman" w:cs="Times New Roman" w:eastAsia="Times New Roman" w:hAnsi="Times New Roman"/>
          <w:sz w:val="28"/>
          <w:szCs w:val="28"/>
        </w:rPr>
        <w:t>Практическото следствие е съществено за приложимостта на модела. Наличните средства за проверка на оригиналността, използвани в апробирането, не извършват междуезикова съпоставка, а детекторите за генериран текст, чиято ненадеждност беше показана в точка 2.5, изобщо не адресират този въпрос. Преводното заемане е следователно случай, в който машинната проверка не предлага заместител на човешката, а познаването на каноничните източници на предметната област се превръща от удобство в условие за прилагането на показателя. Това е допълнителен довод в полза на приетия в настоящата работа подход, при който моделът е замислен като инструмент в ръцете на преподавател с предметна компетентност.</w:t>
      </w:r>
    </w:p>
    <w:p>
      <w:pPr>
        <w:spacing w:after="120" w:line="360"/>
        <w:ind w:firstLine="1134"/>
        <w:jc w:val="both"/>
      </w:pPr>
      <w:r>
        <w:rPr>
          <w:rFonts w:ascii="Times New Roman" w:cs="Times New Roman" w:eastAsia="Times New Roman" w:hAnsi="Times New Roman"/>
          <w:sz w:val="28"/>
          <w:szCs w:val="28"/>
        </w:rPr>
        <w:t xml:space="preserve">Така дефинираната система съдържа четиринадесет критерия и двадесет и седем проверими твърдения. Дванадесет от критериите имат по два показателя, а К9 и К12 — по един. Асиметрията е съзнателна: разделянето на един въпрос на два само за да излезе кръгло число би влошило инструмента. Терминологичната област поставя две естествено близки изисквания — понятието да бъде въведено и терминът да се употребява еднозначно — но първото е отнесено към П9, тъй като въвеждането на понятия е въпрос на педагогическа последователност, а не на езикова дисциплина. В К9 остава онова, което наистина е езиково: еднозначността на употребата. Така се избягва положение, при което едно и също нарушение попада под два показателя в две различни области и утежнява двойно съответните им нива — изкривяване, което при некомпенсаторно агрегиране се пренася върху крайната категория.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Моделът не е обвързан и с определен език. Нито един показател не съдържа изискване, специфично за конкретна езикова система: областта О3 борави с отношения — съответствие между изказа и аудиторията, еднозначност на употребата, естественост спрямо езика на материала — които се установяват в рамките на съответния език, какъвто и да е той. Апробирането в точка 3.7 прилага модела върху материали на български, но това е негова инстанция, а не негово ограничение; същите показатели се прилагат без изменение върху материал на който и да е език, като се променя единствено референтът — езикът на материала и достъпната по темата литература. Показателите са формулирани еднакво и за трите вида съдържание от обхвата на апробирането, като конкретното им тълкуване се съобразява с вида: при тестови въпроси например П12 се прилага върху обясненията към отговорите, а 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8"/>
          <w:szCs w:val="28"/>
        </w:rPr>
        <w:t xml:space="preserve">3.4. Скала за оценка и нива на качество</w:t>
      </w:r>
    </w:p>
    <w:p>
      <w:pPr>
        <w:spacing w:after="120" w:line="360"/>
        <w:ind w:firstLine="1134"/>
        <w:jc w:val="both"/>
      </w:pPr>
      <w:r>
        <w:rPr>
          <w:rFonts w:ascii="Times New Roman" w:cs="Times New Roman" w:eastAsia="Times New Roman" w:hAnsi="Times New Roman"/>
          <w:sz w:val="28"/>
          <w:szCs w:val="28"/>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Към двете основания за оценка „не" — систематичност и критичност — се добавя и трето, изведено от предназначението на показателите. Когато отделните некритични нарушения по един показател са толкова на брой, че обучаемият от целевата аудитория не може да прецени кои твърдения да приеме и кои да провери самостоятелно, показателят се оценява с „не", независимо че нито едно нарушение поотделно не е критично. Основанието е функционално: учебният материал служи като източник, на който обучаемият разчита, и загубата на тази надеждност е дефект на цялото, а не сбор от дребни дефекти на отделните му части. Правилото има значение именно при генерираното съдържание, чието типично разпределение на дефицитите не е едрата грешка, а множеството дребни неточности в иначе плавно и уверено изложение — разпределение, при което оценка, чувствителна само към единичната тежест, би пропуснала най-характерния риск.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1134"/>
        <w:jc w:val="both"/>
      </w:pPr>
      <w:r>
        <w:rPr>
          <w:rFonts w:ascii="Times New Roman" w:cs="Times New Roman" w:eastAsia="Times New Roman" w:hAnsi="Times New Roman"/>
          <w:sz w:val="28"/>
          <w:szCs w:val="28"/>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по същината на изучаваното понятие, което обучаемият ще усвои и приложи; неработещ пример, представен като работещ; инструкция, водеща до грешка; неетичен или подвеждащ елемент; скрито заемане на защитен текст. Разграничението спрямо съществения, но некритичен дефект минава по последиците за обучаемия, а не по вида на нарушението. Неточна формулировка, непълно или неприцелно изброяване и неудачна аналогия, които не пораждат погрешно разбиране на понятието и се отстраняват с редакция на едно-две изречения, утежняват оценката по съответния показател, но не свеждат областта до нулево ниво. Без това разграничение всяка единична неточност би обявявала материала за негоден, скалата би престанала да различава материалите помежду им и би загубила диагностичното си предназначение — да сочи какво да се поправи, а не само да отсъжда.</w:t>
      </w:r>
    </w:p>
    <w:p>
      <w:pPr>
        <w:spacing w:after="120" w:line="360"/>
        <w:ind w:firstLine="1134"/>
        <w:jc w:val="both"/>
      </w:pPr>
      <w:r>
        <w:rPr>
          <w:rFonts w:ascii="Times New Roman" w:cs="Times New Roman" w:eastAsia="Times New Roman" w:hAnsi="Times New Roman"/>
          <w:sz w:val="28"/>
          <w:szCs w:val="28"/>
        </w:rPr>
        <w:t xml:space="preserve">Прагът на допустимост е ниво 2 във всяка от четирите области. Крайното равнище на материала се определя некомпенсаторно: то е най-ниското от четирите областни равнища и носи същото наименование. Материал, чиято най-слаба област е на ниво 1, е „изисква съществена преработка", независимо че останалите три може да са на ниво 3. Отделна обобщителна скала — азбучна или числова — не се въвежда съзнателно: тя би преименувала вече налична стойност, би удвоила една и съща информация под друго име и би отдалечила крайния резултат с още една стъпка от доказателствата, върху които почива. Правилото прави невъзможно точно това, което средното аритметично би позволило — материал с отличен език и невярна фактология да мине за приемлив. В такъв случай крайното равнище е равнището на съдържателната област, а профилът по области показва еднозначно защо.</w:t>
      </w:r>
    </w:p>
    <w:p>
      <w:pPr>
        <w:spacing w:after="120" w:line="360"/>
        <w:ind w:firstLine="1134"/>
        <w:jc w:val="both"/>
      </w:pPr>
      <w:r>
        <w:rPr>
          <w:rFonts w:ascii="Times New Roman" w:cs="Times New Roman" w:eastAsia="Times New Roman" w:hAnsi="Times New Roman"/>
          <w:sz w:val="28"/>
          <w:szCs w:val="28"/>
        </w:rPr>
        <w:t>За еднозначност двете правила се формулират и формално, като изрично се разграничават по смисъл. Нека О1, О2, О3 и О4 са областните оценки на материала по скалата от 0 до 3. Правило 1 (допустимост): материалът е допустим за използване тогава и само тогава, когато Оi ≥ 2 за всяка от четирите области. Правило 2 (крайно равнище): Р = min(О1, О2, О3, О4). Първото правило отговаря на въпроса дали материалът може да се използва; второто — колко добър е; при така избраната скала двете са съгласувани, тъй като допустими са точно материалите с Р, по-голямо или равно на две. Критериите, скалата и праговете са окончателно фиксирани преди началото на оценяването в точка 3.7 и не са променяни според получените резултати — условие за честността на апробирането.</w:t>
      </w:r>
    </w:p>
    <w:p>
      <w:pPr>
        <w:spacing w:after="120" w:line="360"/>
        <w:ind w:firstLine="1134"/>
        <w:jc w:val="both"/>
      </w:pPr>
      <w:r>
        <w:rPr>
          <w:rFonts w:ascii="Times New Roman" w:cs="Times New Roman" w:eastAsia="Times New Roman" w:hAnsi="Times New Roman"/>
          <w:sz w:val="28"/>
          <w:szCs w:val="28"/>
        </w:rPr>
        <w:t xml:space="preserve">Правилата за интерпретация затварят скалата. Резултатът се чете диагностично, а не само класификационно: при крайни равнища 2 и 1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8"/>
          <w:szCs w:val="28"/>
        </w:rPr>
        <w:t xml:space="preserve">3.5. Оценъчна матрица/карта за приложение на модела</w:t>
      </w:r>
    </w:p>
    <w:p>
      <w:pPr>
        <w:spacing w:after="120" w:line="360"/>
        <w:ind w:firstLine="1134"/>
        <w:jc w:val="both"/>
      </w:pPr>
      <w:r>
        <w:rPr>
          <w:rFonts w:ascii="Times New Roman" w:cs="Times New Roman" w:eastAsia="Times New Roman" w:hAnsi="Times New Roman"/>
          <w:sz w:val="28"/>
          <w:szCs w:val="28"/>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аудитория и заявен обем, референтен източник и дата на справката с него, среда за изпълнение на примерите,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 Всяко от полетата обслужва конкретен показател: заявеният в заявката обем — заедно с правилото за броене и допуска по точка 3.3 — е референтът на П14, а референтният източник и датата на справката — на двата показателя за актуалност П3 и П4. Декларираната среда за изпълнение обслужва П2: без записана версия на средата твърдението, че даден пример работи или не работи, е непроверимо от втори оценител, а при бързо развиващи се технологии — и неповторимо след няколко месеца. Показател без деклариран референт не се оценява, а се отбелязва като неприложим с основание.</w:t>
      </w:r>
    </w:p>
    <w:p>
      <w:pPr>
        <w:spacing w:after="120" w:line="360"/>
        <w:ind w:firstLine="1134"/>
        <w:jc w:val="both"/>
      </w:pPr>
      <w:r>
        <w:rPr>
          <w:rFonts w:ascii="Times New Roman" w:cs="Times New Roman" w:eastAsia="Times New Roman" w:hAnsi="Times New Roman"/>
          <w:sz w:val="28"/>
          <w:szCs w:val="28"/>
        </w:rPr>
        <w:t>Тялото на картата съдържа двадесет и седемте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крайното равнище по правилата от точка 3.4 и списък на препоръчаните корекции, подреден по тежест.</w:t>
      </w:r>
    </w:p>
    <w:p>
      <w:pPr>
        <w:spacing w:after="120" w:line="360"/>
        <w:ind w:firstLine="1134"/>
        <w:jc w:val="both"/>
      </w:pPr>
      <w:r>
        <w:rPr>
          <w:rFonts w:ascii="Times New Roman" w:cs="Times New Roman" w:eastAsia="Times New Roman" w:hAnsi="Times New Roman"/>
          <w:sz w:val="28"/>
          <w:szCs w:val="28"/>
        </w:rPr>
        <w:t xml:space="preserve">Таблица 4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4.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и решените задачи,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Всяко ключово понятие е въведено преди първата си употреба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на материала съответства на заявения в заявката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Избраните термини са смислово точни и разпознаваеми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разделянето на части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Нетекстовото съдържание има текстов еквивалент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Структурата е изразена семантично и материалът е навигируем</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извън средата, в която е създаден</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не приписват роли, способности или поведение по пол, етнос, възраст или произход, когато предметната материя не го налага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1134"/>
        <w:jc w:val="both"/>
      </w:pPr>
      <w:r>
        <w:rPr>
          <w:rFonts w:ascii="Times New Roman" w:cs="Times New Roman" w:eastAsia="Times New Roman" w:hAnsi="Times New Roman"/>
          <w:sz w:val="28"/>
          <w:szCs w:val="28"/>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най-високото равнище.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8"/>
          <w:szCs w:val="28"/>
        </w:rPr>
        <w:t xml:space="preserve">3.6. Процедура за верифициране на съдържание, разработено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осем.</w:t>
      </w:r>
    </w:p>
    <w:p>
      <w:pPr>
        <w:spacing w:after="120" w:line="360"/>
        <w:ind w:firstLine="1134"/>
        <w:jc w:val="both"/>
      </w:pPr>
      <w:r>
        <w:rPr>
          <w:rFonts w:ascii="Times New Roman" w:cs="Times New Roman" w:eastAsia="Times New Roman" w:hAnsi="Times New Roman"/>
          <w:sz w:val="28"/>
          <w:szCs w:val="28"/>
        </w:rPr>
        <w:t>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аудитория и заявен обем, както и референтният източник за актуалност с датата на справката с него и средата, в която ще бъдат изпълнени примерите, с точните ѝ версии.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1134"/>
        <w:jc w:val="both"/>
      </w:pPr>
      <w:r>
        <w:rPr>
          <w:rFonts w:ascii="Times New Roman" w:cs="Times New Roman" w:eastAsia="Times New Roman" w:hAnsi="Times New Roman"/>
          <w:sz w:val="28"/>
          <w:szCs w:val="28"/>
        </w:rPr>
        <w:t>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 включително проверка за преводно заемане по признаците от точка 3.3, когато вероятният изходник е на друг език, проверка дали действително заетите елементи са обозначени и преглед на примерите с лица за приписвания, които предметната материя не налага.</w:t>
      </w:r>
    </w:p>
    <w:p>
      <w:pPr>
        <w:spacing w:after="120" w:line="360"/>
        <w:ind w:firstLine="1134"/>
        <w:jc w:val="both"/>
      </w:pPr>
      <w:r>
        <w:rPr>
          <w:rFonts w:ascii="Times New Roman" w:cs="Times New Roman" w:eastAsia="Times New Roman" w:hAnsi="Times New Roman"/>
          <w:sz w:val="28"/>
          <w:szCs w:val="28"/>
        </w:rPr>
        <w:t xml:space="preserve">Стъпка 5 — обобщение. По правилата от точка 3.4 се извеждат четирите областни нива и крайното равнище,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Крайно равнище 3 означава използване без изменения. Равнище 2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Равнища 1 и 0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1134"/>
        <w:jc w:val="both"/>
      </w:pPr>
      <w:r>
        <w:rPr>
          <w:rFonts w:ascii="Times New Roman" w:cs="Times New Roman" w:eastAsia="Times New Roman" w:hAnsi="Times New Roman"/>
          <w:sz w:val="28"/>
          <w:szCs w:val="28"/>
        </w:rPr>
        <w:t xml:space="preserve">Стъпка 7 — деклариране на произхода. Материал, който се пуска в употреба, задължително се придружава от декларация за използвания генеративен инструмент и от запис на процеса на създаване: инструмент, версия, режим на работа, дата, използвана заявка и дали след генерирането е извършена редакция. Изискването е процедурно, а не оценъчно, и това разграничение е принципно. Точка 2.5 установява, че академичната почтеност при генерирано съдържание не може да бъде проверена в готовия текст, защото автоматичните детектори не са достатъчно надеждни, а при езиците с ограничено присъствие в обучителните им данни са и по-неточни. Проверимо остава едно — записът на процеса. Той обаче не е свойство на материала, а действие на лицето, което го предоставя на обучаемите, и затова се предписва като задължителна стъпка, а не като показател в оценъчната карта. Стъпката е и практическото основание на препоръката към заявката, формулирана в точка 3.9.</w:t>
      </w:r>
    </w:p>
    <w:p>
      <w:pPr>
        <w:spacing w:after="120" w:line="360"/>
        <w:ind w:firstLine="1134"/>
        <w:jc w:val="both"/>
      </w:pPr>
      <w:r>
        <w:rPr>
          <w:rFonts w:ascii="Times New Roman" w:cs="Times New Roman" w:eastAsia="Times New Roman" w:hAnsi="Times New Roman"/>
          <w:sz w:val="28"/>
          <w:szCs w:val="28"/>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8"/>
          <w:szCs w:val="28"/>
        </w:rPr>
        <w:t xml:space="preserve">3.7. Апробиране на модела върху избрани електронни учебни материали</w:t>
      </w:r>
    </w:p>
    <w:p>
      <w:pPr>
        <w:spacing w:after="120" w:line="360"/>
        <w:ind w:firstLine="1134"/>
        <w:jc w:val="both"/>
      </w:pPr>
      <w:r>
        <w:rPr>
          <w:rFonts w:ascii="Times New Roman" w:cs="Times New Roman" w:eastAsia="Times New Roman" w:hAnsi="Times New Roman"/>
          <w:sz w:val="28"/>
          <w:szCs w:val="28"/>
        </w:rPr>
        <w:t>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 документираните български данни показват двукратно до петкратно по-висок дял материали, изискващи езикова редакция, спрямо генерираните на английски [2].</w:t>
      </w:r>
    </w:p>
    <w:p>
      <w:pPr>
        <w:spacing w:after="120" w:line="360"/>
        <w:ind w:firstLine="1134"/>
        <w:jc w:val="both"/>
      </w:pPr>
      <w:r>
        <w:rPr>
          <w:rFonts w:ascii="Times New Roman" w:cs="Times New Roman" w:eastAsia="Times New Roman" w:hAnsi="Times New Roman"/>
          <w:sz w:val="28"/>
          <w:szCs w:val="28"/>
        </w:rPr>
        <w:t>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пълната заявка; зададената аудитория, учебните цели и целевият обем се съдържат в самата заявка, а броят на последващите взаимодействия (нула за всички материали) и отсъствието на редакция са отразени в протокола. Оценяването се извършва върху оригинално генерирания материал, преди каквато и да е авторска редакция. Материалите са снети от уеб интерфейса на съответния инструмент и записани като текстови файлове — начинът, по който би постъпил и преподавател без специализирана подготовка. Този начин на снемане има документирано следствие, отчетено при оценяването: съдържание, което инструментът представя като интерактивен обект в собствения си интерфейс, не се пренася в текстовия запис и на негово място остава празно място. Обстоятелството не е недостатък на записа, а свойство на канала, и е точно това, което показателят П23 установява; при генериране през приложно-програмен интерфейс или команден ред изходът е самостоятелен документ и такава загуба не настъпва. Каналът на генериране е вписан в заглавната част на всяка оценъчна карта, за да може резултатът по П23 да бъде отнесен към условията, при които е получен.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1134"/>
        <w:jc w:val="both"/>
      </w:pPr>
      <w:r>
        <w:rPr>
          <w:rFonts w:ascii="Times New Roman" w:cs="Times New Roman" w:eastAsia="Times New Roman" w:hAnsi="Times New Roman"/>
          <w:sz w:val="28"/>
          <w:szCs w:val="28"/>
        </w:rPr>
        <w:t>Изборът на бързо развиваща се предметна област налага изрично уреждане на въпроса за актуалността, тъй като без него показателите от област О1 остават неприложими. За еталон при проверката е приета официалната документация на рамката към датата на оценяването, а не към датата на генериране на материалите; референтната версия и датата на справката се вписват в заглавната част на всяка оценъчна карта. Обстоятелството е особено благоприятно за целите на апробирането: към момента на генериране на материалите основното издание Angular 22 е публикувано само няколко седмици по-рано [50], тоест почти сигурно е извън обучителните данни и на двата използвани инструмента. Апробирането следователно се провежда в условия, при които разминаването между знанията на моделите и актуалното състояние на областта е максимално вероятно — обстоятелство, което увеличава диагностичната стойност на проверката по показателите за актуалност, но същевременно ограничава пренасянето на резултатите върху по-стабилни предметни области.</w:t>
      </w:r>
    </w:p>
    <w:p>
      <w:pPr>
        <w:spacing w:after="120" w:line="360"/>
        <w:ind w:firstLine="1134"/>
        <w:jc w:val="both"/>
      </w:pPr>
      <w:r>
        <w:rPr>
          <w:rFonts w:ascii="Times New Roman" w:cs="Times New Roman" w:eastAsia="Times New Roman" w:hAnsi="Times New Roman"/>
          <w:sz w:val="28"/>
          <w:szCs w:val="28"/>
        </w:rPr>
        <w:t xml:space="preserve">Тъй като отпадналите програмни конструкции обикновено остават работоспособни през периода на отпадане, проверката по показателя за актуалност не се изчерпва с изпълнение на генерирания код. Приетата процедура включва две отделни действия: изпълнение на примерите в среда с референтната версия — което улавя нефункциониращ код — и съпоставка на използваните конструкции и препоръчани практики с актуалната документация, която улавя работещия, но остарял код. Разграничението е съществено, тъй като двата типа дефект се отнасят към различни показатели: първият към коректността на примерите, вторият към актуалността на съдържанието.</w:t>
      </w:r>
    </w:p>
    <w:p>
      <w:pPr>
        <w:spacing w:after="120" w:line="360"/>
        <w:ind w:firstLine="1134"/>
        <w:jc w:val="both"/>
      </w:pPr>
      <w:r>
        <w:rPr>
          <w:rFonts w:ascii="Times New Roman" w:cs="Times New Roman" w:eastAsia="Times New Roman" w:hAnsi="Times New Roman"/>
          <w:sz w:val="28"/>
          <w:szCs w:val="28"/>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седемте показателя, доказателства за всяка констатация, областни нива, крайно равнище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Тъй като при избрания дизайн оценяването се извършва от един експерт, а моделът изисква предметна компетентност, основанията за нея се декларират изрично. Критериите, показателите, скалата и праговете, включително допускът по П14, са фиксирани преди началото на оценяването и не са променяни в хода му. Материалите са генерирани преди оценяването и не са редактирани след това.</w:t>
      </w:r>
    </w:p>
    <w:p>
      <w:pPr>
        <w:spacing w:after="120" w:line="360"/>
        <w:ind w:firstLine="1134"/>
        <w:jc w:val="both"/>
      </w:pPr>
      <w:r>
        <w:rPr>
          <w:rFonts w:ascii="Times New Roman" w:cs="Times New Roman" w:eastAsia="Times New Roman" w:hAnsi="Times New Roman"/>
          <w:sz w:val="28"/>
          <w:szCs w:val="28"/>
        </w:rPr>
        <w:t xml:space="preserve">Компетентността на оценителя се основава на четири обстоятелства. Първо, професионален опит в разработката на уеб приложения с продължителност над десет години, от които осем — непосредствена работа с рамката Angular. Този период обхваща множество основни издания на рамката, включително миграции между тях, което е пряко относимо към проверката по показателите за актуалност: тя изисква познаване не само на текущото състояние, но и на това кои конструкции са отпаднали и в кое издание. Второ, професионална практика в прегледа на програмен код — дейност, която по същността си представлява систематично оценяване на чужд текст срещу предварително приети критерии и която формира именно уменията, необходими при прилагането на оценъчна карта: разграничаване на съществено от несъществено, обосноваване на всяка констатация с конкретно място в текста и формулиране на препоръка за преработка. Трето, опит в обучението и наставничеството на по-млади специалисти, който осигурява необходимия за дидактическите показатели поглед върху типичните затруднения на начинаещите в тази предметна област. Четвърто, висше образование в професионално направление „Информатика и компютърни науки“ и активна професионална работа с генеративни инструменти, което позволява реалистична преценка на техните възможности и ограничения.</w:t>
      </w:r>
    </w:p>
    <w:p>
      <w:pPr>
        <w:spacing w:after="120" w:line="360"/>
        <w:ind w:firstLine="1134"/>
        <w:jc w:val="both"/>
      </w:pPr>
      <w:r>
        <w:rPr>
          <w:rFonts w:ascii="Times New Roman" w:cs="Times New Roman" w:eastAsia="Times New Roman" w:hAnsi="Times New Roman"/>
          <w:sz w:val="28"/>
          <w:szCs w:val="28"/>
        </w:rPr>
        <w:t xml:space="preserve">Декларирането на компетентността налага и уточняване на нейните граници. Предметната и технологичната експертиза на оценителя обхваща съдържателната и техническата проверка на материалите — верността на твърденията, работоспособността и актуалността на примерите, уместността на терминологията. Педагогическата преценка при показателите от област О2 се опира на подготовката в рамките на настоящата магистърска програма и на опита в обучение на специалисти, но не на професионална преподавателска квалификация. Това обстоятелство се отчита като ограничение на апробирането наред с останалите и е допълнителен довод в полза на бъдеща проверка на междуоценителската съгласуваност с участието на действащ преподавател.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1134"/>
        <w:jc w:val="both"/>
      </w:pPr>
      <w:r>
        <w:rPr>
          <w:rFonts w:ascii="Times New Roman" w:cs="Times New Roman" w:eastAsia="Times New Roman" w:hAnsi="Times New Roman"/>
          <w:sz w:val="28"/>
          <w:szCs w:val="28"/>
        </w:rPr>
        <w:t>[Резултатите от оценяването на шестте материала — обобщена таблица на областните нива и крайните равнища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ИЗПОЛЗВАНА ЛИТЕРАТУРА</w:t>
      </w:r>
    </w:p>
    <w:p>
      <w:pPr>
        <w:spacing w:after="120" w:line="300"/>
        <w:ind w:left="1134" w:hanging="1134"/>
        <w:jc w:val="left"/>
      </w:pPr>
      <w:r>
        <w:rPr>
          <w:rFonts w:ascii="Times New Roman" w:cs="Times New Roman" w:eastAsia="Times New Roman" w:hAnsi="Times New Roman"/>
          <w:sz w:val="28"/>
          <w:szCs w:val="28"/>
        </w:rPr>
        <w:t>[1]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1134" w:hanging="1134"/>
        <w:jc w:val="left"/>
      </w:pPr>
      <w:r>
        <w:rPr>
          <w:rFonts w:ascii="Times New Roman" w:cs="Times New Roman" w:eastAsia="Times New Roman" w:hAnsi="Times New Roman"/>
          <w:sz w:val="28"/>
          <w:szCs w:val="28"/>
        </w:rPr>
        <w:t>[2]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1134" w:hanging="1134"/>
        <w:jc w:val="left"/>
      </w:pPr>
      <w:r>
        <w:rPr>
          <w:rFonts w:ascii="Times New Roman" w:cs="Times New Roman" w:eastAsia="Times New Roman" w:hAnsi="Times New Roman"/>
          <w:sz w:val="28"/>
          <w:szCs w:val="28"/>
        </w:rPr>
        <w:t>[3]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1134" w:hanging="1134"/>
        <w:jc w:val="left"/>
      </w:pPr>
      <w:r>
        <w:rPr>
          <w:rFonts w:ascii="Times New Roman" w:cs="Times New Roman" w:eastAsia="Times New Roman" w:hAnsi="Times New Roman"/>
          <w:sz w:val="28"/>
          <w:szCs w:val="28"/>
        </w:rPr>
        <w:t>[4]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1134" w:hanging="1134"/>
        <w:jc w:val="left"/>
      </w:pPr>
      <w:r>
        <w:rPr>
          <w:rFonts w:ascii="Times New Roman" w:cs="Times New Roman" w:eastAsia="Times New Roman" w:hAnsi="Times New Roman"/>
          <w:sz w:val="28"/>
          <w:szCs w:val="28"/>
        </w:rPr>
        <w:t>[5]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1134" w:hanging="1134"/>
        <w:jc w:val="left"/>
      </w:pPr>
      <w:r>
        <w:rPr>
          <w:rFonts w:ascii="Times New Roman" w:cs="Times New Roman" w:eastAsia="Times New Roman" w:hAnsi="Times New Roman"/>
          <w:sz w:val="28"/>
          <w:szCs w:val="28"/>
        </w:rPr>
        <w:t>[6]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1134" w:hanging="1134"/>
        <w:jc w:val="left"/>
      </w:pPr>
      <w:r>
        <w:rPr>
          <w:rFonts w:ascii="Times New Roman" w:cs="Times New Roman" w:eastAsia="Times New Roman" w:hAnsi="Times New Roman"/>
          <w:sz w:val="28"/>
          <w:szCs w:val="28"/>
        </w:rPr>
        <w:t>[7]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1134" w:hanging="1134"/>
        <w:jc w:val="left"/>
      </w:pPr>
      <w:r>
        <w:rPr>
          <w:rFonts w:ascii="Times New Roman" w:cs="Times New Roman" w:eastAsia="Times New Roman" w:hAnsi="Times New Roman"/>
          <w:sz w:val="28"/>
          <w:szCs w:val="28"/>
        </w:rPr>
        <w:t>[8]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1134" w:hanging="1134"/>
        <w:jc w:val="left"/>
      </w:pPr>
      <w:r>
        <w:rPr>
          <w:rFonts w:ascii="Times New Roman" w:cs="Times New Roman" w:eastAsia="Times New Roman" w:hAnsi="Times New Roman"/>
          <w:sz w:val="28"/>
          <w:szCs w:val="28"/>
        </w:rPr>
        <w:t>[9]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1134" w:hanging="1134"/>
        <w:jc w:val="left"/>
      </w:pPr>
      <w:r>
        <w:rPr>
          <w:rFonts w:ascii="Times New Roman" w:cs="Times New Roman" w:eastAsia="Times New Roman" w:hAnsi="Times New Roman"/>
          <w:sz w:val="28"/>
          <w:szCs w:val="28"/>
        </w:rPr>
        <w:t>[10] A. S. Doğruöz et al., "Challenges and recommendations for LLMs-as-a-judge in multilingual settings and low-resource languages," 2026, arXiv:2607.02235.</w:t>
      </w:r>
    </w:p>
    <w:p>
      <w:pPr>
        <w:spacing w:after="120" w:line="300"/>
        <w:ind w:left="1134" w:hanging="1134"/>
        <w:jc w:val="left"/>
      </w:pPr>
      <w:r>
        <w:rPr>
          <w:rFonts w:ascii="Times New Roman" w:cs="Times New Roman" w:eastAsia="Times New Roman" w:hAnsi="Times New Roman"/>
          <w:sz w:val="28"/>
          <w:szCs w:val="28"/>
        </w:rPr>
        <w:t>[11] A. Sangrà, D. Vlachopoulos, and N. Cabrera, "Building an inclusive definition of e-learning: An approach to the conceptual framework," The International Review of Research in Open and Distributed Learning, vol. 13, no. 2, pp. 145–159, 2012, doi: 10.19173/irrodl.v13i2.1161.</w:t>
      </w:r>
    </w:p>
    <w:p>
      <w:pPr>
        <w:spacing w:after="120" w:line="300"/>
        <w:ind w:left="1134" w:hanging="1134"/>
        <w:jc w:val="left"/>
      </w:pPr>
      <w:r>
        <w:rPr>
          <w:rFonts w:ascii="Times New Roman" w:cs="Times New Roman" w:eastAsia="Times New Roman" w:hAnsi="Times New Roman"/>
          <w:sz w:val="28"/>
          <w:szCs w:val="28"/>
        </w:rPr>
        <w:t>[12] C. Redecker, European Framework for the Digital Competence of Educators: DigCompEdu, Y. Punie, Ed. Luxembourg: Publications Office of the European Union, 2017, JRC107466.</w:t>
      </w:r>
    </w:p>
    <w:p>
      <w:pPr>
        <w:spacing w:after="120" w:line="300"/>
        <w:ind w:left="1134" w:hanging="1134"/>
        <w:jc w:val="left"/>
      </w:pPr>
      <w:r>
        <w:rPr>
          <w:rFonts w:ascii="Times New Roman" w:cs="Times New Roman" w:eastAsia="Times New Roman" w:hAnsi="Times New Roman"/>
          <w:sz w:val="28"/>
          <w:szCs w:val="28"/>
        </w:rPr>
        <w:t>[13] D. Li et al., "From generation to judgment: Opportunities and challenges of LLM-as-a-judge," in Proc. 2025 Conference on Empirical Methods in Natural Language Processing (EMNLP), 2025, pp. 2757–2791, doi: 10.18653/v1/2025.emnlp-main.138.</w:t>
      </w:r>
    </w:p>
    <w:p>
      <w:pPr>
        <w:spacing w:after="120" w:line="300"/>
        <w:ind w:left="1134" w:hanging="1134"/>
        <w:jc w:val="left"/>
      </w:pPr>
      <w:r>
        <w:rPr>
          <w:rFonts w:ascii="Times New Roman" w:cs="Times New Roman" w:eastAsia="Times New Roman" w:hAnsi="Times New Roman"/>
          <w:sz w:val="28"/>
          <w:szCs w:val="28"/>
        </w:rPr>
        <w:t>[14] D. S. Chai, H. S. Kim, K. N. Kim, Y. Ha, S. S. H. Shin, and S. W. Yoon, "Generative artificial intelligence in instructional system design," Human Resource Development Review, vol. 24, no. 4, pp. 388–417, 2025, doi: 10.1177/15344843251320256.</w:t>
      </w:r>
    </w:p>
    <w:p>
      <w:pPr>
        <w:spacing w:after="120" w:line="300"/>
        <w:ind w:left="1134" w:hanging="1134"/>
        <w:jc w:val="left"/>
      </w:pPr>
      <w:r>
        <w:rPr>
          <w:rFonts w:ascii="Times New Roman" w:cs="Times New Roman" w:eastAsia="Times New Roman" w:hAnsi="Times New Roman"/>
          <w:sz w:val="28"/>
          <w:szCs w:val="28"/>
        </w:rPr>
        <w:t>[15] E. Dickey and A. Bejarano, "GAIDE: A framework for using generative AI to assist in course content development," in Proc. 2024 IEEE Frontiers in Education Conference (FIE), 2024, pp. 1–9, doi: 10.1109/FIE61694.2024.10893132.</w:t>
      </w:r>
    </w:p>
    <w:p>
      <w:pPr>
        <w:spacing w:after="120" w:line="300"/>
        <w:ind w:left="1134" w:hanging="1134"/>
        <w:jc w:val="left"/>
      </w:pPr>
      <w:r>
        <w:rPr>
          <w:rFonts w:ascii="Times New Roman" w:cs="Times New Roman" w:eastAsia="Times New Roman" w:hAnsi="Times New Roman"/>
          <w:sz w:val="28"/>
          <w:szCs w:val="28"/>
        </w:rPr>
        <w:t>[16] E. Kasneci et al., "ChatGPT for good? On opportunities and challenges of large language models for education," Learning and Individual Differences, vol. 103, Art. no. 102274, 2023, doi: 10.1016/j.lindif.2023.102274.</w:t>
      </w:r>
    </w:p>
    <w:p>
      <w:pPr>
        <w:spacing w:after="120" w:line="300"/>
        <w:ind w:left="1134" w:hanging="1134"/>
        <w:jc w:val="left"/>
      </w:pPr>
      <w:r>
        <w:rPr>
          <w:rFonts w:ascii="Times New Roman" w:cs="Times New Roman" w:eastAsia="Times New Roman" w:hAnsi="Times New Roman"/>
          <w:sz w:val="28"/>
          <w:szCs w:val="28"/>
        </w:rPr>
        <w:t>[17] E. Staneviciene and G. Žekienė, "The use of multimedia in the teaching and learning process of higher education: A systematic review," Sustainability, vol. 17, no. 19, Art. no. 8859, 2025, doi: 10.3390/su17198859.</w:t>
      </w:r>
    </w:p>
    <w:p>
      <w:pPr>
        <w:spacing w:after="120" w:line="300"/>
        <w:ind w:left="1134" w:hanging="1134"/>
        <w:jc w:val="left"/>
      </w:pPr>
      <w:r>
        <w:rPr>
          <w:rFonts w:ascii="Times New Roman" w:cs="Times New Roman" w:eastAsia="Times New Roman" w:hAnsi="Times New Roman"/>
          <w:sz w:val="28"/>
          <w:szCs w:val="28"/>
        </w:rPr>
        <w:t>[18] F. Miao and W. Holmes, Guidance for Generative AI in Education and Research. Paris, France: UNESCO, 2023. [Online]. Available: https://www.unesco.org/en/articles/guidance-generative-ai-education-and-research</w:t>
      </w:r>
    </w:p>
    <w:p>
      <w:pPr>
        <w:spacing w:after="120" w:line="300"/>
        <w:ind w:left="1134" w:hanging="1134"/>
        <w:jc w:val="left"/>
      </w:pPr>
      <w:r>
        <w:rPr>
          <w:rFonts w:ascii="Times New Roman" w:cs="Times New Roman" w:eastAsia="Times New Roman" w:hAnsi="Times New Roman"/>
          <w:sz w:val="28"/>
          <w:szCs w:val="28"/>
        </w:rPr>
        <w:t>[19]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1134" w:hanging="1134"/>
        <w:jc w:val="left"/>
      </w:pPr>
      <w:r>
        <w:rPr>
          <w:rFonts w:ascii="Times New Roman" w:cs="Times New Roman" w:eastAsia="Times New Roman" w:hAnsi="Times New Roman"/>
          <w:sz w:val="28"/>
          <w:szCs w:val="28"/>
        </w:rPr>
        <w:t>[20] G. W. Choi and J. Y. Seo, "Accessibility, usability, and universal design for learning: Discussion of three key LX/UX elements for inclusive learning design," TechTrends, vol. 68, no. 5, pp. 936–945, 2024, doi: 10.1007/s11528-024-00987-6.</w:t>
      </w:r>
    </w:p>
    <w:p>
      <w:pPr>
        <w:spacing w:after="120" w:line="300"/>
        <w:ind w:left="1134" w:hanging="1134"/>
        <w:jc w:val="left"/>
      </w:pPr>
      <w:r>
        <w:rPr>
          <w:rFonts w:ascii="Times New Roman" w:cs="Times New Roman" w:eastAsia="Times New Roman" w:hAnsi="Times New Roman"/>
          <w:sz w:val="28"/>
          <w:szCs w:val="28"/>
        </w:rPr>
        <w:t>[21] G. W. Choi, S. H. Kim, D. Lee, and J. Moon, "Utilizing generative AI for instructional design: Exploring strengths, weaknesses, opportunities, and threats," TechTrends, vol. 68, no. 4, pp. 832–844, 2024, doi: 10.1007/s11528-024-00967-w.</w:t>
      </w:r>
    </w:p>
    <w:p>
      <w:pPr>
        <w:spacing w:after="120" w:line="300"/>
        <w:ind w:left="1134" w:hanging="1134"/>
        <w:jc w:val="left"/>
      </w:pPr>
      <w:r>
        <w:rPr>
          <w:rFonts w:ascii="Times New Roman" w:cs="Times New Roman" w:eastAsia="Times New Roman" w:hAnsi="Times New Roman"/>
          <w:sz w:val="28"/>
          <w:szCs w:val="28"/>
        </w:rPr>
        <w:t>[22] H. Wu, Z. Wang, and X. Wen, "Examining interactive AI-supported learning environments: The mediating role of AI metacognition and the moderating role of cognitive flexibility," Acta Psychologica, vol. 266, Art. no. 106874, 2026.</w:t>
      </w:r>
    </w:p>
    <w:p>
      <w:pPr>
        <w:spacing w:after="120" w:line="300"/>
        <w:ind w:left="1134" w:hanging="1134"/>
        <w:jc w:val="left"/>
      </w:pPr>
      <w:r>
        <w:rPr>
          <w:rFonts w:ascii="Times New Roman" w:cs="Times New Roman" w:eastAsia="Times New Roman" w:hAnsi="Times New Roman"/>
          <w:sz w:val="28"/>
          <w:szCs w:val="28"/>
        </w:rPr>
        <w:t>[23] H. Yao, W. Xu, J. Turnau, N. Kellam, and H. Wei, "Instructional agents: Reducing teaching faculty workload through multi-agent instructional design," in Proc. EACL 2026, vol. 1, 2026, pp. 4087–4109, doi: 10.18653/v1/2026.eacl-long.191.</w:t>
      </w:r>
    </w:p>
    <w:p>
      <w:pPr>
        <w:spacing w:after="120" w:line="300"/>
        <w:ind w:left="1134" w:hanging="1134"/>
        <w:jc w:val="left"/>
      </w:pPr>
      <w:r>
        <w:rPr>
          <w:rFonts w:ascii="Times New Roman" w:cs="Times New Roman" w:eastAsia="Times New Roman" w:hAnsi="Times New Roman"/>
          <w:sz w:val="28"/>
          <w:szCs w:val="28"/>
        </w:rPr>
        <w:t>[24] H. Zhang, S. Wang, T.-H. Chen, Y. Zou, and A. E. Hassan, "An empirical study of obsolete answers on Stack Overflow," IEEE Transactions on Software Engineering, vol. 47, no. 4, pp. 850–862, 2021, doi: 10.1109/TSE.2019.2906315.</w:t>
      </w:r>
    </w:p>
    <w:p>
      <w:pPr>
        <w:spacing w:after="120" w:line="300"/>
        <w:ind w:left="1134" w:hanging="1134"/>
        <w:jc w:val="left"/>
      </w:pPr>
      <w:r>
        <w:rPr>
          <w:rFonts w:ascii="Times New Roman" w:cs="Times New Roman" w:eastAsia="Times New Roman" w:hAnsi="Times New Roman"/>
          <w:sz w:val="28"/>
          <w:szCs w:val="28"/>
        </w:rPr>
        <w:t>[25] J. Biggs, "Enhancing teaching through constructive alignment," Higher Education, vol. 32, no. 3, pp. 347–364, 1996, doi: 10.1007/BF00138871.</w:t>
      </w:r>
    </w:p>
    <w:p>
      <w:pPr>
        <w:spacing w:after="120" w:line="300"/>
        <w:ind w:left="1134" w:hanging="1134"/>
        <w:jc w:val="left"/>
      </w:pPr>
      <w:r>
        <w:rPr>
          <w:rFonts w:ascii="Times New Roman" w:cs="Times New Roman" w:eastAsia="Times New Roman" w:hAnsi="Times New Roman"/>
          <w:sz w:val="28"/>
          <w:szCs w:val="28"/>
        </w:rPr>
        <w:t>[26] J. Sweller, J. J. G. van Merriënboer, and F. Paas, "Cognitive architecture and instructional design: 20 years later," Educational Psychology Review, vol. 31, no. 2, pp. 261–292, 2019, doi: 10.1007/s10648-019-09465-5.</w:t>
      </w:r>
    </w:p>
    <w:p>
      <w:pPr>
        <w:spacing w:after="120" w:line="300"/>
        <w:ind w:left="1134" w:hanging="1134"/>
        <w:jc w:val="left"/>
      </w:pPr>
      <w:r>
        <w:rPr>
          <w:rFonts w:ascii="Times New Roman" w:cs="Times New Roman" w:eastAsia="Times New Roman" w:hAnsi="Times New Roman"/>
          <w:sz w:val="28"/>
          <w:szCs w:val="28"/>
        </w:rPr>
        <w:t>[27] L. Huang et al., "A survey on hallucination in large language models: Principles, taxonomy, challenges, and open questions," ACM Transactions on Information Systems, vol. 43, no. 2, pp. 1–55, 2025, doi: 10.1145/3703155.</w:t>
      </w:r>
    </w:p>
    <w:p>
      <w:pPr>
        <w:spacing w:after="120" w:line="300"/>
        <w:ind w:left="1134" w:hanging="1134"/>
        <w:jc w:val="left"/>
      </w:pPr>
      <w:r>
        <w:rPr>
          <w:rFonts w:ascii="Times New Roman" w:cs="Times New Roman" w:eastAsia="Times New Roman" w:hAnsi="Times New Roman"/>
          <w:sz w:val="28"/>
          <w:szCs w:val="28"/>
        </w:rPr>
        <w:t>[28] L. Zheng et al., "Judging LLM-as-a-judge with MT-Bench and Chatbot Arena," in Advances in Neural Information Processing Systems 36 (NeurIPS 2023), Datasets and Benchmarks Track, 2023. [Online]. Available: https://arxiv.org/abs/2306.05685</w:t>
      </w:r>
    </w:p>
    <w:p>
      <w:pPr>
        <w:spacing w:after="120" w:line="300"/>
        <w:ind w:left="1134" w:hanging="1134"/>
        <w:jc w:val="left"/>
      </w:pPr>
      <w:r>
        <w:rPr>
          <w:rFonts w:ascii="Times New Roman" w:cs="Times New Roman" w:eastAsia="Times New Roman" w:hAnsi="Times New Roman"/>
          <w:sz w:val="28"/>
          <w:szCs w:val="28"/>
        </w:rPr>
        <w:t>[29] M. D. Merrill, "First principles of instruction," Educational Technology Research and Development, vol. 50, no. 3, pp. 43–59, 2002, doi: 10.1007/BF02505024.</w:t>
      </w:r>
    </w:p>
    <w:p>
      <w:pPr>
        <w:spacing w:after="120" w:line="300"/>
        <w:ind w:left="1134" w:hanging="1134"/>
        <w:jc w:val="left"/>
      </w:pPr>
      <w:r>
        <w:rPr>
          <w:rFonts w:ascii="Times New Roman" w:cs="Times New Roman" w:eastAsia="Times New Roman" w:hAnsi="Times New Roman"/>
          <w:sz w:val="28"/>
          <w:szCs w:val="28"/>
        </w:rPr>
        <w:t>[30] M. Hadra, K. Cambridge, and M. Mesbah, "Evaluating the accuracy and reliability of AI content detectors in academic contexts," International Journal for Educational Integrity, vol. 22, Art. no. 4, 2026, doi: 10.1007/s40979-026-00213-1.</w:t>
      </w:r>
    </w:p>
    <w:p>
      <w:pPr>
        <w:spacing w:after="120" w:line="300"/>
        <w:ind w:left="1134" w:hanging="1134"/>
        <w:jc w:val="left"/>
      </w:pPr>
      <w:r>
        <w:rPr>
          <w:rFonts w:ascii="Times New Roman" w:cs="Times New Roman" w:eastAsia="Times New Roman" w:hAnsi="Times New Roman"/>
          <w:sz w:val="28"/>
          <w:szCs w:val="28"/>
        </w:rPr>
        <w:t>[31] M. Perkins, "Academic integrity considerations of AI large language models in the post-pandemic era: ChatGPT and beyond," Journal of University Teaching &amp; Learning Practice, vol. 20, no. 2, Art. no. 7, 2023, doi: 10.53761/1.20.02.07.</w:t>
      </w:r>
    </w:p>
    <w:p>
      <w:pPr>
        <w:spacing w:after="120" w:line="300"/>
        <w:ind w:left="1134" w:hanging="1134"/>
        <w:jc w:val="left"/>
      </w:pPr>
      <w:r>
        <w:rPr>
          <w:rFonts w:ascii="Times New Roman" w:cs="Times New Roman" w:eastAsia="Times New Roman" w:hAnsi="Times New Roman"/>
          <w:sz w:val="28"/>
          <w:szCs w:val="28"/>
        </w:rPr>
        <w:t>[32] N. F. Liu et al., "Lost in the middle: How language models use long contexts," Transactions of the Association for Computational Linguistics, vol. 12, pp. 157–173, 2024, doi: 10.1162/tacl_a_00638.</w:t>
      </w:r>
    </w:p>
    <w:p>
      <w:pPr>
        <w:spacing w:after="120" w:line="300"/>
        <w:ind w:left="1134" w:hanging="1134"/>
        <w:jc w:val="left"/>
      </w:pPr>
      <w:r>
        <w:rPr>
          <w:rFonts w:ascii="Times New Roman" w:cs="Times New Roman" w:eastAsia="Times New Roman" w:hAnsi="Times New Roman"/>
          <w:sz w:val="28"/>
          <w:szCs w:val="28"/>
        </w:rPr>
        <w:t>[33]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1134" w:hanging="1134"/>
        <w:jc w:val="left"/>
      </w:pPr>
      <w:r>
        <w:rPr>
          <w:rFonts w:ascii="Times New Roman" w:cs="Times New Roman" w:eastAsia="Times New Roman" w:hAnsi="Times New Roman"/>
          <w:sz w:val="28"/>
          <w:szCs w:val="28"/>
        </w:rPr>
        <w:t>[34] P. Denny, H. Khosravi, A. Hellas, J. Leinonen, and S. Sarsa, "Can we trust AI-generated educational content? Comparative analysis of human and AI-generated learning resources," 2023, arXiv:2306.10509.</w:t>
      </w:r>
    </w:p>
    <w:p>
      <w:pPr>
        <w:spacing w:after="120" w:line="300"/>
        <w:ind w:left="1134" w:hanging="1134"/>
        <w:jc w:val="left"/>
      </w:pPr>
      <w:r>
        <w:rPr>
          <w:rFonts w:ascii="Times New Roman" w:cs="Times New Roman" w:eastAsia="Times New Roman" w:hAnsi="Times New Roman"/>
          <w:sz w:val="28"/>
          <w:szCs w:val="28"/>
        </w:rPr>
        <w:t>[35] Plain Language — Part 1: Governing Principles and Guidelines, ISO 24495-1:2023, International Organization for Standardization, Geneva, Switzerland, 2023.</w:t>
      </w:r>
    </w:p>
    <w:p>
      <w:pPr>
        <w:spacing w:after="120" w:line="300"/>
        <w:ind w:left="1134" w:hanging="1134"/>
        <w:jc w:val="left"/>
      </w:pPr>
      <w:r>
        <w:rPr>
          <w:rFonts w:ascii="Times New Roman" w:cs="Times New Roman" w:eastAsia="Times New Roman" w:hAnsi="Times New Roman"/>
          <w:sz w:val="28"/>
          <w:szCs w:val="28"/>
        </w:rPr>
        <w:t>[36] Q. Huang, C. Lv, L. Lu, and S. Tu, "Evaluating the quality of AI-generated digital educational resources for university teaching and learning," Systems, vol. 13, no. 3, Art. no. 174, 2025, doi: 10.3390/systems13030174.</w:t>
      </w:r>
    </w:p>
    <w:p>
      <w:pPr>
        <w:spacing w:after="120" w:line="300"/>
        <w:ind w:left="1134" w:hanging="1134"/>
        <w:jc w:val="left"/>
      </w:pPr>
      <w:r>
        <w:rPr>
          <w:rFonts w:ascii="Times New Roman" w:cs="Times New Roman" w:eastAsia="Times New Roman" w:hAnsi="Times New Roman"/>
          <w:sz w:val="28"/>
          <w:szCs w:val="28"/>
        </w:rPr>
        <w:t>[37] R. C. Clark and R. E. Mayer, e-Learning and the Science of Instruction: Proven Guidelines for Consumers and Designers of Multimedia Learning, 4th ed. Hoboken, NJ, USA: Wiley, 2016.</w:t>
      </w:r>
    </w:p>
    <w:p>
      <w:pPr>
        <w:spacing w:after="120" w:line="300"/>
        <w:ind w:left="1134" w:hanging="1134"/>
        <w:jc w:val="left"/>
      </w:pPr>
      <w:r>
        <w:rPr>
          <w:rFonts w:ascii="Times New Roman" w:cs="Times New Roman" w:eastAsia="Times New Roman" w:hAnsi="Times New Roman"/>
          <w:sz w:val="28"/>
          <w:szCs w:val="28"/>
        </w:rPr>
        <w:t>[38] R. E. Mayer, "Evidence-based principles for how to design effective instructional videos," Journal of Applied Research in Memory and Cognition, vol. 10, no. 2, pp. 229–240, 2021, doi: 10.1016/j.jarmac.2021.03.007.</w:t>
      </w:r>
    </w:p>
    <w:p>
      <w:pPr>
        <w:spacing w:after="120" w:line="300"/>
        <w:ind w:left="1134" w:hanging="1134"/>
        <w:jc w:val="left"/>
      </w:pPr>
      <w:r>
        <w:rPr>
          <w:rFonts w:ascii="Times New Roman" w:cs="Times New Roman" w:eastAsia="Times New Roman" w:hAnsi="Times New Roman"/>
          <w:sz w:val="28"/>
          <w:szCs w:val="28"/>
        </w:rPr>
        <w:t>[39]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1134" w:hanging="1134"/>
        <w:jc w:val="left"/>
      </w:pPr>
      <w:r>
        <w:rPr>
          <w:rFonts w:ascii="Times New Roman" w:cs="Times New Roman" w:eastAsia="Times New Roman" w:hAnsi="Times New Roman"/>
          <w:sz w:val="28"/>
          <w:szCs w:val="28"/>
        </w:rPr>
        <w:t>[40]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1134" w:hanging="1134"/>
        <w:jc w:val="left"/>
      </w:pPr>
      <w:r>
        <w:rPr>
          <w:rFonts w:ascii="Times New Roman" w:cs="Times New Roman" w:eastAsia="Times New Roman" w:hAnsi="Times New Roman"/>
          <w:sz w:val="28"/>
          <w:szCs w:val="28"/>
        </w:rPr>
        <w:t>[41] S. J. Warren, E. Boston Vogt, B. Tincher, and J. Yang, "Enhancing quality assurance through strategic artificial intelligence integration: A framework for higher education digital transformation," Quality Assurance in Education, vol. 34, no. 2, pp. 205–222, 2026, doi: 10.1108/QAE-09-2024-0183.</w:t>
      </w:r>
    </w:p>
    <w:p>
      <w:pPr>
        <w:spacing w:after="120" w:line="300"/>
        <w:ind w:left="1134" w:hanging="1134"/>
        <w:jc w:val="left"/>
      </w:pPr>
      <w:r>
        <w:rPr>
          <w:rFonts w:ascii="Times New Roman" w:cs="Times New Roman" w:eastAsia="Times New Roman" w:hAnsi="Times New Roman"/>
          <w:sz w:val="28"/>
          <w:szCs w:val="28"/>
        </w:rPr>
        <w:t>[42] UNESCO, Recommendation on Open Educational Resources (OER). Paris, France: UNESCO, 2019. [Online]. Available: https://unesdoc.unesco.org/ark:/48223/pf0000383205</w:t>
      </w:r>
    </w:p>
    <w:p>
      <w:pPr>
        <w:spacing w:after="120" w:line="300"/>
        <w:ind w:left="1134" w:hanging="1134"/>
        <w:jc w:val="left"/>
      </w:pPr>
      <w:r>
        <w:rPr>
          <w:rFonts w:ascii="Times New Roman" w:cs="Times New Roman" w:eastAsia="Times New Roman" w:hAnsi="Times New Roman"/>
          <w:sz w:val="28"/>
          <w:szCs w:val="28"/>
        </w:rPr>
        <w:t>[43] W. H. Walters and E. I. Wilder, "Fabrication and errors in the bibliographic citations generated by ChatGPT," Scientific Reports, vol. 13, 2023, doi: 10.1038/s41598-023-41032-5.</w:t>
      </w:r>
    </w:p>
    <w:p>
      <w:pPr>
        <w:spacing w:after="120" w:line="300"/>
        <w:ind w:left="1134" w:hanging="1134"/>
        <w:jc w:val="left"/>
      </w:pPr>
      <w:r>
        <w:rPr>
          <w:rFonts w:ascii="Times New Roman" w:cs="Times New Roman" w:eastAsia="Times New Roman" w:hAnsi="Times New Roman"/>
          <w:sz w:val="28"/>
          <w:szCs w:val="28"/>
        </w:rPr>
        <w:t>[44] W. X. Zhao et al., "A survey of large language models," 2023, arXiv:2303.18223.</w:t>
      </w:r>
    </w:p>
    <w:p>
      <w:pPr>
        <w:spacing w:after="120" w:line="300"/>
        <w:ind w:left="1134" w:hanging="1134"/>
        <w:jc w:val="left"/>
      </w:pPr>
      <w:r>
        <w:rPr>
          <w:rFonts w:ascii="Times New Roman" w:cs="Times New Roman" w:eastAsia="Times New Roman" w:hAnsi="Times New Roman"/>
          <w:sz w:val="28"/>
          <w:szCs w:val="28"/>
        </w:rPr>
        <w:t>[45] Y. Gao et al., "Retrieval-augmented generation for large language models: A survey," 2023, arXiv:2312.10997.</w:t>
      </w:r>
    </w:p>
    <w:p>
      <w:pPr>
        <w:spacing w:after="120" w:line="300"/>
        <w:ind w:left="1134" w:hanging="1134"/>
        <w:jc w:val="left"/>
      </w:pPr>
      <w:r>
        <w:rPr>
          <w:rFonts w:ascii="Times New Roman" w:cs="Times New Roman" w:eastAsia="Times New Roman" w:hAnsi="Times New Roman"/>
          <w:sz w:val="28"/>
          <w:szCs w:val="28"/>
        </w:rPr>
        <w:t>[46] Z. Bahroun, C. Anane, V. Ahmed, and A. Zacca, "Transforming education: A comprehensive review of generative artificial intelligence in educational settings through bibliometric and content analysis," Sustainability, vol. 15, no. 17, Art. no. 12983, 2023, doi: 10.3390/su151712983.</w:t>
      </w:r>
    </w:p>
    <w:p>
      <w:pPr>
        <w:spacing w:after="120" w:line="300"/>
        <w:ind w:left="1134" w:hanging="1134"/>
        <w:jc w:val="left"/>
      </w:pPr>
      <w:r>
        <w:rPr>
          <w:rFonts w:ascii="Times New Roman" w:cs="Times New Roman" w:eastAsia="Times New Roman" w:hAnsi="Times New Roman"/>
          <w:sz w:val="28"/>
          <w:szCs w:val="28"/>
        </w:rPr>
        <w:t>[47] Z. Liu, S. X. Yin, D. H.-L. Goh, and N. F. Chen, "COGENT: A curriculum-oriented framework for generating grade-appropriate educational content," in Proc. 20th Workshop on Innovative Use of NLP for Building Educational Applications (BEA 2025), 2025, pp. 129–143, doi: 10.18653/v1/2025.bea-1.10.</w:t>
      </w:r>
    </w:p>
    <w:p>
      <w:pPr>
        <w:spacing w:after="120" w:line="300"/>
        <w:ind w:left="1134" w:hanging="1134"/>
        <w:jc w:val="left"/>
      </w:pPr>
      <w:r>
        <w:rPr>
          <w:rFonts w:ascii="Times New Roman" w:cs="Times New Roman" w:eastAsia="Times New Roman" w:hAnsi="Times New Roman"/>
          <w:sz w:val="28"/>
          <w:szCs w:val="28"/>
        </w:rPr>
        <w:t>[48] Z. Wang, S.-Y. Gong, S. Xu, and X.-E. Hu, "Elaborated feedback and learning: Examining cognitive and motivational influences," Computers &amp; Education, vol. 136, pp. 130–140, 2019, doi: 10.1016/j.compedu.2019.04.003.</w:t>
      </w:r>
    </w:p>
    <w:p>
      <w:pPr>
        <w:spacing w:after="120" w:line="300"/>
        <w:ind w:left="1134" w:hanging="1134"/>
        <w:jc w:val="left"/>
      </w:pPr>
      <w:r>
        <w:rPr>
          <w:rFonts w:ascii="Times New Roman" w:cs="Times New Roman" w:eastAsia="Times New Roman" w:hAnsi="Times New Roman"/>
          <w:sz w:val="28"/>
          <w:szCs w:val="28"/>
        </w:rPr>
        <w:t>[49] AI-Generated Content Best Practices, v1.0, 1EdTech Consortium, Lake Mary, FL, USA, 2025. [Online]. Available: https://www.imsglobal.org/resource/AI-Generated_Content_Best_Practices/v1p0</w:t>
      </w:r>
    </w:p>
    <w:p>
      <w:pPr>
        <w:spacing w:after="120" w:line="300"/>
        <w:ind w:left="1134" w:hanging="1134"/>
        <w:jc w:val="left"/>
      </w:pPr>
      <w:r>
        <w:rPr>
          <w:rFonts w:ascii="Times New Roman" w:cs="Times New Roman" w:eastAsia="Times New Roman" w:hAnsi="Times New Roman"/>
          <w:sz w:val="28"/>
          <w:szCs w:val="28"/>
        </w:rPr>
        <w:t>[50] Angular Team, "Angular versioning and releases," Angular Documentation, 2026. [Online]. Available: https://angular.dev/reference/releases</w:t>
      </w:r>
    </w:p>
    <w:p>
      <w:pPr>
        <w:spacing w:after="120" w:line="300"/>
        <w:ind w:left="1134" w:hanging="1134"/>
        <w:jc w:val="left"/>
      </w:pPr>
      <w:r>
        <w:rPr>
          <w:rFonts w:ascii="Times New Roman" w:cs="Times New Roman" w:eastAsia="Times New Roman" w:hAnsi="Times New Roman"/>
          <w:sz w:val="28"/>
          <w:szCs w:val="28"/>
        </w:rPr>
        <w:t>[51] CAST, Universal Design for Learning Guidelines, version 3.0. Lynnfield, MA, USA: CAST, 2024. [Online]. Available: https://udlguidelines.cast.org</w:t>
      </w:r>
    </w:p>
    <w:p>
      <w:pPr>
        <w:spacing w:after="120" w:line="300"/>
        <w:ind w:left="1134" w:hanging="1134"/>
        <w:jc w:val="left"/>
      </w:pPr>
      <w:r>
        <w:rPr>
          <w:rFonts w:ascii="Times New Roman" w:cs="Times New Roman" w:eastAsia="Times New Roman" w:hAnsi="Times New Roman"/>
          <w:sz w:val="28"/>
          <w:szCs w:val="28"/>
        </w:rPr>
        <w:t>[52] IMS Meta-Data Best Practice Guide for IEEE 1484.12.1-2002 Standard for Learning Object Metadata, v1.3, IMS Global Learning Consortium, 2006. [Online]. Available: https://www.imsglobal.org/metadata/mdv1p3/imsmd_bestv1p3.html</w:t>
      </w:r>
    </w:p>
    <w:p>
      <w:pPr>
        <w:spacing w:after="120" w:line="300"/>
        <w:ind w:left="1134" w:hanging="1134"/>
        <w:jc w:val="left"/>
      </w:pPr>
      <w:r>
        <w:rPr>
          <w:rFonts w:ascii="Times New Roman" w:cs="Times New Roman" w:eastAsia="Times New Roman" w:hAnsi="Times New Roman"/>
          <w:sz w:val="28"/>
          <w:szCs w:val="28"/>
        </w:rPr>
        <w:t>[53] Quality Matters, QM Higher Education Rubric, 7th ed. Annapolis, MD, USA: Quality Matters, 2023. [Online]. Available: https://www.qualitymatters.org/qa-resources/rubric-standards/higher-ed-rubric</w:t>
      </w:r>
    </w:p>
    <w:sectPr>
      <w:footerReference w:type="default" r:id="rId7"/>
      <w:footerReference w:type="first" r:id="rId8"/>
      <w:pgSz w:w="11906" w:h="16838" w:orient="portrait"/>
      <w:pgMar w:top="850" w:right="567" w:bottom="850"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2026-08-27T10:12:31.740Z</dcterms:created>
  <dcterms:modified xsi:type="dcterms:W3CDTF">2026-08-27T10:12:31.740Z</dcterms:modified>
</cp:coreProperties>
</file>

<file path=docProps/custom.xml><?xml version="1.0" encoding="utf-8"?>
<Properties xmlns="http://schemas.openxmlformats.org/officeDocument/2006/custom-properties" xmlns:vt="http://schemas.openxmlformats.org/officeDocument/2006/docPropsVTypes"/>
</file>