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600" w:line="276"/>
        <w:jc w:val="center"/>
      </w:pPr>
      <w:r>
        <w:rPr>
          <w:rFonts w:ascii="Times New Roman" w:cs="Times New Roman" w:eastAsia="Times New Roman" w:hAnsi="Times New Roman"/>
          <w:b/>
          <w:bCs/>
          <w:sz w:val="28"/>
          <w:szCs w:val="28"/>
        </w:rPr>
        <w:t xml:space="preserve">УНИВЕРСИТЕТ ПО БИБЛИОТЕКОЗНАНИЕ И ИНФОРМАЦИОННИ ТЕХНОЛОГИИ</w:t>
      </w:r>
    </w:p>
    <w:p>
      <w:pPr>
        <w:spacing w:after="100" w:before="0" w:line="276"/>
        <w:jc w:val="center"/>
      </w:pPr>
      <w:r>
        <w:rPr>
          <w:rFonts w:ascii="Times New Roman" w:cs="Times New Roman" w:eastAsia="Times New Roman" w:hAnsi="Times New Roman"/>
          <w:b/>
          <w:bCs/>
          <w:sz w:val="28"/>
          <w:szCs w:val="28"/>
        </w:rPr>
        <w:t xml:space="preserve">КАТЕДРА „………………………………“</w:t>
      </w:r>
    </w:p>
    <w:p>
      <w:pPr>
        <w:spacing w:after="1400" w:before="0" w:line="276"/>
        <w:jc w:val="center"/>
      </w:pPr>
      <w:r>
        <w:rPr>
          <w:rFonts w:ascii="Times New Roman" w:cs="Times New Roman" w:eastAsia="Times New Roman" w:hAnsi="Times New Roman"/>
          <w:b/>
          <w:bCs/>
          <w:sz w:val="28"/>
          <w:szCs w:val="28"/>
        </w:rPr>
        <w:t xml:space="preserve">МАГИСТЪРСКА ПРОГРАМА „………………………………“</w:t>
      </w:r>
    </w:p>
    <w:p>
      <w:pPr>
        <w:spacing w:after="100" w:before="0" w:line="276"/>
        <w:jc w:val="center"/>
      </w:pPr>
      <w:r>
        <w:rPr>
          <w:rFonts w:ascii="Times New Roman" w:cs="Times New Roman" w:eastAsia="Times New Roman" w:hAnsi="Times New Roman"/>
          <w:b/>
          <w:bCs/>
          <w:sz w:val="28"/>
          <w:szCs w:val="28"/>
        </w:rPr>
        <w:t xml:space="preserve">МАГИСТЪРСКА ТЕЗА</w:t>
      </w:r>
    </w:p>
    <w:p>
      <w:pPr>
        <w:spacing w:after="900" w:before="0" w:line="276"/>
        <w:jc w:val="center"/>
      </w:pPr>
      <w:r>
        <w:rPr>
          <w:rFonts w:ascii="Times New Roman" w:cs="Times New Roman" w:eastAsia="Times New Roman" w:hAnsi="Times New Roman"/>
          <w:b w:val="false"/>
          <w:bCs w:val="false"/>
          <w:sz w:val="28"/>
          <w:szCs w:val="28"/>
        </w:rPr>
        <w:t xml:space="preserve">на тема:</w:t>
      </w:r>
    </w:p>
    <w:p>
      <w:pPr>
        <w:spacing w:after="1800" w:before="0" w:line="276"/>
        <w:jc w:val="center"/>
      </w:pPr>
      <w:r>
        <w:rPr>
          <w:rFonts w:ascii="Times New Roman" w:cs="Times New Roman" w:eastAsia="Times New Roman" w:hAnsi="Times New Roman"/>
          <w:b/>
          <w:bCs/>
          <w:sz w:val="32"/>
          <w:szCs w:val="32"/>
        </w:rPr>
        <w:t xml:space="preserve">МОДЕЛ ЗА ОЦЕНЯВАНЕ НА КАЧЕСТВОТО НА ЕЛЕКТРОННО УЧЕБНО СЪДЪРЖАНИЕ, РАЗРАБОТЕНО С ГЕНЕРАТИВНИ AI ИНСТРУМЕНТИ</w:t>
      </w:r>
    </w:p>
    <w:p>
      <w:pPr>
        <w:tabs>
          <w:tab w:val="left" w:pos="5000"/>
        </w:tabs>
        <w:spacing w:after="0" w:line="276"/>
      </w:pPr>
      <w:r>
        <w:rPr>
          <w:rFonts w:ascii="Times New Roman" w:cs="Times New Roman" w:eastAsia="Times New Roman" w:hAnsi="Times New Roman"/>
          <w:sz w:val="28"/>
          <w:szCs w:val="28"/>
        </w:rPr>
        <w:t xml:space="preserve">Дипломант:	Научен ръководител:</w:t>
      </w:r>
    </w:p>
    <w:p>
      <w:pPr>
        <w:tabs>
          <w:tab w:val="left" w:pos="5000"/>
        </w:tabs>
        <w:spacing w:after="0" w:line="276"/>
      </w:pPr>
      <w:r>
        <w:rPr>
          <w:rFonts w:ascii="Times New Roman" w:cs="Times New Roman" w:eastAsia="Times New Roman" w:hAnsi="Times New Roman"/>
          <w:sz w:val="28"/>
          <w:szCs w:val="28"/>
        </w:rPr>
        <w:t>Александър Гръмов</w:t>
        <w:tab/>
        <w:t>(………………………………)</w:t>
      </w:r>
    </w:p>
    <w:p>
      <w:pPr>
        <w:tabs>
          <w:tab w:val="left" w:pos="5000"/>
        </w:tabs>
        <w:spacing w:after="0" w:line="276"/>
      </w:pPr>
      <w:r>
        <w:rPr>
          <w:rFonts w:ascii="Times New Roman" w:cs="Times New Roman" w:eastAsia="Times New Roman" w:hAnsi="Times New Roman"/>
          <w:sz w:val="28"/>
          <w:szCs w:val="28"/>
        </w:rPr>
        <w:t xml:space="preserve">………………… обучение	</w:t>
      </w:r>
    </w:p>
    <w:p>
      <w:pPr>
        <w:tabs>
          <w:tab w:val="left" w:pos="5000"/>
        </w:tabs>
        <w:spacing w:after="0" w:line="276"/>
      </w:pPr>
      <w:r>
        <w:rPr>
          <w:rFonts w:ascii="Times New Roman" w:cs="Times New Roman" w:eastAsia="Times New Roman" w:hAnsi="Times New Roman"/>
          <w:sz w:val="28"/>
          <w:szCs w:val="28"/>
        </w:rPr>
        <w:t xml:space="preserve">Ф. № …………………	</w:t>
      </w:r>
    </w:p>
    <w:p>
      <w:pPr>
        <w:spacing w:after="0" w:before="1400" w:line="276"/>
        <w:jc w:val="center"/>
      </w:pPr>
      <w:r>
        <w:rPr>
          <w:rFonts w:ascii="Times New Roman" w:cs="Times New Roman" w:eastAsia="Times New Roman" w:hAnsi="Times New Roman"/>
          <w:b w:val="false"/>
          <w:bCs w:val="false"/>
          <w:sz w:val="28"/>
          <w:szCs w:val="28"/>
        </w:rPr>
        <w:t xml:space="preserve">София</w:t>
      </w:r>
    </w:p>
    <w:p>
      <w:pPr>
        <w:spacing w:after="0" w:before="0" w:line="276"/>
        <w:jc w:val="center"/>
      </w:pPr>
      <w:r>
        <w:rPr>
          <w:rFonts w:ascii="Times New Roman" w:cs="Times New Roman" w:eastAsia="Times New Roman" w:hAnsi="Times New Roman"/>
          <w:b w:val="false"/>
          <w:bCs w:val="false"/>
          <w:sz w:val="28"/>
          <w:szCs w:val="28"/>
        </w:rPr>
        <w:t xml:space="preserve">2026</w:t>
      </w:r>
    </w:p>
    <w:p>
      <w:r>
        <w:br w:type="page"/>
      </w:r>
    </w:p>
    <w:p>
      <w:pPr>
        <w:pStyle w:val="Heading1"/>
      </w:pPr>
      <w:r>
        <w:rPr>
          <w:rFonts w:ascii="Times New Roman" w:cs="Times New Roman" w:eastAsia="Times New Roman" w:hAnsi="Times New Roman"/>
          <w:b/>
          <w:bCs/>
          <w:sz w:val="28"/>
          <w:szCs w:val="28"/>
        </w:rPr>
        <w:t xml:space="preserve">РЕЗЮМЕ</w:t>
      </w:r>
    </w:p>
    <w:p>
      <w:pPr>
        <w:spacing w:after="200" w:line="360"/>
        <w:jc w:val="both"/>
      </w:pPr>
      <w:r>
        <w:rPr>
          <w:rFonts w:ascii="Times New Roman" w:cs="Times New Roman" w:eastAsia="Times New Roman" w:hAnsi="Times New Roman"/>
          <w:i/>
          <w:iCs/>
          <w:sz w:val="28"/>
          <w:szCs w:val="28"/>
        </w:rPr>
        <w:t xml:space="preserve">Гръмов, А. Модел за оценяване на качеството на електронно учебно съдържание, разработено с генеративни AI инструменти. Научен ръководител ……………………………… . С., 2026. Катедра „………………………………“. Магистърска програма „………………………………“. УниБИТ. 77 с. Брой източници — 45, приложения — 4, таблици — 4.</w:t>
      </w:r>
    </w:p>
    <w:p>
      <w:pPr>
        <w:spacing w:after="120" w:line="360"/>
        <w:ind w:firstLine="1134"/>
        <w:jc w:val="both"/>
      </w:pPr>
      <w:r>
        <w:rPr>
          <w:rFonts w:ascii="Times New Roman" w:cs="Times New Roman" w:eastAsia="Times New Roman" w:hAnsi="Times New Roman"/>
          <w:sz w:val="28"/>
          <w:szCs w:val="28"/>
        </w:rPr>
        <w:t xml:space="preserve">Целта на магистърската теза е да бъде разработен и апробиран модел за оценяване на качеството на електронно учебно съдържание, създадено с генеративни инструменти с изкуствен интелект. Задачите са четири: да се изяснят същността и видовете електронно учебно съдържание и характеристиките на генеративните инструменти; да се анализират съществуващите подходи и критерии за оценяване и типичните дефицити на генерираното съдържание; да се конструира модел с критерии, показатели, скала и процедура за приложение; и моделът да бъде апробиран върху реални генерирани материали.</w:t>
      </w:r>
    </w:p>
    <w:p>
      <w:pPr>
        <w:spacing w:after="120" w:line="360"/>
        <w:ind w:firstLine="1134"/>
        <w:jc w:val="both"/>
      </w:pPr>
      <w:r>
        <w:rPr>
          <w:rFonts w:ascii="Times New Roman" w:cs="Times New Roman" w:eastAsia="Times New Roman" w:hAnsi="Times New Roman"/>
          <w:sz w:val="28"/>
          <w:szCs w:val="28"/>
        </w:rPr>
        <w:t xml:space="preserve">Първа глава изяснява понятийния апарат и очертава границите на приложното поле: видовете електронно учебно съдържание, педагогическите изисквания към него, устройството и ограниченията на големите езикови модели, възможностите им при разработване на учебни материали, свързаните рискове, етичните и правните изисквания и наличните подходи за оценяване на качеството. Втора глава анализира съществуващите критериални системи, извежда четири логически независими области на качеството, съпоставя ги с документираните дефицити на генерираното съдържание и завършва с изрична спецификация на изискванията към бъдещия модел.</w:t>
      </w:r>
    </w:p>
    <w:p>
      <w:pPr>
        <w:spacing w:after="120" w:line="360"/>
        <w:ind w:firstLine="1134"/>
        <w:jc w:val="both"/>
      </w:pPr>
      <w:r>
        <w:rPr>
          <w:rFonts w:ascii="Times New Roman" w:cs="Times New Roman" w:eastAsia="Times New Roman" w:hAnsi="Times New Roman"/>
          <w:sz w:val="28"/>
          <w:szCs w:val="28"/>
        </w:rPr>
        <w:t xml:space="preserve">Трета глава съдържа собствения принос. Разработен е модел с четири оценъчни области — съдържателно качество, дидактическо качество, езикова и структурна пригодност, етична и академична коректност — разгърнати в критерии и общо двадесет и седем проверими показателя. Приета е четиристепенна скала на равнище показател и четиристепенна на равнище област, с изричен праг на допустимост и некомпенсаторно правило за агрегиране: крайното равнище се определя от най-ниската областна оценка, което изключва възможността слабата фактологическа коректност да бъде компенсирана от добър език. Моделът е операционализиран в оценъчна карта и в процедура за верифициране, предвидена за приложение от отделен преподавател с предметна компетентност, без специализирана инфраструктура и без разчитане на автоматични детектори за генериран текст.</w:t>
      </w:r>
    </w:p>
    <w:p>
      <w:pPr>
        <w:spacing w:after="120" w:line="360"/>
        <w:ind w:firstLine="1134"/>
        <w:jc w:val="both"/>
      </w:pPr>
      <w:r>
        <w:rPr>
          <w:rFonts w:ascii="Times New Roman" w:cs="Times New Roman" w:eastAsia="Times New Roman" w:hAnsi="Times New Roman"/>
          <w:sz w:val="28"/>
          <w:szCs w:val="28"/>
        </w:rPr>
        <w:t>Апробирането обхваща шест материала — електронен урок, тестови въпроси и указания за самоподготовка, генерирани от два широкодостъпни диалогови инструмента по обща тема от областта на уеб разработката, на български език, при документиран протокол и предварително фиксирани критерии, скала и прагове. [Количествените резултати от апробирането се вписват след попълването на шестте оценъчни карти.] Приносът на работата се състои в система от критерии и показатели, скала и оценъчна матрица, процедура за верифициране и апробиране на модела върху реални генерирани материали.</w:t>
      </w:r>
    </w:p>
    <w:p>
      <w:pPr>
        <w:spacing w:after="200" w:line="360"/>
        <w:jc w:val="both"/>
      </w:pPr>
      <w:r>
        <w:rPr>
          <w:rFonts w:ascii="Times New Roman" w:cs="Times New Roman" w:eastAsia="Times New Roman" w:hAnsi="Times New Roman"/>
          <w:i w:val="false"/>
          <w:iCs w:val="false"/>
          <w:sz w:val="28"/>
          <w:szCs w:val="28"/>
        </w:rPr>
        <w:t xml:space="preserve">Ключови думи: академична коректност; генеративен изкуствен интелект; голям езиков модел; дидактическо качество; електронно учебно съдържание; критерии и показатели; модел за оценяване; оценъчна карта.</w:t>
      </w:r>
    </w:p>
    <w:p>
      <w:r>
        <w:br w:type="page"/>
      </w:r>
    </w:p>
    <w:p>
      <w:pPr>
        <w:pStyle w:val="Heading1"/>
      </w:pPr>
      <w:r>
        <w:rPr>
          <w:rFonts w:ascii="Times New Roman" w:cs="Times New Roman" w:eastAsia="Times New Roman" w:hAnsi="Times New Roman"/>
          <w:b/>
          <w:bCs/>
          <w:sz w:val="28"/>
          <w:szCs w:val="28"/>
        </w:rPr>
        <w:t xml:space="preserve">СЪДЪРЖАНИЕ</w:t>
      </w:r>
    </w:p>
    <w:sdt>
      <w:sdtPr>
        <w:alias w:val="Съдържание"/>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Times New Roman" w:cs="Times New Roman" w:eastAsia="Times New Roman" w:hAnsi="Times New Roman"/>
          <w:b/>
          <w:bCs/>
          <w:sz w:val="28"/>
          <w:szCs w:val="28"/>
        </w:rPr>
        <w:t xml:space="preserve">УВОД</w:t>
      </w:r>
    </w:p>
    <w:p>
      <w:pPr>
        <w:spacing w:after="120" w:line="360"/>
        <w:ind w:firstLine="1134"/>
        <w:jc w:val="both"/>
      </w:pPr>
      <w:r>
        <w:rPr>
          <w:rFonts w:ascii="Times New Roman" w:cs="Times New Roman" w:eastAsia="Times New Roman" w:hAnsi="Times New Roman"/>
          <w:sz w:val="28"/>
          <w:szCs w:val="28"/>
        </w:rPr>
        <w:t xml:space="preserve">Масовото навлизане на генеративните инструменти с изкуствен интелект промени за няколко години начина, по който се създава електронно учебно съдържание. Материали, чиято подготовка доскоро изискваше дни, днес се генерират за минути — учебни текстове, тестови въпроси, указания за самоподготовка — и тази възможност вече се използва широко в образователната практика. Скоростта обаче има цена: съдържанието, произведено от вероятностни езикови модели, не носи гаранция за фактическа вярност, педагогическа издържаност или оригиналност, а неговите дефекти са систематично невидими за повърхностен преглед. Между лекотата на създаването и отговорността за качеството се отваря празнина, която образователната практика днес запълва предимно с интуитивна лична преценка. Настоящата работа предлага систематична алтернатива.</w:t>
      </w:r>
    </w:p>
    <w:p>
      <w:pPr>
        <w:spacing w:after="120" w:line="360"/>
        <w:ind w:firstLine="1134"/>
        <w:jc w:val="both"/>
      </w:pPr>
      <w:r>
        <w:rPr>
          <w:rFonts w:ascii="Times New Roman" w:cs="Times New Roman" w:eastAsia="Times New Roman" w:hAnsi="Times New Roman"/>
          <w:sz w:val="28"/>
          <w:szCs w:val="28"/>
        </w:rPr>
        <w:t xml:space="preserve">Обект на изследването е електронното учебно съдържание, създавано с генеративни инструменти с изкуствен интелект. Предмет на изследването са качеството на това съдържание — неговите измерения, критерии и типични дефицити — и възможността то да бъде оценявано системно чрез специализиран модел, приложим в практиката на преподавателя.</w:t>
      </w:r>
    </w:p>
    <w:p>
      <w:pPr>
        <w:spacing w:after="120" w:line="360"/>
        <w:ind w:firstLine="1134"/>
        <w:jc w:val="both"/>
      </w:pPr>
      <w:r>
        <w:rPr>
          <w:rFonts w:ascii="Times New Roman" w:cs="Times New Roman" w:eastAsia="Times New Roman" w:hAnsi="Times New Roman"/>
          <w:sz w:val="28"/>
          <w:szCs w:val="28"/>
        </w:rPr>
        <w:t xml:space="preserve">Целта на работата е да бъде разработен и апробиран модел за оценяване на качеството на електронно учебно съдържание, създадено с генеративни AI инструменти. Постигането на целта преминава през шест изследователски задачи: първо, да се изяснят същността, видовете и педагогическите изисквания към електронното учебно съдържание и характеристиките на генеративните инструменти; второ, да се анализират съществуващите подходи и критерии за оценяване на качеството и тяхната приложимост към генерирано съдържание; трето, да се систематизират типичните дефицити на генерираното съдържание и да се изведат изисквания към модел за оценяване; четвърто, да се конструира моделът — области, критерии и показатели, скала, оценъчна карта и процедура за приложение; пето, моделът да бъде апробиран върху избрани генерирани учебни материали; и шесто, въз основа на резултатите да се формулират изводи и препоръки за приложение в практиката.</w:t>
      </w:r>
    </w:p>
    <w:p>
      <w:pPr>
        <w:spacing w:after="120" w:line="360"/>
        <w:ind w:firstLine="1134"/>
        <w:jc w:val="both"/>
      </w:pPr>
      <w:r>
        <w:rPr>
          <w:rFonts w:ascii="Times New Roman" w:cs="Times New Roman" w:eastAsia="Times New Roman" w:hAnsi="Times New Roman"/>
          <w:sz w:val="28"/>
          <w:szCs w:val="28"/>
        </w:rPr>
        <w:t xml:space="preserve">Изследователската теза на работата е следната: качеството на учебното съдържание, създадено с генеративни инструменти, е структурно негарантирано поради самия принцип на действие на тези инструменти, но може да бъде системно оценявано от отделен преподавател чрез критериален модел с проверими показатели, некомпенсаторна скала с праг на допустимост и документирана, икономична процедура — и такова оценяване е необходимото условие за отговорното използване на генеративните инструменти в обучението.</w:t>
      </w:r>
    </w:p>
    <w:p>
      <w:pPr>
        <w:spacing w:after="120" w:line="360"/>
        <w:ind w:firstLine="1134"/>
        <w:jc w:val="both"/>
      </w:pPr>
      <w:r>
        <w:rPr>
          <w:rFonts w:ascii="Times New Roman" w:cs="Times New Roman" w:eastAsia="Times New Roman" w:hAnsi="Times New Roman"/>
          <w:sz w:val="28"/>
          <w:szCs w:val="28"/>
        </w:rPr>
        <w:t xml:space="preserve">За постигане на целта са използвани следните методи: теоретичен анализ и синтез на научната литература; сравнителен анализ на съществуващи подходи, рамки и стандарти за оценяване на качество; моделиране — за конструиране на системата от области, критерии, показатели и правила; и апробиране чрез структурирано експертно оценяване на генерирани материали по документиран протокол.</w:t>
      </w:r>
    </w:p>
    <w:p>
      <w:pPr>
        <w:spacing w:after="120" w:line="360"/>
        <w:ind w:firstLine="1134"/>
        <w:jc w:val="both"/>
      </w:pPr>
      <w:r>
        <w:rPr>
          <w:rFonts w:ascii="Times New Roman" w:cs="Times New Roman" w:eastAsia="Times New Roman" w:hAnsi="Times New Roman"/>
          <w:sz w:val="28"/>
          <w:szCs w:val="28"/>
        </w:rPr>
        <w:t xml:space="preserve">Обхватът на работата е съзнателно ограничен, а ограниченията са декларирани изрично. Апробирането обхваща три вида текстово учебно съдържание, генерирани от два широкодостъпни инструмента, върху една предметна област — уеб разработка с рамката Angular — избрана заради професионалната предметна компетентност на автора, необходима за фактологическата проверка; материалите са на български език; оценяването е извършено от един оценител. Тези ограничения определят и границите на изводите: работата се произнася за приложимостта на модела, а не за представително сравнение на генеративни инструменти. Изложението следва структура от три глави: първа глава полага теоретичните основи; втора глава анализира критериите, дефицитите и изискванията към бъдещия модел; трета глава конструира модела и го апробира, завършвайки с препоръки за приложението му в практиката на електронното обучение.</w:t>
      </w:r>
    </w:p>
    <w:p>
      <w:pPr>
        <w:pStyle w:val="Heading1"/>
      </w:pPr>
      <w:r>
        <w:rPr>
          <w:rFonts w:ascii="Times New Roman" w:cs="Times New Roman" w:eastAsia="Times New Roman" w:hAnsi="Times New Roman"/>
          <w:b/>
          <w:bCs/>
          <w:sz w:val="28"/>
          <w:szCs w:val="28"/>
        </w:rPr>
        <w:t xml:space="preserve">ГЛАВА ПЪРВА. Теоретични основи на електронното учебно съдържание и приложението на генеративни инструменти с изкуствен интелект</w:t>
      </w:r>
    </w:p>
    <w:p>
      <w:pPr>
        <w:pStyle w:val="Heading2"/>
      </w:pPr>
      <w:r>
        <w:rPr>
          <w:rFonts w:ascii="Times New Roman" w:cs="Times New Roman" w:eastAsia="Times New Roman" w:hAnsi="Times New Roman"/>
          <w:b/>
          <w:bCs/>
          <w:sz w:val="26"/>
          <w:szCs w:val="26"/>
        </w:rPr>
        <w:t xml:space="preserve">1.1. Същност и видове електронно учебно съдържание</w:t>
      </w:r>
    </w:p>
    <w:p>
      <w:pPr>
        <w:spacing w:after="120" w:line="360"/>
        <w:ind w:firstLine="709"/>
        <w:jc w:val="both"/>
      </w:pPr>
      <w:r>
        <w:rPr>
          <w:rFonts w:ascii="Times New Roman" w:cs="Times New Roman" w:eastAsia="Times New Roman" w:hAnsi="Times New Roman"/>
          <w:sz w:val="24"/>
          <w:szCs w:val="24"/>
        </w:rPr>
        <w:t xml:space="preserve">Първа глава изгражда теоретичната основа, върху която стъпва цялото изследване, и следва логика от общото към частното. Първите две точки установяват какво представлява електронното учебно съдържание и на какви педагогически изисквания трябва да отговаря то — независимо от начина, по който е създадено. Следващите три насочват вниманието към генеративните инструменти: тяхната същност и принцип на действие, начините на използването им при разработване на учебни материали и произтичащите от това предимства и рискове за образователната практика. Шестата точка очертава нормативната рамка — етичните, правните и академичните изисквания, а седмата разглежда съществуващите подходи за оценяване на качеството и установява защо те са недостатъчни за съдържанието, създадено с генеративни инструменти. Изводите обобщават установеното и извеждат изследователската празнина, която определя предмета на следващите глави.</w:t>
      </w:r>
    </w:p>
    <w:p>
      <w:pPr>
        <w:spacing w:after="120" w:line="360"/>
        <w:ind w:firstLine="709"/>
        <w:jc w:val="both"/>
      </w:pPr>
      <w:r>
        <w:rPr>
          <w:rFonts w:ascii="Times New Roman" w:cs="Times New Roman" w:eastAsia="Times New Roman" w:hAnsi="Times New Roman"/>
          <w:sz w:val="24"/>
          <w:szCs w:val="24"/>
        </w:rPr>
        <w:t>В научната литература електронното учебно съдържание се определя най-общо като съвкупност от учебни материали в цифров формат, предназначени да подпомогнат постигането на предварително формулирани учебни цели и достъпни за обучаемия чрез електронно устройство. Консенсусната дефиниция, изведена чрез международно експертно проучване, определя електронното обучение като подход към преподаването и ученето, който представя изцяло или отчасти прилагания образователен модел и се основава на използването на електронни средства и устройства като инструменти за подобряване на достъпа до обучение, комуникацията и взаимодействието [11]. Определящият признак следователно е образователният модел, а електронните средства са инструменти в него. Върху тази основа в настоящата разработка се възприема работната позиция, че електронното учебно съдържание следва да се дефинира чрез функциите, които изпълнява в учебния процес, и чрез формите на представяне на информацията, а не чрез конкретния технологичен носител — носителите се променят бързо, докато функциите и формите остават относително устойчиви и именно те подлежат на оценяване на качеството.</w:t>
      </w:r>
    </w:p>
    <w:p>
      <w:pPr>
        <w:spacing w:after="120" w:line="360"/>
        <w:ind w:firstLine="709"/>
        <w:jc w:val="both"/>
      </w:pPr>
      <w:r>
        <w:rPr>
          <w:rFonts w:ascii="Times New Roman" w:cs="Times New Roman" w:eastAsia="Times New Roman" w:hAnsi="Times New Roman"/>
          <w:sz w:val="24"/>
          <w:szCs w:val="24"/>
        </w:rPr>
        <w:t>Понятието се нуждае и от разграничаване от съседни на него термини, които в практиката често се смесват. В настоящата разработка трите понятия се разграничават така: електронното обучение е подходът към преподаването и ученето, който представя прилагания образователен модел [11]; електронната образователна среда е технологичната платформа, в която този подход се осъществява; а електронното учебно съдържание е самият учебен материал, който средата поднася. Разграничението не е схоластично: то определя обекта на оценяване. Може да бъде оценявана средата — по използваемост и надеждност; може да бъде оценявана формата на обучение — по учебни резултати; настоящата работа оценява третото — конкретния материал, отделен както от платформата, през която се доставя, така и от курса, в който се вписва.</w:t>
      </w:r>
    </w:p>
    <w:p>
      <w:pPr>
        <w:spacing w:after="120" w:line="360"/>
        <w:ind w:firstLine="709"/>
        <w:jc w:val="both"/>
      </w:pPr>
      <w:r>
        <w:rPr>
          <w:rFonts w:ascii="Times New Roman" w:cs="Times New Roman" w:eastAsia="Times New Roman" w:hAnsi="Times New Roman"/>
          <w:sz w:val="24"/>
          <w:szCs w:val="24"/>
        </w:rPr>
        <w:t>От тази дефиниция произтичат и основните характеристики на електронното учебно съдържание. На първо място стои цифровият формат, който позволява мултимодалност — едновременно използване на текст, изображение, звук и видео в един учебен ресурс. Следват модулността и повторната използваемост: съдържанието може да бъде разделяно на самостоятелни единици, комбинирани в различни учебни курсове и контексти. Трета характеристика е интерактивността — възможността обучаемият да взаимодейства със съдържанието, а не само да го възприема. Към тях се добавят независимостта от време и място на достъпа, възможността за адаптиране към индивидуалните потребности на обучаемия и проследимостта — цифровата среда регистрира кога и как съдържанието се използва, което създава предпоставки за обратна връзка и усъвършенстване. Значимостта на работата с дигитални ресурси за съвременния преподавател е призната и на рамково равнище: в европейската рамка за дигитална компетентност на преподавателите DigCompEdu подборът, създаването, модифицирането и управлението на дигитални ресурси са обособени като самостоятелна компетентностна област [12, обл. 2].</w:t>
      </w:r>
    </w:p>
    <w:p>
      <w:pPr>
        <w:spacing w:after="120" w:line="360"/>
        <w:ind w:firstLine="709"/>
        <w:jc w:val="both"/>
      </w:pPr>
      <w:r>
        <w:rPr>
          <w:rFonts w:ascii="Times New Roman" w:cs="Times New Roman" w:eastAsia="Times New Roman" w:hAnsi="Times New Roman"/>
          <w:sz w:val="24"/>
          <w:szCs w:val="24"/>
        </w:rPr>
        <w:t xml:space="preserve">По отношение на функциите електронното учебно съдържание обслужва няколко основни дидактически задачи: представяне на ново учебно знание; илюстриране и конкретизиране чрез примери и визуализации; упражняване и затвърдяване на усвоеното; проверка и оценяване с обратна връзка към обучаемия; организиране и насочване на самоподготовката. Един и същ електронен ресурс често комбинира няколко от тези функции — например електронният урок съчетава представяне, илюстриране и елементи на самопроверка — поради което функционалната характеристика описва тежестта на отделните функции в ресурса, а не взаимно изключващи се категории.</w:t>
      </w:r>
    </w:p>
    <w:p>
      <w:pPr>
        <w:spacing w:after="120" w:line="360"/>
        <w:ind w:firstLine="709"/>
        <w:jc w:val="both"/>
      </w:pPr>
      <w:r>
        <w:rPr>
          <w:rFonts w:ascii="Times New Roman" w:cs="Times New Roman" w:eastAsia="Times New Roman" w:hAnsi="Times New Roman"/>
          <w:sz w:val="24"/>
          <w:szCs w:val="24"/>
        </w:rPr>
        <w:t>Съществено за по-нататъшното изложение е и разграничението между съдържание и учебен ресурс. Един и същ текст може да бъде използван като справочен материал, като основа за урок или като част от изпитен комплект; учебната му функция се определя не само от съдържанието, но и от начина, по който е поставен в учебния процес. Международният стандарт за метаданни отразява това, като включва контекста на употреба сред описателните характеристики на учебния обект [25]. Затова оценяването на качеството винаги предполага деклариран контекст — за кого е предназначен материалът и каква цел обслужва. Без този контекст част от критериите губят смисъл: не може да се прецени дали изложението е прекалено сложно, ако не е известно за кого е писано. Това изискване по-късно се превръща в изрична нулева стъпка на процедурата за оценяване.</w:t>
      </w:r>
    </w:p>
    <w:p>
      <w:pPr>
        <w:spacing w:after="120" w:line="360"/>
        <w:ind w:firstLine="709"/>
        <w:jc w:val="both"/>
      </w:pPr>
      <w:r>
        <w:rPr>
          <w:rFonts w:ascii="Times New Roman" w:cs="Times New Roman" w:eastAsia="Times New Roman" w:hAnsi="Times New Roman"/>
          <w:sz w:val="24"/>
          <w:szCs w:val="24"/>
        </w:rPr>
        <w:t>По форма на представяне електронното учебно съдържание обхваща текстови материали, статични визуални елементи (изображения, схеми, графики), аудио- и видеоматериали, анимации, интерактивни компоненти (симулации, упражнения с обратна връзка) и тестови форми. Изследванията върху мултимедийното учене показват, че комбинирането на словесна и визуална информация по правило води до по-добри учебни резултати от представянето само на текст, но единствено при спазване на установени принципи на дизайна — например съгласуваност между текст и изображение и изключване на несъщественото съдържание; в противен случай мултимедията може да затрудни, а не да подпомогне ученето [38]. Систематичните прегледи на използването на мултимедия във висшето образование потвърждават както широкото ѝ навлизане, така и зависимостта на ефектите от качеството на дидактическия дизайн [17].</w:t>
      </w:r>
    </w:p>
    <w:p>
      <w:pPr>
        <w:spacing w:after="120" w:line="360"/>
        <w:ind w:firstLine="709"/>
        <w:jc w:val="both"/>
      </w:pPr>
      <w:r>
        <w:rPr>
          <w:rFonts w:ascii="Times New Roman" w:cs="Times New Roman" w:eastAsia="Times New Roman" w:hAnsi="Times New Roman"/>
          <w:sz w:val="24"/>
          <w:szCs w:val="24"/>
        </w:rPr>
        <w:t>Особено измерение на видовото разнообразие е режимът на достъп и повторно използване. Част от електронното учебно съдържание се разпространява като отворени образователни ресурси — материали под отворен лиценз, който позволява безплатен достъп, повторно използване, адаптиране и разпространение. Значението на този режим е признато на международно равнище с препоръката на ЮНЕСКО за отворените образователни ресурси, която обвързва отвореното лицензиране с достъпа до качествено образование и с изграждането на капацитет за създаване, адаптиране и споделяне на такива ресурси [42]. За настоящата работа това измерение е съществено по две причини: първо, повторното използване и адаптирането предполагат оценима изходна стойност на материала — адаптира се това, което си струва; и второ, генерираното съдържание усложнява именно въпросите, които отвореното лицензиране урежда — произход, авторство и право на преработка.</w:t>
      </w:r>
    </w:p>
    <w:p>
      <w:pPr>
        <w:spacing w:after="120" w:line="360"/>
        <w:ind w:firstLine="709"/>
        <w:jc w:val="both"/>
      </w:pPr>
      <w:r>
        <w:rPr>
          <w:rFonts w:ascii="Times New Roman" w:cs="Times New Roman" w:eastAsia="Times New Roman" w:hAnsi="Times New Roman"/>
          <w:sz w:val="24"/>
          <w:szCs w:val="24"/>
        </w:rPr>
        <w:t>Систематизацията на видовете има и утвърдена стандартизационна основа. В литературата и в стандартите отделната единица електронно съдържание се описва чрез понятието учебен обект — всяка единица, цифрова или не, използвана за учене, образование или обучение. Международният стандарт за метаданни на учебни обекти определя структура от девет категории описателни характеристики, сред които образователната категория включва точно признаците, разгледани по-горе: вид на ресурса, равнище на интерактивност, целева аудитория и типично учебно време [25]. Съществуването на такъв стандарт показва, че модулността, повторната използваемост и описуемостта на електронното съдържание не са пожелателни качества, а отдавна формализирани характеристики на полето. Същевременно стандартът очертава и границата, която настоящата работа преминава: метаданните описват материала отвън — какъв е, за кого е, колко време изисква — но не се произнасят за качеството му отвътре; описателният стандарт и оценъчният модел са допълващи се, а не конкурентни инструменти.</w:t>
      </w:r>
    </w:p>
    <w:p>
      <w:pPr>
        <w:spacing w:after="120" w:line="360"/>
        <w:ind w:firstLine="709"/>
        <w:jc w:val="both"/>
      </w:pPr>
      <w:r>
        <w:rPr>
          <w:rFonts w:ascii="Times New Roman" w:cs="Times New Roman" w:eastAsia="Times New Roman" w:hAnsi="Times New Roman"/>
          <w:sz w:val="24"/>
          <w:szCs w:val="24"/>
        </w:rPr>
        <w:t xml:space="preserve">Видовото разнообразие следва да се разглежда и през жизнения цикъл на електронното съдържание. Един учебен ресурс преминава през създаване, преглед и одобряване, публикуване в учебна среда, използване, поддръжка и актуализиране, и накрая архивиране или замяна. Оценяването на качеството има място на два възела от този цикъл: на входа, преди материалът да достигне до обучаеми, и при поддръжката, когато съдържанието трябва да бъде проверявано за актуалност спрямо развитието на предметната област. Генеративните инструменти скъсяват драстично първата фаза — създаването — без да променят нито един от останалите етапи; точно това разместване прави входният контрол по-важен, а не по-маловажен: колкото по-евтино е създаването, толкова повече материали достигат до прегледа и толкова по-систематичен трябва да бъде той.</w:t>
      </w:r>
    </w:p>
    <w:p>
      <w:pPr>
        <w:spacing w:after="120" w:line="360"/>
        <w:ind w:firstLine="709"/>
        <w:jc w:val="both"/>
      </w:pPr>
      <w:r>
        <w:rPr>
          <w:rFonts w:ascii="Times New Roman" w:cs="Times New Roman" w:eastAsia="Times New Roman" w:hAnsi="Times New Roman"/>
          <w:sz w:val="24"/>
          <w:szCs w:val="24"/>
        </w:rPr>
        <w:t>Отделно внимание заслужава темпото, с което съдържанието остарява, тъй като то се различава драстично между предметните области и определя честотата на необходимата проверка. В областите с бавно развиващо се фундаментално знание учебният материал може да остане валиден десетилетия; в бързо развиващите се технологични области — например разработката на софтуер — препоръчаните практики, версиите на инструментите и дори терминологията се променят в рамките на месеци, а натрупаното техническо съдържание остарява по-бързо, отколкото се обновява. Емпиричното изследване на остарелите отговори в най-голямата платформа за програмистки въпроси установява, че над половината от тях (58,4 на сто) са били остарели още при публикуването си, а едва една пета (20,5 на сто) някога биват обновени [24]. За настоящата работа това има двойно значение: то обяснява защо критерият за актуалност е обособен самостоятелно, а не включен в общата фактическа коректност, и защо апробирането е насочено именно към бързо развиваща се област — там несъответствието между времето на обучителните данни и настоящия момент се проявява най-отчетливо.</w:t>
      </w:r>
    </w:p>
    <w:p>
      <w:pPr>
        <w:spacing w:after="120" w:line="360"/>
        <w:ind w:firstLine="709"/>
        <w:jc w:val="both"/>
      </w:pPr>
      <w:r>
        <w:rPr>
          <w:rFonts w:ascii="Times New Roman" w:cs="Times New Roman" w:eastAsia="Times New Roman" w:hAnsi="Times New Roman"/>
          <w:sz w:val="24"/>
          <w:szCs w:val="24"/>
        </w:rPr>
        <w:t>Върху тази основа видовете електронно учебно съдържание могат да бъдат систематизирани по четири класификационни оси. Първата е формата на представяне, разгледана по-горе. Втората е доминиращата дидактическа функция, по която се разграничават електронен урок или учебен модул, електронна презентация, тестови въпроси и задачи, указания и обобщения за самоподготовка, справочни и допълнителни материали. Третата ос е степента на интерактивност — от рецептивно съдържание, предназначено само за възприемане, през интерактивно, изискващо действия от обучаемия, до адаптивно, което се променя според неговото поведение. Четвъртата ос е произходът на съдържанието. Ръководството на 1EdTech за съдържание, създадено с генеративен изкуствен интелект, степенува този признак в пет равнища — от съдържание, създадено от човек с минимална машинна помощ, през водено от човека и обогатено машинно, съвместно създадено под човешко ръководство и машинно доминирано с човешки надзор, до изцяло машинно генерирано с минимален или никакъв човешки контрол [49]. Съществено е, че генеративно създаденото съдържание не представлява нов вид по форма или функция — то възпроизвежда познатите видове електронни ресурси, но с принципно различен процес на създаване и с различен профил на рисковете за качеството.</w:t>
      </w:r>
    </w:p>
    <w:p>
      <w:pPr>
        <w:spacing w:after="120" w:line="360"/>
        <w:ind w:firstLine="709"/>
        <w:jc w:val="both"/>
      </w:pPr>
      <w:r>
        <w:rPr>
          <w:rFonts w:ascii="Times New Roman" w:cs="Times New Roman" w:eastAsia="Times New Roman" w:hAnsi="Times New Roman"/>
          <w:sz w:val="24"/>
          <w:szCs w:val="24"/>
        </w:rPr>
        <w:t xml:space="preserve">Накрая, оста на произхода заслужава разгръщане, защото с нея е свързан и контролът на качеството. Институционално създаваното съдържание — учебници, официални курсове — по правило преминава редакционен и рецензионен процес; съдържанието, създавано от отделния преподавател, се опира на неговата експертиза и понякога на колегиален преглед; съдържанието, създавано от самите обучаеми, се използва с изрична уговорка за статута му. Генеративно създаденото съдържание е единственият масов вид, който по подразбиране не преминава през никакъв утвърден контролен механизъм: то се произвежда извън редакционни процеси, а привидната му завършеност не подсказва нужда от преглед. Тази асиметрия между произход и контрол е още една формулировка на празнината, която настоящата работа адресира.</w:t>
      </w:r>
    </w:p>
    <w:p>
      <w:pPr>
        <w:spacing w:after="120" w:line="360"/>
        <w:ind w:firstLine="709"/>
        <w:jc w:val="both"/>
      </w:pPr>
      <w:r>
        <w:rPr>
          <w:rFonts w:ascii="Times New Roman" w:cs="Times New Roman" w:eastAsia="Times New Roman" w:hAnsi="Times New Roman"/>
          <w:sz w:val="24"/>
          <w:szCs w:val="24"/>
        </w:rPr>
        <w:t>За целите на настоящата разработка, и в съответствие с препоръчителното ограничение на обхвата, апробирането на предложения модел ще се съсредоточи върху два-три вида електронно учебно съдържание — електронен урок или учебен модул, тестови въпроси и кратки указания или обобщения за самоподготовка. Този подбор покрива трите основни функции на електронното съдържание (представяне на знание, оценяване, организиране на самоподготовката) и същевременно съответства на видовете, които най-често се създават с генеративни инструменти. След като са изяснени същността, функциите и видовете на електронното учебно съдържание, следващият логичен въпрос е на какви педагогически изисквания трябва да отговаря то, за да изпълнява ефективно предназначението си — предмет на следващата точка.</w:t>
      </w:r>
    </w:p>
    <w:p>
      <w:pPr>
        <w:spacing w:after="120" w:before="200"/>
        <w:jc w:val="center"/>
      </w:pPr>
      <w:r>
        <w:rPr>
          <w:rFonts w:ascii="Times New Roman" w:cs="Times New Roman" w:eastAsia="Times New Roman" w:hAnsi="Times New Roman"/>
          <w:i/>
          <w:iCs/>
          <w:sz w:val="20"/>
          <w:szCs w:val="20"/>
        </w:rPr>
        <w:t xml:space="preserve">Таблица 1. Класификационни оси на електронното учебно съдържание</w:t>
      </w:r>
    </w:p>
    <w:p>
      <w:pPr>
        <w:pStyle w:val="Heading2"/>
      </w:pPr>
      <w:r>
        <w:rPr>
          <w:rFonts w:ascii="Times New Roman" w:cs="Times New Roman" w:eastAsia="Times New Roman" w:hAnsi="Times New Roman"/>
          <w:b/>
          <w:bCs/>
          <w:sz w:val="26"/>
          <w:szCs w:val="26"/>
        </w:rPr>
        <w:t xml:space="preserve">1.2. Педагогически изисквания към електронното учебно съдържание</w:t>
      </w:r>
    </w:p>
    <w:p>
      <w:pPr>
        <w:spacing w:after="120" w:line="360"/>
        <w:ind w:firstLine="709"/>
        <w:jc w:val="both"/>
      </w:pPr>
      <w:r>
        <w:rPr>
          <w:rFonts w:ascii="Times New Roman" w:cs="Times New Roman" w:eastAsia="Times New Roman" w:hAnsi="Times New Roman"/>
          <w:sz w:val="24"/>
          <w:szCs w:val="24"/>
        </w:rPr>
        <w:t>Цифровият формат сам по себе си не придава учебна стойност на съдържанието: един и същ материал може да бъде дидактически издържан или напълно негоден в зависимост от това как е замислен и организиран. Затова към електронното учебно съдържание се предявяват педагогически изисквания, които произтичат не от технологията, а от учебните цели и от закономерностите на човешкото учене. Изведените по-долу изисквания са подредени тук в пет области: съответствие с учебните цели, структура и организация на изложението, достъпност, интерактивност и пригодност за самостоятелно електронно обучение.</w:t>
      </w:r>
    </w:p>
    <w:p>
      <w:pPr>
        <w:spacing w:after="120" w:line="360"/>
        <w:ind w:firstLine="709"/>
        <w:jc w:val="both"/>
      </w:pPr>
      <w:r>
        <w:rPr>
          <w:rFonts w:ascii="Times New Roman" w:cs="Times New Roman" w:eastAsia="Times New Roman" w:hAnsi="Times New Roman"/>
          <w:sz w:val="24"/>
          <w:szCs w:val="24"/>
        </w:rPr>
        <w:t>Изходната точка са учебните цели. Съдържанието се създава, за да бъдат постигнати предварително формулирани цели, и затова подборът на материала, учебните дейности и средствата за проверка трябва да са съгласувани с тях — включването на съдържание, което не обслужва нито една цел, е дефект, а не богатство. Като обобщение на общоприетите дидактически постановки Merrill извежда пет първи принципа на обучението: ученето се улеснява, когато обучаемият е въвлечен в решаването на реални задачи; когато наличното му знание се активира като основа за новото; когато новото знание му се демонстрира; когато той го прилага самостоятелно; и когато го интегрира в собствената си практика [30, с. 44–45]. Принципите са формулирани независимо от конкретната технология и затова са пригодни като изисквания към всякакво учебно съдържание — те описват какво съдържанието трябва да прави за обучаемия, а не как е произведено. Последното е съществено за настоящата работа: същите изисквания важат в еднаква степен за съдържание, създадено от преподавател, и за съдържание, генерирано с AI инструменти.</w:t>
      </w:r>
    </w:p>
    <w:p>
      <w:pPr>
        <w:spacing w:after="120" w:line="360"/>
        <w:ind w:firstLine="709"/>
        <w:jc w:val="both"/>
      </w:pPr>
      <w:r>
        <w:rPr>
          <w:rFonts w:ascii="Times New Roman" w:cs="Times New Roman" w:eastAsia="Times New Roman" w:hAnsi="Times New Roman"/>
          <w:sz w:val="24"/>
          <w:szCs w:val="24"/>
        </w:rPr>
        <w:t>Изискването за съответствие с целите има и утвърдена конструктивна рамка: принципът на конструктивното съгласуване, при който учебните цели, учебните дейности и средствата за оценяване се проектират като едно свързано цяло — тръгва се от намерените учебни резултати и от тях се извеждат както дейностите, така и проверката [26]. Приложен към електронното учебно съдържание, принципът дава прост и строг тест: за всеки елемент от материала трябва да може да се посочи целта, която той обслужва, и мястото, където постигането ѝ се проверява. Материал, който не издържа този тест, може да бъде информативен, но не е учебен в точния смисъл на думата — разграничение, което при генерираното съдържание придобива особена тежест, защото генериращият модел произвежда информативен текст без усилие, а учебен текст само по изключение.</w:t>
      </w:r>
    </w:p>
    <w:p>
      <w:pPr>
        <w:spacing w:after="120" w:line="360"/>
        <w:ind w:firstLine="709"/>
        <w:jc w:val="both"/>
      </w:pPr>
      <w:r>
        <w:rPr>
          <w:rFonts w:ascii="Times New Roman" w:cs="Times New Roman" w:eastAsia="Times New Roman" w:hAnsi="Times New Roman"/>
          <w:sz w:val="24"/>
          <w:szCs w:val="24"/>
        </w:rPr>
        <w:t>Зад изискванията за структура и обем стои и обща теоретична основа — теорията за когнитивното натоварване. Тя разграничава вътрешно натоварване, произтичащо от сложността на самия учебен материал, външно натоварване, породено от начина на представяне, и полезно натоварване, което в ревизираната формулировка на авторите не се добавя към общото натоварване, а преразпределя ресурсите на работната памет от външното към вътрешното; централното предписание е обработката, несъществена за ученето, да се сведе до минимум, а съществената за него — да се оптимизира [27]. Двадесетгодишното развитие на теорията е дало серия от емпирично проверени ефекти — за разработените примери, за разделеното внимание, за излишъка — които стоят в основата и на мултимедийните принципи. За изискванията към електронното съдържание следствията са преки: изложението да се сегментира според сложността, несъщественото да отпада, а новите умения да се въвеждат с работени примери преди самостоятелните задачи.</w:t>
      </w:r>
    </w:p>
    <w:p>
      <w:pPr>
        <w:spacing w:after="120" w:line="360"/>
        <w:ind w:firstLine="709"/>
        <w:jc w:val="both"/>
      </w:pPr>
      <w:r>
        <w:rPr>
          <w:rFonts w:ascii="Times New Roman" w:cs="Times New Roman" w:eastAsia="Times New Roman" w:hAnsi="Times New Roman"/>
          <w:sz w:val="24"/>
          <w:szCs w:val="24"/>
        </w:rPr>
        <w:t xml:space="preserve">Теорията за когнитивното натоварване има и специфично значение за генерираното съдържание. Езиковият модел не разполага с представа за работната памет на обучаемия и не управлява натоварването съзнателно: склонността му към многословие и към изчерпателност на всяка цена увеличава точно външното натоварване, което дидактически издържаният материал би минимизирал. Затова изискването за икономия на изложението не е стилистична препоръка, а когнитивно обосновано условие — всяко излишно изречение се конкурира за ограничен ресурс с ученето. Проверимото следствие, което по-късно влиза в модела, е двойно: материалът да не съдържа части без учебна функция и да въвежда сложността постепенно, а не наведнъж.</w:t>
      </w:r>
    </w:p>
    <w:p>
      <w:pPr>
        <w:spacing w:after="120" w:line="360"/>
        <w:ind w:firstLine="709"/>
        <w:jc w:val="both"/>
      </w:pPr>
      <w:r>
        <w:rPr>
          <w:rFonts w:ascii="Times New Roman" w:cs="Times New Roman" w:eastAsia="Times New Roman" w:hAnsi="Times New Roman"/>
          <w:sz w:val="24"/>
          <w:szCs w:val="24"/>
        </w:rPr>
        <w:t>Петте области изисквания се проявяват различно при различните видове съдържание, което има значение за оценяването. При електронния урок водещи са последователността, управлението на натоварването и активното учене; при тестовите въпроси — съответствието с целите, еднозначността на верния отговор и качеството на обратната връзка към всеки отговор; при указанията за самоподготовка — пълнотата и изпълнимостта на стъпките и предвиждането на типичните затруднения. Общата рамка остава една и съща, но тежестта на отделните изисквания се мести според вида на материала.</w:t>
      </w:r>
    </w:p>
    <w:p>
      <w:pPr>
        <w:spacing w:after="120" w:line="360"/>
        <w:ind w:firstLine="709"/>
        <w:jc w:val="both"/>
      </w:pPr>
      <w:r>
        <w:rPr>
          <w:rFonts w:ascii="Times New Roman" w:cs="Times New Roman" w:eastAsia="Times New Roman" w:hAnsi="Times New Roman"/>
          <w:sz w:val="24"/>
          <w:szCs w:val="24"/>
        </w:rPr>
        <w:t>Изискванията към структурата имат и количествено измерение, което рядко се формулира изрично, но е съществено при оценяване: обемът на материала спрямо отделеното за него учебно време. Материал, замислен за едно занятие, но написан с обем за три, не е по-добър от по-краткия — той е неизползваем в предвидената форма и принуждава преподавателя или да го съкращава, или да пренарежда курса. Генерираното съдържание е особено податливо на този дефект: рамките за генериране на учебно съдържание въвеждат изрични ограничения върху броя на думите, речника и сложността на изреченията именно защото зададеният обем не се спазва сам по себе си [47]. Затова съответствието между обем, сложност и разполагаемо време влиза сред проверимите показатели, а не се приема за подразбиращо се.</w:t>
      </w:r>
    </w:p>
    <w:p>
      <w:pPr>
        <w:spacing w:after="120" w:line="360"/>
        <w:ind w:firstLine="709"/>
        <w:jc w:val="both"/>
      </w:pPr>
      <w:r>
        <w:rPr>
          <w:rFonts w:ascii="Times New Roman" w:cs="Times New Roman" w:eastAsia="Times New Roman" w:hAnsi="Times New Roman"/>
          <w:sz w:val="24"/>
          <w:szCs w:val="24"/>
        </w:rPr>
        <w:t>По отношение на структурата електронното учебно съдържание трябва да следва логическа последователност, съответстваща на учебната логика на дисциплината; да бъде разделено на по-малки смислови единици, които се усвояват стъпка по стъпка; и да въвежда ключовите понятия преди по-сложното изложение, което се опира на тях. Изследванията върху мултимедийното учене потвърждават ползата от сегментирането на съдържанието и от предварителната подготовка с основните понятия [38]. Към структурните изисквания спада и ясната навигация: обучаемият следва по всяко време да може да установи къде се намира в учебния материал, какво е усвоил и какво предстои.</w:t>
      </w:r>
    </w:p>
    <w:p>
      <w:pPr>
        <w:spacing w:after="120" w:line="360"/>
        <w:ind w:firstLine="709"/>
        <w:jc w:val="both"/>
      </w:pPr>
      <w:r>
        <w:rPr>
          <w:rFonts w:ascii="Times New Roman" w:cs="Times New Roman" w:eastAsia="Times New Roman" w:hAnsi="Times New Roman"/>
          <w:sz w:val="24"/>
          <w:szCs w:val="24"/>
        </w:rPr>
        <w:t>Изискването за достъпност има двоен смисъл. В технически смисъл съдържанието трябва да бъде използваемо на различни устройства и от обучаеми с различни възможности, включително от хора с увреждания. В когнитивен смисъл достъпността означава език, стил и начин на представяне, съобразени с предварителните знания, възрастта и особеностите на конкретната аудитория — съдържание, което е фактически вярно, но написано над равнището на обучаемите, не изпълнява предназначението си. В европейската рамка DigCompEdu изборът и създаването на дигитални ресурси изрично се обвързват с отчитането на конкретната учебна цел, контекста и характеристиките на обучаемите [12, обл. 2].</w:t>
      </w:r>
    </w:p>
    <w:p>
      <w:pPr>
        <w:spacing w:after="120" w:line="360"/>
        <w:ind w:firstLine="709"/>
        <w:jc w:val="both"/>
      </w:pPr>
      <w:r>
        <w:rPr>
          <w:rFonts w:ascii="Times New Roman" w:cs="Times New Roman" w:eastAsia="Times New Roman" w:hAnsi="Times New Roman"/>
          <w:sz w:val="24"/>
          <w:szCs w:val="24"/>
        </w:rPr>
        <w:t>Интерактивността е педагогически ценна само когато поражда учебна активност, а не механично взаимодействие с интерфейса. Изискванията към упражненията и проверката са няколко: взаимодействията да са достатъчно на брой за постигане на целта; задачите да отразяват реалните дейности, за които обучаемият се подготвя; и обратната връзка да бъде съдържателна. Експерименталното изследване на разгърнатата обратна връзка обаче показва, че ефектът ѝ е условен: подробното обяснение подобрява възприемането на обратната връзка и преноса на наученото при задачи със свободен отговор, но не и при въпроси с множествен избор [48]. Тези изисквания кореспондират пряко с принципа за прилагане на новото знание у Merrill: без упражнения с обратна връзка електронното съдържание остава само представяне на информация.</w:t>
      </w:r>
    </w:p>
    <w:p>
      <w:pPr>
        <w:spacing w:after="120" w:line="360"/>
        <w:ind w:firstLine="709"/>
        <w:jc w:val="both"/>
      </w:pPr>
      <w:r>
        <w:rPr>
          <w:rFonts w:ascii="Times New Roman" w:cs="Times New Roman" w:eastAsia="Times New Roman" w:hAnsi="Times New Roman"/>
          <w:sz w:val="24"/>
          <w:szCs w:val="24"/>
        </w:rPr>
        <w:t>Обратната връзка заслужава отделно внимание, защото е елементът, който най-често отсъства в генерираните материали. Педагогическата ѝ стойност не е в потвърждаването на верния отговор, а в обяснението. Разгърнатата обратна връзка се определя като допълнителна инструктивна информация към верния отговор — обяснения, насоки и стъпки за решаване [48]. Проверимият показател следователно засяга не наличието на верен отговор, а наличието и съдържателността на обяснението към него.</w:t>
      </w:r>
    </w:p>
    <w:p>
      <w:pPr>
        <w:spacing w:after="120" w:line="360"/>
        <w:ind w:firstLine="709"/>
        <w:jc w:val="both"/>
      </w:pPr>
      <w:r>
        <w:rPr>
          <w:rFonts w:ascii="Times New Roman" w:cs="Times New Roman" w:eastAsia="Times New Roman" w:hAnsi="Times New Roman"/>
          <w:sz w:val="24"/>
          <w:szCs w:val="24"/>
        </w:rPr>
        <w:t xml:space="preserve">Достъпността има и трето, организационно измерение, което често се пренебрегва: наличието на алтернативни пътища през съдържанието. Обучаемият, който вече владее част от материала, следва да може да я подмине; онзи, който се затруднява, следва да намери допълнително обяснение или пример. При печатните материали това се постига трудно; електронната среда го прави технически възможно, но само ако съдържанието е предвидено и структурирано за него. Генерираните материали по правило са линейни — те следват един път през темата, защото заявката е поискала текст, а не структура от възможни пътища. Това не е дефект в тесния смисъл, а ограничение, което проверяващият следва да отчита, когато преценява доколко материалът е готов за самостоятелно използване.</w:t>
      </w:r>
    </w:p>
    <w:p>
      <w:pPr>
        <w:spacing w:after="120" w:line="360"/>
        <w:ind w:firstLine="709"/>
        <w:jc w:val="both"/>
      </w:pPr>
      <w:r>
        <w:rPr>
          <w:rFonts w:ascii="Times New Roman" w:cs="Times New Roman" w:eastAsia="Times New Roman" w:hAnsi="Times New Roman"/>
          <w:sz w:val="24"/>
          <w:szCs w:val="24"/>
        </w:rPr>
        <w:t>Накрая, пригодността за електронно обучение обобщава спецификата на средата: за разлика от учебните материали, използвани в присъствено обучение, електронното съдържание често функционира без постоянното присъствие на преподавател. Оттук произтичат изисквания за пълнота и яснота на указанията, за самодостатъчност на изложението и за вградени възможности за самопроверка. Сравнителният анализ на ръководни документи за качество на онлайн учебни материали от различни образователни контексти показва, че описаните дотук педагогически и визуални изисквания се систематизират в проверими насоки за дизайн и оценяване: рубриката на Quality Matters за висшето образование ги подрежда в осем общи и четиридесет и четири конкретни ревизионни стандарта [52] — което подготвя прехода от изисквания към критерии, предмет на следващия етап от изследването. Преди това обаче е необходимо да се изясни какво представляват генеративните инструменти с изкуствен интелект, чието съдържание ще бъде обект на оценяване — задача на точка 1.3.</w:t>
      </w:r>
    </w:p>
    <w:p>
      <w:pPr>
        <w:spacing w:after="120" w:line="360"/>
        <w:ind w:firstLine="709"/>
        <w:jc w:val="both"/>
      </w:pPr>
      <w:r>
        <w:rPr>
          <w:rFonts w:ascii="Times New Roman" w:cs="Times New Roman" w:eastAsia="Times New Roman" w:hAnsi="Times New Roman"/>
          <w:sz w:val="24"/>
          <w:szCs w:val="24"/>
        </w:rPr>
        <w:t xml:space="preserve">Обобщено, петте области изисквания — съответствие с целите, структура, достъпност, интерактивност и пригодност за самостоятелно обучение — образуват съдържателната основа, върху която ще бъдат изградени критериите за качество. Тяхната стойност за настоящата работа е в това, че са формулирани независимо от начина на създаване на съдържанието: те не питат кой е написал материала, а какво материалът прави за обучаемия. Именно затова могат да бъдат приложени без изменение и към генерираното съдържание — с уточнението, направено по-горе, че при него вероятността да бъдат нарушени е систематично по-висока и че формата на изложението не е доказателство за тяхното изпълнение.</w:t>
      </w:r>
    </w:p>
    <w:p>
      <w:pPr>
        <w:pStyle w:val="Heading2"/>
      </w:pPr>
      <w:r>
        <w:rPr>
          <w:rFonts w:ascii="Times New Roman" w:cs="Times New Roman" w:eastAsia="Times New Roman" w:hAnsi="Times New Roman"/>
          <w:b/>
          <w:bCs/>
          <w:sz w:val="26"/>
          <w:szCs w:val="26"/>
        </w:rPr>
        <w:t xml:space="preserve">1.3. Същност и основни характеристики на генеративните инструменти с изкуствен интелект</w:t>
      </w:r>
    </w:p>
    <w:p>
      <w:pPr>
        <w:spacing w:after="120" w:line="360"/>
        <w:ind w:firstLine="709"/>
        <w:jc w:val="both"/>
      </w:pPr>
      <w:r>
        <w:rPr>
          <w:rFonts w:ascii="Times New Roman" w:cs="Times New Roman" w:eastAsia="Times New Roman" w:hAnsi="Times New Roman"/>
          <w:sz w:val="24"/>
          <w:szCs w:val="24"/>
        </w:rPr>
        <w:t>Под генеративни инструменти с изкуствен интелект в настоящата работа се разбират софтуерни системи, които създават ново съдържание — текст, изображения, аудио или програмен код — въз основа на заявка, формулирана от потребителя на естествен език. Изследванията върху приложението на генеративния изкуствен интелект в образованието нарастват рязко след пускането на ChatGPT през ноември 2022 г.: библиометричният анализ на полето отчита значителен и експоненциален ръст на публикациите през 2023 г. [46]. За целите на настоящото изследване интерес представляват преди всичко текстово-генериращите инструменти, тъй като именно те се използват за създаване на учебни текстове, тестови въпроси и указания — видовете съдържание, върху които ще бъде апробиран предложеният модел.</w:t>
      </w:r>
    </w:p>
    <w:p>
      <w:pPr>
        <w:spacing w:after="120" w:line="360"/>
        <w:ind w:firstLine="709"/>
        <w:jc w:val="both"/>
      </w:pPr>
      <w:r>
        <w:rPr>
          <w:rFonts w:ascii="Times New Roman" w:cs="Times New Roman" w:eastAsia="Times New Roman" w:hAnsi="Times New Roman"/>
          <w:sz w:val="24"/>
          <w:szCs w:val="24"/>
        </w:rPr>
        <w:t>За целите на оценяването е полезно да се уточнят три работни характеристики на тези модели. Първата е начинът на обработка на текста: моделът не работи с думи, а с по-малки единици, наречени токени, и на всяка стъпка избира следващата единица въз основа на вече генерираните [44]. Втората е контекстният прозорец — ограниченият обем текст, който моделът може да отчита едновременно. Емпиричните изследвания показват, че подадената информация не се използва еднакво надеждно по цялата си дължина: представянето се влошава осезаемо, когато същественото е разположено в средата на дълъг контекст, а не в началото или края му [33]. Третата е вероятностният подбор при генерирането: методите, основани на извадка, избират следващата единица от вероятностно разпределение, като запазват възможността да бъде избрана и всяка от останалите, поради което при едни и същи входни данни моделът може да произведе различни изходи [44].</w:t>
      </w:r>
    </w:p>
    <w:p>
      <w:pPr>
        <w:spacing w:after="120" w:line="360"/>
        <w:ind w:firstLine="709"/>
        <w:jc w:val="both"/>
      </w:pPr>
      <w:r>
        <w:rPr>
          <w:rFonts w:ascii="Times New Roman" w:cs="Times New Roman" w:eastAsia="Times New Roman" w:hAnsi="Times New Roman"/>
          <w:sz w:val="24"/>
          <w:szCs w:val="24"/>
        </w:rPr>
        <w:t xml:space="preserve">Третата характеристика има съществено методологическо следствие, което засяга пряко всяко апробиране: генерирането не е възпроизводимо в строгия смисъл. Две последователни заявки с идентичен текст могат да дадат материали с различно качество, а обновяването на модела от доставчика променя поведението му без предизвестие. Оттук следва, че оценката на конкретен генериран материал не е оценка на инструмента, който го е произвел — заключение, което ограничава обхвата на всяко апробиране, включително и на предстоящото, и подлежи на изрично деклариране.</w:t>
      </w:r>
    </w:p>
    <w:p>
      <w:pPr>
        <w:spacing w:after="120" w:line="360"/>
        <w:ind w:firstLine="709"/>
        <w:jc w:val="both"/>
      </w:pPr>
      <w:r>
        <w:rPr>
          <w:rFonts w:ascii="Times New Roman" w:cs="Times New Roman" w:eastAsia="Times New Roman" w:hAnsi="Times New Roman"/>
          <w:sz w:val="24"/>
          <w:szCs w:val="24"/>
        </w:rPr>
        <w:t>В основата на съвременните текстово-генериращи инструменти стоят големите езикови модели — невронни мрежи, обучени върху огромни текстови масиви да предсказват най-вероятното продължение на даден текст. Архитектурно те стъпват на трансформера и на механизма на самовнимание, а обучението им протича на два етапа — предварително обучение върху голям корпус и последваща настройка за конкретна задача, след която моделът произвежда свързан, стилистично издържан текст по практически всякаква тема [16]. Принципът на действие обаче остава вероятностен: моделът не извлича проверени факти от база знания, а генерира текст, който е статистически правдоподобен спрямо обучителните данни. От това следва основополагащо за настоящата работа разграничение — плавността и убедителността на изказа не са показател за неговата вярност. Езиковият модел може да формулира еднакво уверено както точно, така и невярно твърдение, защото механизмът на генериране не съдържа вътрешна проверка за истинност.</w:t>
      </w:r>
    </w:p>
    <w:p>
      <w:pPr>
        <w:spacing w:after="120" w:line="360"/>
        <w:ind w:firstLine="709"/>
        <w:jc w:val="both"/>
      </w:pPr>
      <w:r>
        <w:rPr>
          <w:rFonts w:ascii="Times New Roman" w:cs="Times New Roman" w:eastAsia="Times New Roman" w:hAnsi="Times New Roman"/>
          <w:sz w:val="24"/>
          <w:szCs w:val="24"/>
        </w:rPr>
        <w:t>Възможностите, които тези инструменти предлагат на образованието, са документирани в бързо растяща литература. За преподавателите те могат да подпомагат подготовката на учебни текстове, резюмета, примери, тестови въпроси и материали с различна степен на сложност, съобразени с конкретна аудитория; за обучаемите — да предоставят обяснения, отговори на въпроси и персонализирана подкрепа при самоподготовка [16]. Прегледът на полето обхваща приложения за оценяване, за персонализирана подкрепа на обучаемите и за интелигентни системи за обучение [46]. Общият знаменател на тези възможности е рязкото снижаване на разходите на време и усилия за създаване на учебни материали — дейност, която традиционно е сред най-трудоемките в преподавателската работа.</w:t>
      </w:r>
    </w:p>
    <w:p>
      <w:pPr>
        <w:spacing w:after="120" w:line="360"/>
        <w:ind w:firstLine="709"/>
        <w:jc w:val="both"/>
      </w:pPr>
      <w:r>
        <w:rPr>
          <w:rFonts w:ascii="Times New Roman" w:cs="Times New Roman" w:eastAsia="Times New Roman" w:hAnsi="Times New Roman"/>
          <w:sz w:val="24"/>
          <w:szCs w:val="24"/>
        </w:rPr>
        <w:t>Съществуват и технически подходи за ограничаване на описаните дефицити, които заслужават споменаване, защото очертават границите на постижимото. Допълнителното обучение върху специализирани данни може да приближи изхода до определен предметен или стилов профил, а генерирането, обогатено с извличане, привлича знание от външни бази данни и според систематичния преглед на подхода повишава точността и достоверността на изхода, като същевременно позволява непрекъснато обновяване на знанието и включване на предметно специфична информация [45]. И двата подхода обаче изместват проблема, вместо да го премахнат: качеството на изхода става зависимо от качеството и актуалността на подадените данни, а проверката остава необходима, защото моделът продължава да преформулира извлеченото със собствени думи. Систематизациите на халюцинациите достигат до същия извод — надеждното им отстраняване на равнище модел остава открит проблем [28].</w:t>
      </w:r>
    </w:p>
    <w:p>
      <w:pPr>
        <w:spacing w:after="120" w:line="360"/>
        <w:ind w:firstLine="709"/>
        <w:jc w:val="both"/>
      </w:pPr>
      <w:r>
        <w:rPr>
          <w:rFonts w:ascii="Times New Roman" w:cs="Times New Roman" w:eastAsia="Times New Roman" w:hAnsi="Times New Roman"/>
          <w:sz w:val="24"/>
          <w:szCs w:val="24"/>
        </w:rPr>
        <w:t>Срещу тези възможности стоят ограничения, които имат пряко отношение към качеството на генерираното учебно съдържание. Най-същественото от тях са т.нар. халюцинации — фактически неверни твърдения, измислени източници или несъществуващи данни, поднесени с езикова увереност, неразличима от тази на верните твърдения. Към тях се добавят зависимостта от обучителните данни, която ограничава актуалността на информацията и възпроизвежда съдържащите се в данните пристрастия и неравномерно покритие на отделни области и езици; склонността към шаблонни, повърхностни формулировки при по-сложни теми; и липсата на действително разбиране на предметната област и на педагогически замисъл — моделът имитира формата на учебния текст, без да носи отговорност за неговата дидактическа логика [16]. Тези ограничения не са дефекти на отделни продукти, които предстои да бъдат отстранени с следваща версия, а следствия от самия принцип на действие.</w:t>
      </w:r>
    </w:p>
    <w:p>
      <w:pPr>
        <w:spacing w:after="120" w:line="360"/>
        <w:ind w:firstLine="709"/>
        <w:jc w:val="both"/>
      </w:pPr>
      <w:r>
        <w:rPr>
          <w:rFonts w:ascii="Times New Roman" w:cs="Times New Roman" w:eastAsia="Times New Roman" w:hAnsi="Times New Roman"/>
          <w:sz w:val="24"/>
          <w:szCs w:val="24"/>
        </w:rPr>
        <w:t>Сред изброените ограничения халюцинациите заслужават отделно внимание, защото около тях се е обособило самостоятелно изследователско поле. Систематизациите разграничават фактологични халюцинации — противоречие с установими факти — и халюцинации на верността, при които генерираният текст се отклонява от подадения контекст или инструкция; проследяват причините им по цялата верига от обучителните данни през обучението до самото генериране; и стигат до отрезвяващ извод: надеждното откриване и отстраняване на халюцинациите на равнище модел остава открит изследователски проблем [28]. За настоящата работа този извод има пряко следствие — щом самите създатели на моделите не могат да гарантират отсъствие на халюцинации, проверката на изхода не е временна предпазна мярка до следващата, по-добра версия, а постоянен елемент от отговорната употреба.</w:t>
      </w:r>
    </w:p>
    <w:p>
      <w:pPr>
        <w:spacing w:after="120" w:line="360"/>
        <w:ind w:firstLine="709"/>
        <w:jc w:val="both"/>
      </w:pPr>
      <w:r>
        <w:rPr>
          <w:rFonts w:ascii="Times New Roman" w:cs="Times New Roman" w:eastAsia="Times New Roman" w:hAnsi="Times New Roman"/>
          <w:sz w:val="24"/>
          <w:szCs w:val="24"/>
        </w:rPr>
        <w:t xml:space="preserve">Отвъд текста стои и мултимодалното генериране, което разширява обхвата на разглежданите инструменти. Съвременните системи произвеждат изображения по текстово описание, преобразуват текст в реч и обратно, а най-новите поколения създават кратки видеопоследователности. За електронното учебно съдържание това означава възможност за автоматично изготвяне на илюстрации, схеми, аудиоверсии на учебни текстове и субтитри — тоест на точно тези елементи, които правят материала мултимодален и по-достъпен. Рисковете обаче се пренасят и в новите модалности, при това с нови форми: генерираното изображение може да съдържа фактически невярна схема, неправилно означени елементи или неразбираем текст в самата графика, а синтезираната реч може да поставя погрешно ударение върху термини. Настоящата работа съзнателно ограничава обхвата си до текстово съдържание, тъй като оценяването на визуални и звукови материали изисква отделна система от критерии; разширяването в тази посока е посочено сред насоките за бъдещо развитие.</w:t>
      </w:r>
    </w:p>
    <w:p>
      <w:pPr>
        <w:spacing w:after="120" w:line="360"/>
        <w:ind w:firstLine="709"/>
        <w:jc w:val="both"/>
      </w:pPr>
      <w:r>
        <w:rPr>
          <w:rFonts w:ascii="Times New Roman" w:cs="Times New Roman" w:eastAsia="Times New Roman" w:hAnsi="Times New Roman"/>
          <w:sz w:val="24"/>
          <w:szCs w:val="24"/>
        </w:rPr>
        <w:t>Полезно е да се очертаят и режимите на човешко участие, тъй като те определят къде в процеса може да бъде вграден контролът. При първия режим човекът одобрява всяка стъпка: заявка, резултат, корекция, следваща заявка. При втория човекът задава рамката и одобрява крайния резултат, без да следи междинните стъпки; мулти-агентните реализации предвиждат именно такива междинни режими — направляван по каталог и направляван чрез обратна връзка [23]. При третия системата работи автономно, а човекът се намесва само при сигнал за проблем. Съотношението между тези режими и необходимата проверка е обратно пропорционално: колкото по-малко е междинното участие, толкова по-обстойна трябва да бъде крайната проверка. Масовата практика днес се разполага между първия и втория режим, което определя и предназначението на модела за оценяване — той е инструмент за крайната проверка, приложим и в двата случая.</w:t>
      </w:r>
    </w:p>
    <w:p>
      <w:pPr>
        <w:spacing w:after="120" w:line="360"/>
        <w:ind w:firstLine="709"/>
        <w:jc w:val="both"/>
      </w:pPr>
      <w:r>
        <w:rPr>
          <w:rFonts w:ascii="Times New Roman" w:cs="Times New Roman" w:eastAsia="Times New Roman" w:hAnsi="Times New Roman"/>
          <w:sz w:val="24"/>
          <w:szCs w:val="24"/>
        </w:rPr>
        <w:t xml:space="preserve">Оттук произтича и централният за настоящата работа извод: възможностите и ограниченията на генеративните инструменти имат общ корен — вероятностния механизъм на генериране. Същото свойство, което прави инструмента продуктивен и гъвкав, прави изхода му структурно негарантиран по отношение на вярност, дидактическа пригодност и оригиналност. На равнището на самия инструмент не съществува вградена гаранция за качество; тя може да бъде осигурена единствено чрез външна, систематична проверка, извършена от човек с предметна и педагогическа компетентност. Именно това обстоятелство обосновава необходимостта от модел за оценяване на качеството на AI-генерирано учебно съдържание — какъвто настоящата работа си поставя за цел да разработи.</w:t>
      </w:r>
    </w:p>
    <w:p>
      <w:pPr>
        <w:spacing w:after="120" w:line="360"/>
        <w:ind w:firstLine="709"/>
        <w:jc w:val="both"/>
      </w:pPr>
      <w:r>
        <w:rPr>
          <w:rFonts w:ascii="Times New Roman" w:cs="Times New Roman" w:eastAsia="Times New Roman" w:hAnsi="Times New Roman"/>
          <w:sz w:val="24"/>
          <w:szCs w:val="24"/>
        </w:rPr>
        <w:t xml:space="preserve">Обобщено, характеристиките на генеративните инструменти, разгледани в настоящата точка, могат да бъдат сведени до четири положения, съществени за по-нататъшния анализ. Първо, изходът е вероятностен, следователно невъзпроизводим и структурно негарантиран по вярност. Второ, плавността на изказа е свойство на механизма и не носи информация за качеството на съдържанието. Трето, знанието на модела е фиксирано към минал момент и не се обновява, което поражда системен риск от неактуалност в бързо развиващи се области. Четвърто, отстраняването на тези ограничения на равнище модел остава нерешен изследователски проблем, поради което външната проверка не е временна мярка, а постоянен елемент от отговорната употреба. Тези четири положения се използват на много места в следващите точки и в основата на критериите за качество.</w:t>
      </w:r>
    </w:p>
    <w:p>
      <w:pPr>
        <w:spacing w:after="120" w:line="360"/>
        <w:ind w:firstLine="709"/>
        <w:jc w:val="both"/>
      </w:pPr>
      <w:r>
        <w:rPr>
          <w:rFonts w:ascii="Times New Roman" w:cs="Times New Roman" w:eastAsia="Times New Roman" w:hAnsi="Times New Roman"/>
          <w:sz w:val="24"/>
          <w:szCs w:val="24"/>
        </w:rPr>
        <w:t xml:space="preserve">След като са изяснени принципът на действие и границите на генеративните инструменти, следващата стъпка е да се разгледа конкретно как те се използват при разработването на учебни материали — какви подходи, работни процеси и равнища на автоматизация се обособяват в практиката и в литературата. Това е предмет на точка 1.4.</w:t>
      </w:r>
    </w:p>
    <w:p>
      <w:pPr>
        <w:pStyle w:val="Heading2"/>
      </w:pPr>
      <w:r>
        <w:rPr>
          <w:rFonts w:ascii="Times New Roman" w:cs="Times New Roman" w:eastAsia="Times New Roman" w:hAnsi="Times New Roman"/>
          <w:b/>
          <w:bCs/>
          <w:sz w:val="26"/>
          <w:szCs w:val="26"/>
        </w:rPr>
        <w:t xml:space="preserve">1.4. Възможности за използване на генеративни AI инструменти при разработване на учебни материали</w:t>
      </w:r>
    </w:p>
    <w:p>
      <w:pPr>
        <w:spacing w:after="120" w:line="360"/>
        <w:ind w:firstLine="709"/>
        <w:jc w:val="both"/>
      </w:pPr>
      <w:r>
        <w:rPr>
          <w:rFonts w:ascii="Times New Roman" w:cs="Times New Roman" w:eastAsia="Times New Roman" w:hAnsi="Times New Roman"/>
          <w:sz w:val="24"/>
          <w:szCs w:val="24"/>
        </w:rPr>
        <w:t>Установените в предходната точка възможности на генеративните инструменти се реализират при разработването на учебни материали по твърде различни начини. Прегледът на литературата показва, че приложенията не са еднородни: те се различават по степента на автоматизация и по мястото, което заема човекът в процеса на създаване. За целите на анализа те са подредени тук на три равнища — подпомогнато създаване чрез диалог, структурирани рамкови подходи и автономни системни реализации. Прегледът на полето обхваща приложения в целия учебен процес, без да предлага такава степенувана класификация [46].</w:t>
      </w:r>
    </w:p>
    <w:p>
      <w:pPr>
        <w:spacing w:after="120" w:line="360"/>
        <w:ind w:firstLine="709"/>
        <w:jc w:val="both"/>
      </w:pPr>
      <w:r>
        <w:rPr>
          <w:rFonts w:ascii="Times New Roman" w:cs="Times New Roman" w:eastAsia="Times New Roman" w:hAnsi="Times New Roman"/>
          <w:sz w:val="24"/>
          <w:szCs w:val="24"/>
        </w:rPr>
        <w:t>Първото и най-разпространено равнище е подпомогнатото създаване: преподавателят взаимодейства с инструмента чрез диалогов интерфейс и възлага отделни, ясно очертани задачи — изготвяне на учебни текстове по зададена тема и за определена аудитория, резюмета на по-обемни материали, примери и казуси, тестови въпроси от различни типове, указания за самостоятелна работа [16]. Тук авторството остава изцяло у преподавателя: инструментът произвежда чернови, които той подбира, коригира и одобрява. Качеството на резултата зависи както от умението да се формулират заявки, така и — решаващо — от предметната и педагогическата компетентност на проверяващия, тъй като всяка генерирана чернова подлежи на преценка още в хода на диалога.</w:t>
      </w:r>
    </w:p>
    <w:p>
      <w:pPr>
        <w:spacing w:after="120" w:line="360"/>
        <w:ind w:firstLine="709"/>
        <w:jc w:val="both"/>
      </w:pPr>
      <w:r>
        <w:rPr>
          <w:rFonts w:ascii="Times New Roman" w:cs="Times New Roman" w:eastAsia="Times New Roman" w:hAnsi="Times New Roman"/>
          <w:sz w:val="24"/>
          <w:szCs w:val="24"/>
        </w:rPr>
        <w:t>Второто равнище са рамковите подходи, които се стремят да дисциплинират това взаимодействие. Рамката GAIDE предлага систематизиран процес за използване на генеративни инструменти при разработване на курсово съдържание — от структурирането на заявките през итеративното усъвършенстване на резултатите до тяхната проверка и вграждане в курса [15]. По-широк поглед дава интегративният преглед на Chai и колектив върху 71 публикации, който картографира приложенията на генеративния изкуствен интелект по петте фази на класическия модел за инструкционен дизайн ADDIE — анализ, проектиране, разработване, внедряване и оценяване — и показва, че инструментите навлизат не само във фазата на разработване на съдържание, но по цялата верига на дизайнерския процес [14]. Общото между тези подходи е, че те вграждат проверката на качеството като изричен етап в работния процес, вместо да я оставят на преценката на момента.</w:t>
      </w:r>
    </w:p>
    <w:p>
      <w:pPr>
        <w:spacing w:after="120" w:line="360"/>
        <w:ind w:firstLine="709"/>
        <w:jc w:val="both"/>
      </w:pPr>
      <w:r>
        <w:rPr>
          <w:rFonts w:ascii="Times New Roman" w:cs="Times New Roman" w:eastAsia="Times New Roman" w:hAnsi="Times New Roman"/>
          <w:sz w:val="24"/>
          <w:szCs w:val="24"/>
        </w:rPr>
        <w:t>Между рамковите подходи и напълно автономните системи се разполага и трето, приложно направление — специализираните образователни платформи, проектирани за конкретна предметна област. Показателен пример от българската практика е концептуалният дизайн на платформа за обучение по дентална анатомия, в която се предвижда адаптивен алгоритъм да изгражда индивидуален профил на обучаемия, да генерира клинични сценарии и тестове съобразно равнището му и да анализира допуснатите грешки [3]. Такива решения показват накъде води логиката на вграждания контрол: колкото по-специализирана е платформата, толкова по-плътно педагогическите ограничения се вграждат в самото генериране. Същевременно те остават недостъпни за преподавателя, който работи с общодостъпен диалогов инструмент — а именно тази масова практика е предмет на настоящата работа.</w:t>
      </w:r>
    </w:p>
    <w:p>
      <w:pPr>
        <w:spacing w:after="120" w:line="360"/>
        <w:ind w:firstLine="709"/>
        <w:jc w:val="both"/>
      </w:pPr>
      <w:r>
        <w:rPr>
          <w:rFonts w:ascii="Times New Roman" w:cs="Times New Roman" w:eastAsia="Times New Roman" w:hAnsi="Times New Roman"/>
          <w:sz w:val="24"/>
          <w:szCs w:val="24"/>
        </w:rPr>
        <w:t>Третото равнище са системните реализации, при които генерирането е поверено на специализирана система, а не на диалог между преподавател и модел. Рамката COGENT генерира образователно съдържание, съобразено с учебната програма и с равнището на обучаемите, като вгражда педагогически ограничения — съответствие с програмата и контрол върху сложността на езика — направо в процеса на генериране [47]. Още по-далеч отива системата Instructional Agents — мулти-агентна архитектура, в която езикови модели изпълняват ролите на екип по инструкционен дизайн и създават от край до край комплект курсови материали, включително учебна програма, презентации и средства за оценяване, с изрично заявената цел да се намали натоварването на преподавателския състав; системата предвижда четири режима на човешко участие — автономен, направляван по каталог, направляван чрез обратна връзка и режим на пълно съвместно управление, което позволява гъвкав контрол върху степента на човешка намеса [23].</w:t>
      </w:r>
    </w:p>
    <w:p>
      <w:pPr>
        <w:spacing w:after="120" w:line="360"/>
        <w:ind w:firstLine="709"/>
        <w:jc w:val="both"/>
      </w:pPr>
      <w:r>
        <w:rPr>
          <w:rFonts w:ascii="Times New Roman" w:cs="Times New Roman" w:eastAsia="Times New Roman" w:hAnsi="Times New Roman"/>
          <w:sz w:val="24"/>
          <w:szCs w:val="24"/>
        </w:rPr>
        <w:t>Описаните равнища намират потвърждение и в българската практика. Прегледът на около 130 източника за приложението на изкуствения интелект в обучението по програмиране обобщава публикувани данни, според които генеративните инструменти вече се използват от преподаватели за съставяне на планове на занятия, генериране на задачи и на въпроси с множествен избор, като студентите не разпознават машинния произход на задачите и ги възприемат като подходящи по трудност [8]. Този резултат е показателен в две посоки: потвърждава практическата приложимост на инструментите и едновременно с това илюстрира централния проблем на работата — че възприеманото качество не е свидетелство за действителното [8]. Публикувано описание на инструментален работен процес в българско висше училище посочва значително съкращаване на времето за подготовка на стандартни учебни материали [6], което илюстрира стимула за масово навлизане на тези практики.</w:t>
      </w:r>
    </w:p>
    <w:p>
      <w:pPr>
        <w:spacing w:after="120" w:line="360"/>
        <w:ind w:firstLine="709"/>
        <w:jc w:val="both"/>
      </w:pPr>
      <w:r>
        <w:rPr>
          <w:rFonts w:ascii="Times New Roman" w:cs="Times New Roman" w:eastAsia="Times New Roman" w:hAnsi="Times New Roman"/>
          <w:sz w:val="24"/>
          <w:szCs w:val="24"/>
        </w:rPr>
        <w:t>Най-подробно документираният български опит с генериране на тестови въпроси илюстрира и трите равнища едновременно. Разработена в морско висше училище система обработва над 656 000 знака учебен текст на български и английски език и генерира 553 въпроса с множествен избор, като работният процес в осем стъпки задължително включва одобрение от преподавателя преди записване на всеки въпрос [2]. Съобщеният дял на въпросите, годни за пряка употреба, е между 95 и 99 на сто — резултат, който на пръв поглед поставя под въпрос необходимостта от систематична проверка. По-внимателният прочит обаче показва обратното: този дял е постигнат именно защото проверката е вградена като задължителна стъпка, а не защото инструментът произвежда годно съдържание сам по себе си [2]. Показателно е и че наблюдаваната склонност на модела да формулира въпроси по тесен детайл вместо по водещото понятие е наложила въвеждането на отделна стъпка за задаване на концептуалната дълбочина — тоест дидактически дефицит е бил компенсиран с процедурно средство.</w:t>
      </w:r>
    </w:p>
    <w:p>
      <w:pPr>
        <w:spacing w:after="120" w:line="360"/>
        <w:ind w:firstLine="709"/>
        <w:jc w:val="both"/>
      </w:pPr>
      <w:r>
        <w:rPr>
          <w:rFonts w:ascii="Times New Roman" w:cs="Times New Roman" w:eastAsia="Times New Roman" w:hAnsi="Times New Roman"/>
          <w:sz w:val="24"/>
          <w:szCs w:val="24"/>
        </w:rPr>
        <w:t>Отделен фактор, който преминава през всички равнища, е формулирането на заявката. Практическо ръководство за преподаватели извежда набор от правила — определяне на роля, предоставяне на контекст за аудиторията и предварителните ѝ знания, конкретност на задачата, работа на стъпки и съчетаване на генерирания резултат със собствена експертиза [6]. Значението на този фактор за настоящата работа е двойствено. От една страна, добре формулираната заявка действително подобрява изхода и е първата линия на контрол върху качеството. От друга страна, тя не е гаранция: заявката определя какво е поискано, но не и дали полученото е вярно, а точно проверката на второто е предмет на модела. Затова и апробирането използва умерено структурирани заявки — такива, каквито реален преподавател би написал — а не максимално оптимизирани, тъй като предмет на изследването е типичната, а не идеалната практика.</w:t>
      </w:r>
    </w:p>
    <w:p>
      <w:pPr>
        <w:spacing w:after="120" w:line="360"/>
        <w:ind w:firstLine="709"/>
        <w:jc w:val="both"/>
      </w:pPr>
      <w:r>
        <w:rPr>
          <w:rFonts w:ascii="Times New Roman" w:cs="Times New Roman" w:eastAsia="Times New Roman" w:hAnsi="Times New Roman"/>
          <w:sz w:val="24"/>
          <w:szCs w:val="24"/>
        </w:rPr>
        <w:t xml:space="preserve">Съпоставката на трите равнища откроява закономерност с пряко значение за настоящата работа: колкото по-високо е равнището на автоматизация, толкова по-малко човешка проверка съпровожда отделните стъпки на създаването — и толкова по-голяма тежест пада върху проверката на крайния продукт. При подпомогнатото създаване контролът е вплетен в самия диалог; при рамковите подходи той е обособен етап от процеса; при системните реализации проверка на всяка стъпка на практика не съществува и единствената гаранция за качество остава систематичното оценяване на готовия материал. С други думи, моделът за оценяване, който настоящата работа си поставя за цел да разработи, е приложим и полезен на всяко от трите равнища, но с нарастването на автоматизацията той се превръща от помощно средство в единствен механизъм за гаранция на качеството.</w:t>
      </w:r>
    </w:p>
    <w:p>
      <w:pPr>
        <w:spacing w:after="120" w:line="360"/>
        <w:ind w:firstLine="709"/>
        <w:jc w:val="both"/>
      </w:pPr>
      <w:r>
        <w:rPr>
          <w:rFonts w:ascii="Times New Roman" w:cs="Times New Roman" w:eastAsia="Times New Roman" w:hAnsi="Times New Roman"/>
          <w:sz w:val="24"/>
          <w:szCs w:val="24"/>
        </w:rPr>
        <w:t xml:space="preserve">За апробирането е избрано първото равнище — създаване на материали чрез диалог с широкодостъпен генеративен инструмент — тъй като то отговаря на масовата практика на преподавателя, който няма достъп до специализирани системи. Очертаните дотук възможности обаче вървят ръка за ръка с предимства, ограничения и рискове, чиято систематизация в образователен контекст е необходима, преди да се премине към критериите за качество — задача на следващата точка.</w:t>
      </w:r>
    </w:p>
    <w:p>
      <w:pPr>
        <w:spacing w:after="120" w:line="360"/>
        <w:ind w:firstLine="709"/>
        <w:jc w:val="both"/>
      </w:pPr>
      <w:r>
        <w:rPr>
          <w:rFonts w:ascii="Times New Roman" w:cs="Times New Roman" w:eastAsia="Times New Roman" w:hAnsi="Times New Roman"/>
          <w:sz w:val="24"/>
          <w:szCs w:val="24"/>
        </w:rPr>
        <w:t>Трите равнища се различават и по един аспект, който рядко се обсъжда, но е съществен за оценяването — проследимостта на процеса. При диалоговото създаване преподавателят разполага с пълна история на заявките и отговорите и може да възстанови как е възникнал материалът. При рамковите подходи процесът е документиран като последователност от стъпки [15]. При системните реализации крайният потребител получава готов резултат без видимост към пътя, по който е стигнато до него. Тъй като едно от изискванията към отговорната употреба е именно документиран процес на създаване, различните равнища на автоматизация се оказват и различно способни да го изпълнят — обстоятелство, което по-нататък се отразява в показателите за прозрачност на произхода.</w:t>
      </w:r>
    </w:p>
    <w:p>
      <w:pPr>
        <w:pStyle w:val="Heading2"/>
      </w:pPr>
      <w:r>
        <w:rPr>
          <w:rFonts w:ascii="Times New Roman" w:cs="Times New Roman" w:eastAsia="Times New Roman" w:hAnsi="Times New Roman"/>
          <w:b/>
          <w:bCs/>
          <w:sz w:val="26"/>
          <w:szCs w:val="26"/>
        </w:rPr>
        <w:t xml:space="preserve">1.5. Предимства, ограничения и рискове при използването им в образованието</w:t>
      </w:r>
    </w:p>
    <w:p>
      <w:pPr>
        <w:spacing w:after="120" w:line="360"/>
        <w:ind w:firstLine="709"/>
        <w:jc w:val="both"/>
      </w:pPr>
      <w:r>
        <w:rPr>
          <w:rFonts w:ascii="Times New Roman" w:cs="Times New Roman" w:eastAsia="Times New Roman" w:hAnsi="Times New Roman"/>
          <w:sz w:val="24"/>
          <w:szCs w:val="24"/>
        </w:rPr>
        <w:t>Разгледаните дотук характеристики и приложения се отнасяха до самите инструменти; настоящата точка премества погледа към образователната практика — какво печелят и какво рискуват преподавателите, обучаемите и институциите, когато генеративни инструменти навлязат в създаването на учебно съдържание. Полезна систематизираща рамка предлага анализът на силните и слабите страни, възможностите и заплахите (SWOT) на генеративния изкуствен интелект в инструкционния дизайн [21], който подрежда разпръснатите в литературата наблюдения в четири взаимно свързани полета.</w:t>
      </w:r>
    </w:p>
    <w:p>
      <w:pPr>
        <w:spacing w:after="120" w:line="360"/>
        <w:ind w:firstLine="709"/>
        <w:jc w:val="both"/>
      </w:pPr>
      <w:r>
        <w:rPr>
          <w:rFonts w:ascii="Times New Roman" w:cs="Times New Roman" w:eastAsia="Times New Roman" w:hAnsi="Times New Roman"/>
          <w:sz w:val="24"/>
          <w:szCs w:val="24"/>
        </w:rPr>
        <w:t>Уместно е и едно историческо уточнение: изкуственият интелект в образованието не започва с генеративните инструменти. Систематичният преглед на изследванията за периода 2007–2018 г. документира богата предистория — профилиране и прогнозиране на успеваемостта, интелигентни туторни системи, адаптивно оценяване — но и системен дефицит: слаба обвързаност на разработките с педагогическата теория и ограничено участие на педагози в създаването им [34]. Генеративната вълна наследява този дефицит в изострен вид — нейните инструменти са създадени извън образованието и без педагогически замисъл, а навлизат в него по-бързо от всяка предходна технология. Това прави систематизирането на предимствата и рисковете не академично упражнение, а условие за информирани решения на всяко равнище, от отделния преподавател до институцията.</w:t>
      </w:r>
    </w:p>
    <w:p>
      <w:pPr>
        <w:spacing w:after="120" w:line="360"/>
        <w:ind w:firstLine="709"/>
        <w:jc w:val="both"/>
      </w:pPr>
      <w:r>
        <w:rPr>
          <w:rFonts w:ascii="Times New Roman" w:cs="Times New Roman" w:eastAsia="Times New Roman" w:hAnsi="Times New Roman"/>
          <w:sz w:val="24"/>
          <w:szCs w:val="24"/>
        </w:rPr>
        <w:t>Предимствата са концентрирани около производителността и обхвата. Генеративните инструменти намаляват натоварването на преподавателя при подготовката на учебни материали и разнообразяват учебните дейности и задачи, което прави възможно създаването на различни версии на един и същ материал — за различни равнища на подготовка, стилове на представяне и формати [21]. Към това прегледът на полето добавя персонализираната подкрепа на обучаемите и интелигентните системи за обучение [46]. Тези предимства обясняват бързото навлизане на инструментите в преподавателската практика — то не е мода, а отговор на реален дефицит на време и ресурси.</w:t>
      </w:r>
    </w:p>
    <w:p>
      <w:pPr>
        <w:spacing w:after="120" w:line="360"/>
        <w:ind w:firstLine="709"/>
        <w:jc w:val="both"/>
      </w:pPr>
      <w:r>
        <w:rPr>
          <w:rFonts w:ascii="Times New Roman" w:cs="Times New Roman" w:eastAsia="Times New Roman" w:hAnsi="Times New Roman"/>
          <w:sz w:val="24"/>
          <w:szCs w:val="24"/>
        </w:rPr>
        <w:t>Слабите страни обаче засягат ядрото на учебното съдържание — неговата надеждност и точност. Генерираните материали може да съдържат фактически грешки и измислени източници, поднесени убедително; качеството е неравномерно и трудно предвидимо между отделни заявки; а при задачите и средствата за оценяване анализът отчита липса на дълбочина [21]. Тези слабости бяха обяснени в точка 1.3 като следствия от вероятностния принцип на действие; тук е важно друго — че в образователен контекст те не са козметични дефекти, а директна заплаха за учебния процес, защото обучаемият по правило не е в състояние сам да разпознае грешката в материала, по който учи.</w:t>
      </w:r>
    </w:p>
    <w:p>
      <w:pPr>
        <w:spacing w:after="120" w:line="360"/>
        <w:ind w:firstLine="709"/>
        <w:jc w:val="both"/>
      </w:pPr>
      <w:r>
        <w:rPr>
          <w:rFonts w:ascii="Times New Roman" w:cs="Times New Roman" w:eastAsia="Times New Roman" w:hAnsi="Times New Roman"/>
          <w:sz w:val="24"/>
          <w:szCs w:val="24"/>
        </w:rPr>
        <w:t>Отвъд слабостите на самите материали стоят рисковете за образователната среда. На първо място е академичната коректност. Литературата отбелязва, че става все по-трудно да се различи машинно от човешко авторство [16]; при неотчетено използване това размива границата между собствен и чужд труд както при обучаемите, така и при преподавателите и авторите на учебни ресурси. Следва рискът от прекомерна зависимост: авторите на цитирания анализ поставят въпроса дали прехвърлянето на подготовката върху инструмента не лишава преподавателя от ценна възможност сам да се учи как да преподава по-добре [21]. Към него се добавят рисковете за личните данни при работа с комерсиални платформи, за които литературата извежда изискване политиките за събиране, съхранение и използване на данните да съответстват на действащата правна уредба [16], както и рискът от неравен достъп: без справедлив достъп технологията може да задълбочи образователната пропаст както никоя друга преди нея [16]. Нито един от тези рискове не се отнася само до техниката — всички те засягат отношенията и отговорностите в образователния процес.</w:t>
      </w:r>
    </w:p>
    <w:p>
      <w:pPr>
        <w:spacing w:after="120" w:line="360"/>
        <w:ind w:firstLine="709"/>
        <w:jc w:val="both"/>
      </w:pPr>
      <w:r>
        <w:rPr>
          <w:rFonts w:ascii="Times New Roman" w:cs="Times New Roman" w:eastAsia="Times New Roman" w:hAnsi="Times New Roman"/>
          <w:sz w:val="24"/>
          <w:szCs w:val="24"/>
        </w:rPr>
        <w:t>Емпиричните данни за българския контекст очертават характерно разминаване между нагласи и практики. Проучване сред 68 педагогически специалисти от всички образователни степени установява положително отношение към образователните приложения на изкуствения интелект по три оценъчни скали, с около шестдесет на сто високи оценки по всяка от тях, но качественият анализ на реалните работни процеси показва, че реалната употреба изостава: преобладава инструментална логика на внедряване, а само отделни случаи достигат до трансформативна интеграция с педагогическа преработка на генерирания резултат [5]. Данните описват среда с висока готовност за използване на инструментите и все още неустановени практики за проверка на онова, което те произвеждат.</w:t>
      </w:r>
    </w:p>
    <w:p>
      <w:pPr>
        <w:spacing w:after="120" w:line="360"/>
        <w:ind w:firstLine="709"/>
        <w:jc w:val="both"/>
      </w:pPr>
      <w:r>
        <w:rPr>
          <w:rFonts w:ascii="Times New Roman" w:cs="Times New Roman" w:eastAsia="Times New Roman" w:hAnsi="Times New Roman"/>
          <w:sz w:val="24"/>
          <w:szCs w:val="24"/>
        </w:rPr>
        <w:t>Към рисковете за обучаемите българските публикации препращат и към данни за опасността от повърхностно усвояване, свързана с практиките на механично пренасяне на генерирания резултат; преодоляването ѝ се търси чрез педагогически подходи, при които инструментът подпомага, но не замества мисловния процес на обучаемия [4]. Двете страни на риска — за обучаемия, който заменя ученето с копиране, и за преподавателя, който заменя авторството с приемане на непроверен текст — имат общ корен: липсата на съзнателна преработка между генерирането и използването.</w:t>
      </w:r>
    </w:p>
    <w:p>
      <w:pPr>
        <w:spacing w:after="120" w:line="360"/>
        <w:ind w:firstLine="709"/>
        <w:jc w:val="both"/>
      </w:pPr>
      <w:r>
        <w:rPr>
          <w:rFonts w:ascii="Times New Roman" w:cs="Times New Roman" w:eastAsia="Times New Roman" w:hAnsi="Times New Roman"/>
          <w:sz w:val="24"/>
          <w:szCs w:val="24"/>
        </w:rPr>
        <w:t>Рисковете имат и институционално измерение, което често остава в сянката на индивидуалната употреба. Когато в едно висше училище стотици преподаватели започнат да използват генеративни инструменти без единни правила, институцията губи представа какъв дял от учебните ѝ ресурси е с машинен произход, по какви критерии е бил проверен и кой носи отговорност при установен дефект. Възниква и въпрос за съпоставимостта: два курса по една дисциплина могат да се окажат с различно качество на материалите не заради различна експертиза на преподавателите, а заради различни практики на проверка. Изследванията върху осигуряването на качеството извеждат именно оттук необходимостта интегрирането на изкуствения интелект да бъде вградено в институционалната рамка [41] — а вграждането предполага наличието на общ инструмент, по който проверката да се извършва и документира еднакво.</w:t>
      </w:r>
    </w:p>
    <w:p>
      <w:pPr>
        <w:spacing w:after="120" w:line="360"/>
        <w:ind w:firstLine="709"/>
        <w:jc w:val="both"/>
      </w:pPr>
      <w:r>
        <w:rPr>
          <w:rFonts w:ascii="Times New Roman" w:cs="Times New Roman" w:eastAsia="Times New Roman" w:hAnsi="Times New Roman"/>
          <w:sz w:val="24"/>
          <w:szCs w:val="24"/>
        </w:rPr>
        <w:t xml:space="preserve">Отделен въпрос е и разпределението на ползите и рисковете между участниците в образователния процес. Ползите от бързото създаване на съдържание се реализират непосредствено и се падат на създателя — преподавателя или институцията, които спестяват време и ресурс. Рисковете обаче се реализират отложено и се падат на обучаемия, който усвоява невярна информация, и на институцията, чиято репутация страда, когато това се разкрие. Тази асиметрия обяснява защо доброволната проверка не е достатъчна: онзи, който взема решението да използва генериран материал, не е онзи, който понася основната част от риска. Систематичното оценяване има смисъл именно като механизъм, който възстановява баланса — превръща отложения риск за обучаемия в непосредствено задължение за създателя.</w:t>
      </w:r>
    </w:p>
    <w:p>
      <w:pPr>
        <w:spacing w:after="120" w:line="360"/>
        <w:ind w:firstLine="709"/>
        <w:jc w:val="both"/>
      </w:pPr>
      <w:r>
        <w:rPr>
          <w:rFonts w:ascii="Times New Roman" w:cs="Times New Roman" w:eastAsia="Times New Roman" w:hAnsi="Times New Roman"/>
          <w:sz w:val="24"/>
          <w:szCs w:val="24"/>
        </w:rPr>
        <w:t>Отговорът на литературата не е отказ от инструментите, а отговорно използване. Цитираният източник извежда изискване за прозрачност, която позволява на потребителя да разбере изхода на модела и данните зад него, и за преглед и валидиране на генерираното от преподавател или специалист по предмета [16]. Балансът между полза и риск, с други думи, не се постига на равнище технология — той се решава на равнище практика, за всеки конкретен материал поотделно.</w:t>
      </w:r>
    </w:p>
    <w:p>
      <w:pPr>
        <w:spacing w:after="120" w:line="360"/>
        <w:ind w:firstLine="709"/>
        <w:jc w:val="both"/>
      </w:pPr>
      <w:r>
        <w:rPr>
          <w:rFonts w:ascii="Times New Roman" w:cs="Times New Roman" w:eastAsia="Times New Roman" w:hAnsi="Times New Roman"/>
          <w:sz w:val="24"/>
          <w:szCs w:val="24"/>
        </w:rPr>
        <w:t xml:space="preserve">Обобщено, разгледаните предимства, ограничения и рискове могат да бъдат подредени по адресат, което улеснява по-нататъшния анализ. За преподавателя основната полза е спестеното време, а основният риск — поемането на отговорност за съдържание, което не е създал и не е проверил. За обучаемия ползата е достъпът до повече и по-разнообразни материали, а рискът — усвояването на невярно знание, което той няма как да разпознае сам, и постепенното заместване на ученето с копиране. За институцията ползата е производителността на преподавателския състав, а рискът — загубата на контрол върху качеството на собствените ѝ ресурси и произтичащите от това репутационни и правни последици. Показателно е, че при всеки от трите адресата ползата настъпва веднага и е измерима, а рискът настъпва отложено и е труден за откриване — асиметрия, която обяснява защо предпазливостта отстъпва пред удобството и защо е необходим механизъм, който да я компенсира.</w:t>
      </w:r>
    </w:p>
    <w:p>
      <w:pPr>
        <w:spacing w:after="120" w:line="360"/>
        <w:ind w:firstLine="709"/>
        <w:jc w:val="both"/>
      </w:pPr>
      <w:r>
        <w:rPr>
          <w:rFonts w:ascii="Times New Roman" w:cs="Times New Roman" w:eastAsia="Times New Roman" w:hAnsi="Times New Roman"/>
          <w:sz w:val="24"/>
          <w:szCs w:val="24"/>
        </w:rPr>
        <w:t>Особено внимание заслужава един по-бавно проявяващ се риск — постепенната загуба на умения у самия преподавател. Създаването на учебни материали не е само производствена дейност: подготвяйки урок, преподавателят преосмисля структурата на материята, предвижда затрудненията на обучаемите и обновява собственото си разбиране. Прехвърлянето на тази дейност върху инструмент носи риск от отпадане и на скритата ѝ професионална полза. Изследванията върху взаимодействието с генеративни инструменти документират именно такъв риск: прекомерно доверие, повърхностно подражание и прекомерна зависимост от машинния изход [22].</w:t>
      </w:r>
    </w:p>
    <w:p>
      <w:pPr>
        <w:spacing w:after="120" w:line="360"/>
        <w:ind w:firstLine="709"/>
        <w:jc w:val="both"/>
      </w:pPr>
      <w:r>
        <w:rPr>
          <w:rFonts w:ascii="Times New Roman" w:cs="Times New Roman" w:eastAsia="Times New Roman" w:hAnsi="Times New Roman"/>
          <w:sz w:val="24"/>
          <w:szCs w:val="24"/>
        </w:rPr>
        <w:t xml:space="preserve">Оттук следва изводът, който свързва настоящата точка с останалата част на работата: границата между предимствата и рисковете минава през качеството на конкретния генериран материал и през процеса на неговата проверка. Същите инструменти, които спестяват време и разширяват възможностите, произвеждат и материалите с неравномерно качество — затова отговорното използване се нуждае от систематичен механизъм за оценяване, а не от добри намерения. Преди да се стигне до критериите за такова оценяване обаче, е необходимо да се очертаят етичните, правните и академичните изисквания, на които трябва да отговаря създаването на съдържание с изкуствен интелект — предмет на точка 1.6.</w:t>
      </w:r>
    </w:p>
    <w:p>
      <w:pPr>
        <w:pStyle w:val="Heading2"/>
      </w:pPr>
      <w:r>
        <w:rPr>
          <w:rFonts w:ascii="Times New Roman" w:cs="Times New Roman" w:eastAsia="Times New Roman" w:hAnsi="Times New Roman"/>
          <w:b/>
          <w:bCs/>
          <w:sz w:val="26"/>
          <w:szCs w:val="26"/>
        </w:rPr>
        <w:t xml:space="preserve">1.6. Етични, правни и академични изисквания при създаване на съдържание с AI</w:t>
      </w:r>
    </w:p>
    <w:p>
      <w:pPr>
        <w:spacing w:after="120" w:line="360"/>
        <w:ind w:firstLine="709"/>
        <w:jc w:val="both"/>
      </w:pPr>
      <w:r>
        <w:rPr>
          <w:rFonts w:ascii="Times New Roman" w:cs="Times New Roman" w:eastAsia="Times New Roman" w:hAnsi="Times New Roman"/>
          <w:sz w:val="24"/>
          <w:szCs w:val="24"/>
        </w:rPr>
        <w:t xml:space="preserve">Очертаните в предходната точка рискове не могат да бъдат управлявани само с добра воля — те пораждат конкретни етични, правни и академични изисквания към създаването на учебно съдържание с генеративни инструменти. Тези изисквания не са външна добавка към техническия процес, а условия за легитимното му използване в образованието; в настоящата точка те са разгледани в четири групи — авторство и отговорност, прозрачност, защита на данните и академична добросъвестност.</w:t>
      </w:r>
    </w:p>
    <w:p>
      <w:pPr>
        <w:spacing w:after="120" w:line="360"/>
        <w:ind w:firstLine="709"/>
        <w:jc w:val="both"/>
      </w:pPr>
      <w:r>
        <w:rPr>
          <w:rFonts w:ascii="Times New Roman" w:cs="Times New Roman" w:eastAsia="Times New Roman" w:hAnsi="Times New Roman"/>
          <w:sz w:val="24"/>
          <w:szCs w:val="24"/>
        </w:rPr>
        <w:t>Първото изискване засяга авторството и отговорността. Генеративният инструмент не е автор в правния и в академичния смисъл — той не носи и не може да носи отговорност за съдържанието, което произвежда, а правната уредба на произведенията, създадени с изкуствен интелект, остава неустановена и се развива различно в отделните юрисдикции. Устойчивото положение в образователната практика затова е функционално: литературата настоява генерираното съдържание да бъде преглеждано, валидирано и обяснявано от преподавателя [16], откъдето следва, че отговорността за учебния материал остава у човека, който го одобрява и предоставя на обучаемите, независимо каква част от текста е генерирана. Това изискване има пряко следствие за настоящата работа — щом отговорността е у човека, той се нуждае от систематичен инструмент, с който да я упражнява.</w:t>
      </w:r>
    </w:p>
    <w:p>
      <w:pPr>
        <w:spacing w:after="120" w:line="360"/>
        <w:ind w:firstLine="709"/>
        <w:jc w:val="both"/>
      </w:pPr>
      <w:r>
        <w:rPr>
          <w:rFonts w:ascii="Times New Roman" w:cs="Times New Roman" w:eastAsia="Times New Roman" w:hAnsi="Times New Roman"/>
          <w:sz w:val="24"/>
          <w:szCs w:val="24"/>
        </w:rPr>
        <w:t>Второто изискване е прозрачността. Използването на генеративни инструменти при създаване на учебно съдържание следва да бъде декларирано — пред институцията, а при съществена употреба и пред обучаемите. Прозрачността изпълнява двойна функция: тя е израз на почтеност към аудиторията и същевременно сигнал за проверяващия, че материалът принадлежи към категория с особен рисков профил и подлежи на съответната проверка. На институционално равнище това изискване се операционализира чрез правила и процедури: изследванията върху осигуряването на качеството във висшето образование показват, че интегрирането на изкуствения интелект изисква институционална координация — планове за внедряване, обучение на състава и показатели за оценка — а не само закупуване на технология [41].</w:t>
      </w:r>
    </w:p>
    <w:p>
      <w:pPr>
        <w:spacing w:after="120" w:line="360"/>
        <w:ind w:firstLine="709"/>
        <w:jc w:val="both"/>
      </w:pPr>
      <w:r>
        <w:rPr>
          <w:rFonts w:ascii="Times New Roman" w:cs="Times New Roman" w:eastAsia="Times New Roman" w:hAnsi="Times New Roman"/>
          <w:sz w:val="24"/>
          <w:szCs w:val="24"/>
        </w:rPr>
        <w:t>На международно равнище очертаните изисквания намират израз в специализираното ръководство на ЮНЕСКО за генеративния изкуствен интелект в образованието и научните изследвания — първият глобален документ от този род. То формулира човекоцентричен подход и извежда набор от политически мерки, сред които защита на човешката свобода на действие, наблюдение и валидиране на генеративните системи, изграждане на компетентности у обучаемите и преподавателите и насърчаване на приобщаването и езиковото многообразие [18]. Две от тези мерки имат пряко отношение към настоящата работа. Изискването за валидиране утвърждава, че генеративните системи и техните резултати подлежат на проверка, а не се приемат на доверие. Изискването за езиково многообразие пък насочва вниманието към обстоятелство, което по-нататък се потвърждава емпирично — че качеството на генерираното съдържание не е еднакво за всички езици и че езиците с по-слабо представяне в обучителните данни изискват по-внимателна проверка.</w:t>
      </w:r>
    </w:p>
    <w:p>
      <w:pPr>
        <w:spacing w:after="120" w:line="360"/>
        <w:ind w:firstLine="709"/>
        <w:jc w:val="both"/>
      </w:pPr>
      <w:r>
        <w:rPr>
          <w:rFonts w:ascii="Times New Roman" w:cs="Times New Roman" w:eastAsia="Times New Roman" w:hAnsi="Times New Roman"/>
          <w:sz w:val="24"/>
          <w:szCs w:val="24"/>
        </w:rPr>
        <w:t>Изискването за прозрачност може да бъде операционализирано доста конкретно. Предложената за българските висши училища регулаторна рамка за използване на изкуствен интелект в докторантското обучение определя декларацията за употреба като задължителен документ със строго определено съдържание: наименование на използваните инструменти, целта, за която е използван всеки от тях, частите на труда, при чието изготвяне е използван, и изрично потвърждение, че интелектуалното авторство на концепцията, анализа и изводите принадлежи на докторанта [1]. Същата рамка разграничава допустима от недопустима употреба по ясен критерий — инструментът може да улеснява рутинните операции, но не може да замества интелектуалния труд — и утвърждава принципа на неделимото авторство: авторът носи пълна отговорност за съдържанието независимо от степента на машинно асистиране. Пренесени върху създаването на учебно съдържание, тези четири елемента на декларацията са пряко приложими и по-нататък влизат в модела като проверим показател за прозрачност на произхода.</w:t>
      </w:r>
    </w:p>
    <w:p>
      <w:pPr>
        <w:spacing w:after="120" w:line="360"/>
        <w:ind w:firstLine="709"/>
        <w:jc w:val="both"/>
      </w:pPr>
      <w:r>
        <w:rPr>
          <w:rFonts w:ascii="Times New Roman" w:cs="Times New Roman" w:eastAsia="Times New Roman" w:hAnsi="Times New Roman"/>
          <w:sz w:val="24"/>
          <w:szCs w:val="24"/>
        </w:rPr>
        <w:t>Правната рамка на тези изисквания вече не е само национална или секторна. Регламентът на Европейския съюз за изкуствения интелект — първата хоризонтална правна уредба на ИИ — въвежда степенуван по риск подход към системите с изкуствен интелект и изрични задължения за прозрачност, включително изискването по чл. 50 генерираното или манипулирано съдържание да бъде маркирано в машинночетим формат и разпознаваемо като изкуствено създадено [39]. За образователния контекст е показателно, че регламентът причислява към високорисковите определени образователни употреби — системи, които определят достъпа до обучение или оценяват обучаеми — и с това утвърждава принципа, че колкото по-голямо е въздействието върху обучаемия, толкова по-строги са изискванията. Създаването на учебно съдържание не попада автоматично в най-строгата категория, но логиката е пряко приложима: материалът, по който се учи, въздейства върху всеки обучаем, който го използва, и заслужава съответната дължима грижа.</w:t>
      </w:r>
    </w:p>
    <w:p>
      <w:pPr>
        <w:spacing w:after="120" w:line="360"/>
        <w:ind w:firstLine="709"/>
        <w:jc w:val="both"/>
      </w:pPr>
      <w:r>
        <w:rPr>
          <w:rFonts w:ascii="Times New Roman" w:cs="Times New Roman" w:eastAsia="Times New Roman" w:hAnsi="Times New Roman"/>
          <w:sz w:val="24"/>
          <w:szCs w:val="24"/>
        </w:rPr>
        <w:t>Между европейската правна рамка и практиката на отделния преподавател стои институционалното и националното равнище, което в българския контекст все още се изгражда. Анализите на приложението на изкуствения интелект в българската образователна система формулират като първо условие за отговорно внедряване наличието на ясна национална рамка с етични стандарти, механизми за защита на личните данни и критерии за оценка на ефективността, следвана от системно развитие на компетентността на преподавателите — не само техническа, но и етична [9]. Настоящата работа се вписва именно в тази втора линия: моделът за оценяване е инструмент, чрез който общите изисквания за отговорна употреба се превръщат в изпълними действия на равнището на конкретния учебен материал.</w:t>
      </w:r>
    </w:p>
    <w:p>
      <w:pPr>
        <w:spacing w:after="120" w:line="360"/>
        <w:ind w:firstLine="709"/>
        <w:jc w:val="both"/>
      </w:pPr>
      <w:r>
        <w:rPr>
          <w:rFonts w:ascii="Times New Roman" w:cs="Times New Roman" w:eastAsia="Times New Roman" w:hAnsi="Times New Roman"/>
          <w:sz w:val="24"/>
          <w:szCs w:val="24"/>
        </w:rPr>
        <w:t>Третото изискване е защитата на данните. Работата с комерсиални генеративни платформи означава, че подаваната информация напуска контрола на институцията; затова в заявките не бива да се включват лични данни на обучаеми, непубликувани оценки, вътрешни документи или друга защитена информация. В европейския контекст това изискване има и правно измерение: цитираната литература извежда като изискване съответствие на политиките за събиране, съхранение и използване на данни на обучаемите с действащата правна уредба, включително Общия регламент относно защитата на данните [16]. За създаването на учебно съдържание изискването е изпълнимо без особени затруднения — учебните материали по правило не се нуждаят от лични данни — но трябва да бъде формулирано изрично, защото нарушаването му е трудно откриваемо и необратимо.</w:t>
      </w:r>
    </w:p>
    <w:p>
      <w:pPr>
        <w:spacing w:after="120" w:line="360"/>
        <w:ind w:firstLine="709"/>
        <w:jc w:val="both"/>
      </w:pPr>
      <w:r>
        <w:rPr>
          <w:rFonts w:ascii="Times New Roman" w:cs="Times New Roman" w:eastAsia="Times New Roman" w:hAnsi="Times New Roman"/>
          <w:sz w:val="24"/>
          <w:szCs w:val="24"/>
        </w:rPr>
        <w:t>Четвъртото изискване е академичната добросъвестност, която в контекста на генеративните инструменти има две страни. Откъм обучаемите тя засяга представянето на генериран текст като собствен труд; откъм преподавателите и авторите на учебно съдържание — неотчетеното използване на генерирани материали и пренасянето на чужди защитени произведения през генеративния инструмент. И в двата случая принципът е един: добросъвестността не изисква отказ от инструментите, а отчетена, проверена и почтено декларирана употреба [16]. Как това изискване се превръща в проверим критерий — включително предвид ненадеждността на автоматичното разпознаване на генериран текст — е предмет на отделен анализ.</w:t>
      </w:r>
    </w:p>
    <w:p>
      <w:pPr>
        <w:spacing w:after="120" w:line="360"/>
        <w:ind w:firstLine="709"/>
        <w:jc w:val="both"/>
      </w:pPr>
      <w:r>
        <w:rPr>
          <w:rFonts w:ascii="Times New Roman" w:cs="Times New Roman" w:eastAsia="Times New Roman" w:hAnsi="Times New Roman"/>
          <w:sz w:val="24"/>
          <w:szCs w:val="24"/>
        </w:rPr>
        <w:t xml:space="preserve">Четирите групи изисквания очертават нормативната рамка, в която бъдещият модел ще работи: етичната и академичната коректност не са външни съображения, а една от областите, по които качеството на генерираното учебно съдържание подлежи на оценяване. С това теоретичната основа на работата е почти завършена — остава да се разгледа как качеството на електронното учебно съдържание изобщо се оценява: какви подходи и рамки съществуват и защо те се оказват недостатъчни за съдържанието, създадено с генеративни инструменти. Това е задачата на заключителната точка на главата.</w:t>
      </w:r>
    </w:p>
    <w:p>
      <w:pPr>
        <w:spacing w:after="120" w:line="360"/>
        <w:ind w:firstLine="709"/>
        <w:jc w:val="both"/>
      </w:pPr>
      <w:r>
        <w:rPr>
          <w:rFonts w:ascii="Times New Roman" w:cs="Times New Roman" w:eastAsia="Times New Roman" w:hAnsi="Times New Roman"/>
          <w:sz w:val="24"/>
          <w:szCs w:val="24"/>
        </w:rPr>
        <w:t>Отделен и все още неустановен въпрос е авторскоправният статут на генерираното съдържание. Литературата посочва, че генерираният отговор може да възпроизведе цяло изречение или дори абзац от обучителния корпус, което поражда въпроси за авторското право и за плагиатството [16]. За практиката на преподавателя по-важна е втората страна, защото рискът е насочен навън: генерираният текст може да възпроизвежда защитено съдържание, без това да е видимо за ползвателя. Практическото следствие е предпазливост при публикуване и разпространение на генерирани материали, а за модела за оценяване — включване на проверка за близост до съществуващи източници като изричен показател, а не като подразбираща се добросъвестност.</w:t>
      </w:r>
    </w:p>
    <w:p>
      <w:pPr>
        <w:spacing w:after="120" w:line="360"/>
        <w:ind w:firstLine="709"/>
        <w:jc w:val="both"/>
      </w:pPr>
      <w:r>
        <w:rPr>
          <w:rFonts w:ascii="Times New Roman" w:cs="Times New Roman" w:eastAsia="Times New Roman" w:hAnsi="Times New Roman"/>
          <w:sz w:val="24"/>
          <w:szCs w:val="24"/>
        </w:rPr>
        <w:t xml:space="preserve">Изискванията, разгледани дотук, се отнасят до създателя на учебно съдържание, но имат и втори адресат — самите обучаеми, чиято употреба на генеративни инструменти е предмет на нарастващо внимание. Двете страни са свързани по-тясно, отколкото изглежда: преподавател, който използва генеративни инструменти без деклариране и без проверка, трудно може да изисква обратното от студентите си. Обратното също е вярно — институция, която въвежда ясни правила за преподавателите, получава основание и последователност, когато формулира правила за обучаемите. В този смисъл моделът за оценяване има и възпитателна функция, надхвърляща прякото си предназначение: той демонстрира на практика какво означава отговорна употреба и може да бъде използван като учебно средство при изграждането на дигитална и етична грамотност у самите обучаеми.</w:t>
      </w:r>
    </w:p>
    <w:p>
      <w:pPr>
        <w:pStyle w:val="Heading2"/>
      </w:pPr>
      <w:r>
        <w:rPr>
          <w:rFonts w:ascii="Times New Roman" w:cs="Times New Roman" w:eastAsia="Times New Roman" w:hAnsi="Times New Roman"/>
          <w:b/>
          <w:bCs/>
          <w:sz w:val="26"/>
          <w:szCs w:val="26"/>
        </w:rPr>
        <w:t xml:space="preserve">1.7. Подходи за оценяване на качеството на електронното учебно съдържание</w:t>
      </w:r>
    </w:p>
    <w:p>
      <w:pPr>
        <w:spacing w:after="120" w:line="360"/>
        <w:ind w:firstLine="709"/>
        <w:jc w:val="both"/>
      </w:pPr>
      <w:r>
        <w:rPr>
          <w:rFonts w:ascii="Times New Roman" w:cs="Times New Roman" w:eastAsia="Times New Roman" w:hAnsi="Times New Roman"/>
          <w:sz w:val="24"/>
          <w:szCs w:val="24"/>
        </w:rPr>
        <w:t xml:space="preserve">Оценяването на качеството на електронното учебно съдържание има собствена традиция, предхождаща появата на генеративните инструменти. В нея могат да бъдат разграничени три основни подхода, които се различават по това кой оценява, какво се оценява и на какво основание: критериално-експертният подход, институционално-акредитационният подход и емпиричното оценяване чрез резултатите на обучаемите.</w:t>
      </w:r>
    </w:p>
    <w:p>
      <w:pPr>
        <w:spacing w:after="120" w:line="360"/>
        <w:ind w:firstLine="709"/>
        <w:jc w:val="both"/>
      </w:pPr>
      <w:r>
        <w:rPr>
          <w:rFonts w:ascii="Times New Roman" w:cs="Times New Roman" w:eastAsia="Times New Roman" w:hAnsi="Times New Roman"/>
          <w:sz w:val="24"/>
          <w:szCs w:val="24"/>
        </w:rPr>
        <w:t>Критериално-експертният подход оценява самия материал: експерт прилага система от предварително формулирани критерии — най-често под формата на ръководни документи, контролни листове или оценъчни рубрики. Съдържателната основа на тези критерии са установените педагогически и дизайнерски принципи: утвърдените рубрики систематизират изискванията за педагогическа издържаност и организация в проверими стандарти [52], а доказателствено обоснованите принципи на мултимедийното учене предоставят емпирично проверена база, върху която такива критерии могат да стъпят [38]. Силата на подхода е в прякото оценяване на материала; слабостта му — в зависимостта от компетентността и последователността на оценяващия.</w:t>
      </w:r>
    </w:p>
    <w:p>
      <w:pPr>
        <w:spacing w:after="120" w:line="360"/>
        <w:ind w:firstLine="709"/>
        <w:jc w:val="both"/>
      </w:pPr>
      <w:r>
        <w:rPr>
          <w:rFonts w:ascii="Times New Roman" w:cs="Times New Roman" w:eastAsia="Times New Roman" w:hAnsi="Times New Roman"/>
          <w:sz w:val="24"/>
          <w:szCs w:val="24"/>
        </w:rPr>
        <w:t>Най-развитата институционализация на критериално-експертния подход са стандартизираните рубрики за качество на онлайн курсове. Показателен пример е рубриката на Quality Matters за висшето образование, чието седмо издание съдържа осем общи стандарта, разгърнати в четиридесет и четири конкретни ревизионни стандарта, и се прилага чрез структуриран колегиален преглед [52]. Рубриките от този тип доказват жизнеспособността на формата, към която се придържа и настоящата работа — йерархия от стандарти с определени показатели и документиран преглед — но обектът им е дизайнът на целия курс, а не отделният учебен материал, и в стандартите им липсва проверка за специфичните дефицити на генерираното съдържание.</w:t>
      </w:r>
    </w:p>
    <w:p>
      <w:pPr>
        <w:spacing w:after="120" w:line="360"/>
        <w:ind w:firstLine="709"/>
        <w:jc w:val="both"/>
      </w:pPr>
      <w:r>
        <w:rPr>
          <w:rFonts w:ascii="Times New Roman" w:cs="Times New Roman" w:eastAsia="Times New Roman" w:hAnsi="Times New Roman"/>
          <w:sz w:val="24"/>
          <w:szCs w:val="24"/>
        </w:rPr>
        <w:t>Институционално-акредитационният подход измества фокуса от отделния материал към системата, която го произвежда и използва: оценяват се процесите, ресурсите и стандартите на институцията, предлагаща електронно обучение. В най-новата литература този подход достига зрялост под формата на валидирани скали за акредитационни стандарти и осигуряване на качеството в институциите за електронно обучение [40]. Подходът гарантира устойчивост и съпоставимост, но по конструкция не се произнася за качеството на конкретен учебен материал — един акредитиран доставчик може да предлага и слаби ресурси. Третият, емпиричният подход, преценява съдържанието косвено — по учебните резултати и удовлетвореността на обучаемите; той дава най-силното доказателство за ефективност, но е приложим едва след внедряването на материала и не може да предотврати достигането на дефектно съдържание до обучаемите.</w:t>
      </w:r>
    </w:p>
    <w:p>
      <w:pPr>
        <w:spacing w:after="120" w:line="360"/>
        <w:ind w:firstLine="709"/>
        <w:jc w:val="both"/>
      </w:pPr>
      <w:r>
        <w:rPr>
          <w:rFonts w:ascii="Times New Roman" w:cs="Times New Roman" w:eastAsia="Times New Roman" w:hAnsi="Times New Roman"/>
          <w:sz w:val="24"/>
          <w:szCs w:val="24"/>
        </w:rPr>
        <w:t xml:space="preserve">Извън тези три подхода се оформя и четвърто, бързо развиващо се направление, което заслужава подробно разглеждане, тъй като има основания да определя бъдещето на оценяването — автоматизираното оценяване на съдържание. То обхваща три технологични поколения. Първото — класическите метрики — измерва повърхностни свойства на текста: индекси за четивност, изчислявани от дължината на изреченията и думите; мерки за лексикално и семантично сходство; показатели за свързаност на изложението. Второто поколение използва векторни представяния и езикови модели за по-фина преценка на смисловата близост и на съгласуваността между части от текста. Третото, най-ново поколение поверява самата оценъчна преценка на голям езиков модел, който получава критериите и текста и връща оценка с обосновка — подход, известен като „езиков модел в ролята на оценител“.</w:t>
      </w:r>
    </w:p>
    <w:p>
      <w:pPr>
        <w:spacing w:after="120" w:line="360"/>
        <w:ind w:firstLine="709"/>
        <w:jc w:val="both"/>
      </w:pPr>
      <w:r>
        <w:rPr>
          <w:rFonts w:ascii="Times New Roman" w:cs="Times New Roman" w:eastAsia="Times New Roman" w:hAnsi="Times New Roman"/>
          <w:sz w:val="24"/>
          <w:szCs w:val="24"/>
        </w:rPr>
        <w:t>Третото поколение постига резултати, които не могат да бъдат пренебрегнати. Основополагащото изследване в тази област установява, че водещите езикови модели съвпадат с човешката преценка в над 80 на сто от случаите, като при сравнение по двойки без допускане на равенство съвпадението за най-силния модел достига 85 на сто — стойност, надхвърляща съгласуваността между самите човешки оценители, която при същите условия е 81 на сто [29]. Систематичният преглед на полето подрежда натрупаните подходи по три оси — какво се оценява, как се оценява и къде се прилага оценяването — и документира приложението им в широк кръг задачи [13]. За настоящата работа този резултат е съществен и не бива да бъде омаловажаван: той показва, че автоматизираното оценяване не е принципно невъзможно, а вече работи в определени условия.</w:t>
      </w:r>
    </w:p>
    <w:p>
      <w:pPr>
        <w:spacing w:after="120" w:line="360"/>
        <w:ind w:firstLine="709"/>
        <w:jc w:val="both"/>
      </w:pPr>
      <w:r>
        <w:rPr>
          <w:rFonts w:ascii="Times New Roman" w:cs="Times New Roman" w:eastAsia="Times New Roman" w:hAnsi="Times New Roman"/>
          <w:sz w:val="24"/>
          <w:szCs w:val="24"/>
        </w:rPr>
        <w:t>Условията обаче имат значение и именно те определят границите на приложимост днес. Систематизациите на полето документират устойчиви отклонения в преценката на моделите-оценители: предпочитание към по-дълги отговори, чувствителност към реда на представяне на сравняваните текстове, склонност към по-висока оценка на собствения им изход и ограничена надеждност при задачи, изискващи предметна експертиза отвъд езиковата компетентност [13]. Още по-съществено за настоящата работа е установеното при многоезичните приложения: от над 650 публикации по темата едва тридесет и три разглеждат многоезични или нискоресурсни езикови условия, а техните резултати са непоследователни, преобладава прекомерното доверие в машинната преценка, като четиридесет и осем на сто от изследванията разчитат на едно семейство модели-оценители, а тридесет и три на сто използват единствен модел без независима човешка проверка [10]. За оценяване на учебни материали на български език това означава, че данните за надеждност, получени върху английски текст, не могат да бъдат пренесени направо.</w:t>
      </w:r>
    </w:p>
    <w:p>
      <w:pPr>
        <w:spacing w:after="120" w:line="360"/>
        <w:ind w:firstLine="709"/>
        <w:jc w:val="both"/>
      </w:pPr>
      <w:r>
        <w:rPr>
          <w:rFonts w:ascii="Times New Roman" w:cs="Times New Roman" w:eastAsia="Times New Roman" w:hAnsi="Times New Roman"/>
          <w:sz w:val="24"/>
          <w:szCs w:val="24"/>
        </w:rPr>
        <w:t xml:space="preserve">Съпоставянето на трите поколения с четирите критерийни области, които настоящата работа обособява, дава и по-нюансирана картина от простото приемане или отхвърляне. Класическите метрики са пряко приложими към част от езиковата област — дължина на изреченията, повторяемост, терминологична последователност — и там могат да заместят човешкия прочит с малка загуба. Проверката на съществуването на цитирани източници е автоматизируема почти напълно чрез справка в библиографски бази. Проверката за близост до съществуващи текстове отдавна се извършва със софтуер. За сметка на това дидактическата пригодност в конкретен курс, уместността на примерите за конкретна аудитория и етичната допустимост остават извън обхвата на наличните средства, а фактическата вярност е автоматизируема само дотолкова, доколкото съществува надежден проверим източник, с който твърдението да бъде съпоставено.</w:t>
      </w:r>
    </w:p>
    <w:p>
      <w:pPr>
        <w:spacing w:after="120" w:line="360"/>
        <w:ind w:firstLine="709"/>
        <w:jc w:val="both"/>
      </w:pPr>
      <w:r>
        <w:rPr>
          <w:rFonts w:ascii="Times New Roman" w:cs="Times New Roman" w:eastAsia="Times New Roman" w:hAnsi="Times New Roman"/>
          <w:sz w:val="24"/>
          <w:szCs w:val="24"/>
        </w:rPr>
        <w:t xml:space="preserve">Отделно внимание заслужава актуалността, тъй като при нея границата на автоматизацията минава не през вида на проверката, а през устройството на проверяващата система. Езиковият модел разполага с обучителни данни до определена дата и по построение не може да установи какво се е променило след нея; изправен пред въпрос за текущото състояние на бързо развиваща се област, той възпроизвежда познатото си състояние, и то без сигнал за несигурност. Същият модел обаче, свързан с извличане от официалния източник — подходът, описан в точка 1.3 — получава текущото състояние в самата заявка и проверката става изпълнима. Актуалността следователно не е пример за неавтоматизируем показател, а пример за показател, при който изборът на архитектура е решаващ: без извличане проверката е предварително обречена, с извличане е рутинна.</w:t>
      </w:r>
    </w:p>
    <w:p>
      <w:pPr>
        <w:spacing w:after="120" w:line="360"/>
        <w:ind w:firstLine="709"/>
        <w:jc w:val="both"/>
      </w:pPr>
      <w:r>
        <w:rPr>
          <w:rFonts w:ascii="Times New Roman" w:cs="Times New Roman" w:eastAsia="Times New Roman" w:hAnsi="Times New Roman"/>
          <w:sz w:val="24"/>
          <w:szCs w:val="24"/>
        </w:rPr>
        <w:t xml:space="preserve">Обобщено, полезното разграничение не е между проверими и непроверими показатели, а между такива, за които съществува авторитет, достъпен със заявка, и такива, за които такъв авторитет не съществува. Фактическата вярност, актуалността, съществуването на цитираните източници и изпълнимостта на програмния код разполагат с авторитет — съответно учебната литература, официалната документация на съответната технология, библиографските бази и самата среда за изпълнение. Дидактическото съответствие не разполага: неговият референт са конкретна аудитория и конкретен курс, които не се съдържат в никакъв източник и се знаят единствено от преподавателя. Същото важи за преценката доколко натрупаните дребни неточности правят материала ненадежден като източник — тя предполага представа за подготвеността на конкретните обучаеми. Оттук следва и реалистичната посока на автоматизацията: не заместване на оценителя, а поемане на онези показатели, чийто авторитет е достъпен, при запазено човешко решение по останалите.</w:t>
      </w:r>
    </w:p>
    <w:p>
      <w:pPr>
        <w:spacing w:after="120" w:line="360"/>
        <w:ind w:firstLine="709"/>
        <w:jc w:val="both"/>
      </w:pPr>
      <w:r>
        <w:rPr>
          <w:rFonts w:ascii="Times New Roman" w:cs="Times New Roman" w:eastAsia="Times New Roman" w:hAnsi="Times New Roman"/>
          <w:sz w:val="24"/>
          <w:szCs w:val="24"/>
        </w:rPr>
        <w:t>Оттук следва и позицията, която настоящата работа заема — позиция на етап, а не на принцип. Автоматизираното оценяване е реалистична посока на развитие и вероятно ще поеме значителна част от рутинните проверки; вътрешната логика на разработвания модел, е съвместима с това развитие, тъй като показателите са формулирани като отделни проверими твърдения, всяко от които може да бъде автоматизирано самостоятелно, когато средствата узреят. Днес обаче три обстоятелства налагат човешкото оценяване като основен режим: липсата на валидирани данни за надеждност при български учебни текстове [14], документираните отклонения в преценката на моделите-оценители [13] и съображението, че оценяването на генериран текст от генеративен модел възпроизвежда същия вероятностен механизъм, чиято надеждност се проверява. Затова моделът се проектира за човек, но с оглед на бъдещото си частично автоматизиране — възможност, която подлежи на отделно разглеждане в препоръките към практиката.</w:t>
      </w:r>
    </w:p>
    <w:p>
      <w:pPr>
        <w:spacing w:after="120" w:line="360"/>
        <w:ind w:firstLine="709"/>
        <w:jc w:val="both"/>
      </w:pPr>
      <w:r>
        <w:rPr>
          <w:rFonts w:ascii="Times New Roman" w:cs="Times New Roman" w:eastAsia="Times New Roman" w:hAnsi="Times New Roman"/>
          <w:sz w:val="24"/>
          <w:szCs w:val="24"/>
        </w:rPr>
        <w:t>Необходимостта от специализирано оценяване е формулирана изрично и в българската научна литература. Изследване върху проблемите и решенията при използването на генеративен изкуствен интелект в образованието извежда на преден план потребността от методики и инструменти за оценяване на качеството на генерираното учебно съдържание и посочва тревожни данни за него — според цитирано в него проучване едва шестнадесет на сто от генерираното съдържание отговаря на поставените критерии за качество [7]. Същото изследване систематизира приложими метрики за кохезия, кохерентност, четивност и семантично сходство, но стига до извод, който съвпада с позицията на настоящата работа: автоматизираните средства подпомагат, но не заместват проверката, а прецизна оценка може да бъде дадена само от компетентен човек. Това потвърждава както актуалността на темата в българския контекст, така и избраната посока — модел, който структурира човешката експертна преценка, вместо да я автоматизира.</w:t>
      </w:r>
    </w:p>
    <w:p>
      <w:pPr>
        <w:spacing w:after="120" w:line="360"/>
        <w:ind w:firstLine="709"/>
        <w:jc w:val="both"/>
      </w:pPr>
      <w:r>
        <w:rPr>
          <w:rFonts w:ascii="Times New Roman" w:cs="Times New Roman" w:eastAsia="Times New Roman" w:hAnsi="Times New Roman"/>
          <w:sz w:val="24"/>
          <w:szCs w:val="24"/>
        </w:rPr>
        <w:t>Всеки от разгледаните подходи повдига и въпроса как се измерва качеството на самото оценяване. В методологията на оценъчните инструменти този въпрос има два утвърдени отговора. Първият е съгласуваността между оценители — доколко двама компетентни специалисти, приложили един и същ инструмент към един и същ материал, стигат до един и същ резултат; ниската съгласуваност е признак, че критериите са формулирани двусмислено. Вторият е валидността — доколко инструментът измерва действително онова, което твърди, че измерва, а не съседно на него свойство. Систематизациите на автоматизираното оценяване извеждат същите два въпроса и по отношение на машинните оценители [13]. Настоящата работа не извършва проверка на съгласуваността, тъй като апробирането е с единствен оценител, и това е декларирано като ограничение; проектното решение обаче адресира въпроса предварително — изискването всяка оценка да бъде подкрепена с посочено доказателство от материала е замислено именно като средство за повишаване на съгласуваността и за проверимост на присъдените оценки.</w:t>
      </w:r>
    </w:p>
    <w:p>
      <w:pPr>
        <w:spacing w:after="120" w:line="360"/>
        <w:ind w:firstLine="709"/>
        <w:jc w:val="both"/>
      </w:pPr>
      <w:r>
        <w:rPr>
          <w:rFonts w:ascii="Times New Roman" w:cs="Times New Roman" w:eastAsia="Times New Roman" w:hAnsi="Times New Roman"/>
          <w:sz w:val="24"/>
          <w:szCs w:val="24"/>
        </w:rPr>
        <w:t>Съпоставени с предмета на настоящата работа, и трите подхода споделят едно и също ограничение: те са създадени за съдържание с човешки автор и мълчаливо приемат за дадени свойства, които при генерираното съдържание не са гарантирани. В прегледаните критериални инструменти не се среща отделен показател за фактическа достоверност [52], което е обяснимо при добросъвестен човешки автор; акредитационните стандарти предполагат отговорен автор с установима квалификация; емпиричното оценяване настъпва твърде късно, за да улови дефекти, които могат да бъдат предотвратени на входа. Специфичните дефицити на генерираното съдържание — халюцинации, поднесени с езикова увереност, шаблонност, педагогическа плоскост, несигурна оригиналност — попадат точно в пролуките между съществуващите подходи.</w:t>
      </w:r>
    </w:p>
    <w:p>
      <w:pPr>
        <w:spacing w:after="120" w:line="360"/>
        <w:ind w:firstLine="709"/>
        <w:jc w:val="both"/>
      </w:pPr>
      <w:r>
        <w:rPr>
          <w:rFonts w:ascii="Times New Roman" w:cs="Times New Roman" w:eastAsia="Times New Roman" w:hAnsi="Times New Roman"/>
          <w:sz w:val="24"/>
          <w:szCs w:val="24"/>
        </w:rPr>
        <w:t xml:space="preserve">Оттук следва изводът, който задава програмата на следващия етап: съществуващата традиция в оценяването предоставя ценна основа — критериалната форма, педагогическата съдържателна база, институционалната рамка — но не и готов инструмент за оценяване на съдържание, създадено с генеративни инструменти. Необходим е анализ, който да съпостави съществуващите критерии със специфичните рискове на генерираното съдържание и да изведе изискванията към модел, способен да ги улавя систематично. Именно този анализ е предмет на следващия етап от изследването, а негов резултат са изискванията към бъдещия модел.</w:t>
      </w:r>
    </w:p>
    <w:p>
      <w:pPr>
        <w:spacing w:after="120" w:before="200"/>
        <w:jc w:val="center"/>
      </w:pPr>
      <w:r>
        <w:rPr>
          <w:rFonts w:ascii="Times New Roman" w:cs="Times New Roman" w:eastAsia="Times New Roman" w:hAnsi="Times New Roman"/>
          <w:i/>
          <w:iCs/>
          <w:sz w:val="20"/>
          <w:szCs w:val="20"/>
        </w:rPr>
        <w:t xml:space="preserve">Таблица 2. Съпоставка на трите подхода за оценяване на качеството</w:t>
      </w:r>
    </w:p>
    <w:p>
      <w:pPr>
        <w:pStyle w:val="Heading2"/>
      </w:pPr>
      <w:r>
        <w:rPr>
          <w:rFonts w:ascii="Times New Roman" w:cs="Times New Roman" w:eastAsia="Times New Roman" w:hAnsi="Times New Roman"/>
          <w:b/>
          <w:bCs/>
          <w:sz w:val="28"/>
          <w:szCs w:val="28"/>
        </w:rPr>
        <w:t>ИЗВОДИ ПО ПЪРВА ГЛАВА</w:t>
      </w:r>
    </w:p>
    <w:p>
      <w:pPr>
        <w:spacing w:after="120" w:line="360"/>
        <w:ind w:firstLine="709"/>
        <w:jc w:val="both"/>
      </w:pPr>
      <w:r>
        <w:rPr>
          <w:rFonts w:ascii="Times New Roman" w:cs="Times New Roman" w:eastAsia="Times New Roman" w:hAnsi="Times New Roman"/>
          <w:sz w:val="24"/>
          <w:szCs w:val="24"/>
        </w:rPr>
        <w:t xml:space="preserve">Извършеният в първа глава теоретичен анализ позволява да бъдат формулирани следните изводи, върху които стъпва по-нататъшното изследване.</w:t>
      </w:r>
    </w:p>
    <w:p>
      <w:pPr>
        <w:spacing w:after="120" w:line="360"/>
        <w:ind w:firstLine="709"/>
        <w:jc w:val="both"/>
      </w:pPr>
      <w:r>
        <w:rPr>
          <w:rFonts w:ascii="Times New Roman" w:cs="Times New Roman" w:eastAsia="Times New Roman" w:hAnsi="Times New Roman"/>
          <w:sz w:val="24"/>
          <w:szCs w:val="24"/>
        </w:rPr>
        <w:t xml:space="preserve">Първо, електронното учебно съдържание следва да се дефинира чрез функциите, които изпълнява в учебния процес, и чрез формите на представяне, а не чрез технологичния носител. В тази дефиниционна рамка съдържанието, създадено с генеративни инструменти, не представлява нов вид — то възпроизвежда познатите видове електронни ресурси, но с принципно различен процес на създаване и с различен профил на рисковете за качеството.</w:t>
      </w:r>
    </w:p>
    <w:p>
      <w:pPr>
        <w:spacing w:after="120" w:line="360"/>
        <w:ind w:firstLine="709"/>
        <w:jc w:val="both"/>
      </w:pPr>
      <w:r>
        <w:rPr>
          <w:rFonts w:ascii="Times New Roman" w:cs="Times New Roman" w:eastAsia="Times New Roman" w:hAnsi="Times New Roman"/>
          <w:sz w:val="24"/>
          <w:szCs w:val="24"/>
        </w:rPr>
        <w:t xml:space="preserve">Второ, педагогическите изисквания към електронното учебно съдържание — съответствие с учебните цели, издържана структура, достъпност, педагогически смислена интерактивност и пригодност за самостоятелно обучение — са формулирани независимо от начина на създаване и затова важат в пълна степен и за генерираното съдържание. Произходът на материала не променя изискванията; той променя вероятността те да бъдат нарушени.</w:t>
      </w:r>
    </w:p>
    <w:p>
      <w:pPr>
        <w:spacing w:after="120" w:line="360"/>
        <w:ind w:firstLine="709"/>
        <w:jc w:val="both"/>
      </w:pPr>
      <w:r>
        <w:rPr>
          <w:rFonts w:ascii="Times New Roman" w:cs="Times New Roman" w:eastAsia="Times New Roman" w:hAnsi="Times New Roman"/>
          <w:sz w:val="24"/>
          <w:szCs w:val="24"/>
        </w:rPr>
        <w:t xml:space="preserve">Трето, възможностите и ограниченията на генеративните инструменти имат общ корен — вероятностния принцип на действие на големите езикови модели. Плавността на изказа не е показател за вярност, а качеството на генерирания текст е структурно негарантирано: на равнището на инструмента не съществува вградена гаранция за фактическа коректност, дидактическа пригодност или оригиналност.</w:t>
      </w:r>
    </w:p>
    <w:p>
      <w:pPr>
        <w:spacing w:after="120" w:line="360"/>
        <w:ind w:firstLine="709"/>
        <w:jc w:val="both"/>
      </w:pPr>
      <w:r>
        <w:rPr>
          <w:rFonts w:ascii="Times New Roman" w:cs="Times New Roman" w:eastAsia="Times New Roman" w:hAnsi="Times New Roman"/>
          <w:sz w:val="24"/>
          <w:szCs w:val="24"/>
        </w:rPr>
        <w:t xml:space="preserve">Четвърто, приложенията на генеративните инструменти при разработване на учебни материали се подреждат по степен на автоматизация — от подпомогнато създаване чрез диалог, през рамкови подходи, до автономни системни реализации — и с нарастването на автоматизацията проверката на качеството се измества от отделните стъпки към крайния продукт, превръщайки систематичното оценяване от помощно средство в единствен механизъм за гаранция.</w:t>
      </w:r>
    </w:p>
    <w:p>
      <w:pPr>
        <w:spacing w:after="120" w:line="360"/>
        <w:ind w:firstLine="709"/>
        <w:jc w:val="both"/>
      </w:pPr>
      <w:r>
        <w:rPr>
          <w:rFonts w:ascii="Times New Roman" w:cs="Times New Roman" w:eastAsia="Times New Roman" w:hAnsi="Times New Roman"/>
          <w:sz w:val="24"/>
          <w:szCs w:val="24"/>
        </w:rPr>
        <w:t xml:space="preserve">Пето, съществуващите подходи за оценяване на качеството на електронното учебно съдържание — критериално-експертен, институционално-акредитационен и емпиричен — са създадени за съдържание с човешки автор и не адресират специфичните дефицити на генерираното съдържание. Това очертава изследователската празнина на настоящата работа: необходим е анализ на критериите за качество, съобразен със спецификата на AI-генерираното съдържание, и изграден върху него модел за оценяване. Първата от тези две задачи е предмет на следващия етап от изследването.</w:t>
      </w:r>
    </w:p>
    <w:p>
      <w:pPr>
        <w:spacing w:after="120" w:line="360"/>
        <w:ind w:firstLine="709"/>
        <w:jc w:val="both"/>
      </w:pPr>
      <w:r>
        <w:rPr>
          <w:rFonts w:ascii="Times New Roman" w:cs="Times New Roman" w:eastAsia="Times New Roman" w:hAnsi="Times New Roman"/>
          <w:sz w:val="24"/>
          <w:szCs w:val="24"/>
        </w:rPr>
        <w:t>Шесто, прегледът на съществуващите подходи показва и какво следва да бъде запазено от тях. Критериалната форма — йерархия от области, критерии и проверими показатели — е приложена в утвърдени инструменти за оценяване на онлайн курсове [52]; педагогическата съдържателна основа е налична в доказателствено обоснованите принципи на мултимедийното учене [38] и в първите принципи на обучението [30]; а институционалната рамка осигурява средата, в която оценяването може да бъде въведено като задължителна практика. Новото, което липсва, не е форма или съдържание, а насоченост: проверките, специфични за начина, по който генеративните инструменти произвеждат текст.</w:t>
      </w:r>
    </w:p>
    <w:p>
      <w:pPr>
        <w:spacing w:after="120" w:line="360"/>
        <w:ind w:firstLine="709"/>
        <w:jc w:val="both"/>
      </w:pPr>
      <w:r>
        <w:rPr>
          <w:rFonts w:ascii="Times New Roman" w:cs="Times New Roman" w:eastAsia="Times New Roman" w:hAnsi="Times New Roman"/>
          <w:sz w:val="24"/>
          <w:szCs w:val="24"/>
        </w:rPr>
        <w:t>Седмо, от анализа произтича и разбирането за ролята на човека в това оценяване — разбиране, обвързано с текущото състояние на технологиите, а не с принципна позиция. Автоматизираното оценяване напредва бързо: моделите в ролята на оценители вече постигат съвпадение с човешката преценка над 80 на сто в изследвани условия [29], а част от проверките — за четивност, за съществуване на цитирани източници, за близост до съществуващи текстове — са автоматизируеми още днес. Същевременно документираните отклонения в машинната преценка, липсата на валидирани данни за нискоресурсни езици [10], към които настоящата работа отнася и българския, и невъзможността автоматизирано да се преценят дидактическата уместност за конкретен курс и етичната допустимост определят настоящия избор: моделът се проектира като инструмент за структуриране на експертна човешка преценка, изграден така, че отделните му показатели да могат да бъдат автоматизирани поетапно с узряването на средствата.</w:t>
      </w:r>
    </w:p>
    <w:p>
      <w:pPr>
        <w:spacing w:after="120" w:line="360"/>
        <w:ind w:firstLine="709"/>
        <w:jc w:val="both"/>
      </w:pPr>
      <w:r>
        <w:rPr>
          <w:rFonts w:ascii="Times New Roman" w:cs="Times New Roman" w:eastAsia="Times New Roman" w:hAnsi="Times New Roman"/>
          <w:sz w:val="24"/>
          <w:szCs w:val="24"/>
        </w:rPr>
        <w:t xml:space="preserve">Изложеното в първа глава изпълнява първата и част от втората изследователска задача на работата: изяснени са същността, видовете и педагогическите изисквания към електронното учебно съдържание, характеристиките и границите на генеративните инструменти, начините на тяхното използване при разработване на учебни материали, свързаните с това предимства, рискове и нормативни изисквания, както и съществуващите подходи за оценяване на качеството. Установената изследователска празнина — липсата на инструмент, който да улавя специфичните дефицити на генерираното съдържание и да е приложим от отделен преподавател — задава предмета на следващия етап: анализ на критериите и показателите за качество и извеждане на изискванията към бъдещия модел.</w:t>
      </w:r>
    </w:p>
    <w:p>
      <w:r>
        <w:br w:type="page"/>
      </w:r>
    </w:p>
    <w:tbl>
      <w:tblPr>
        <w:tblW w:type="dxa" w:w="8765"/>
        <w:tblBorders>
          <w:top w:val="single" w:color="auto" w:sz="4"/>
          <w:left w:val="single" w:color="auto" w:sz="4"/>
          <w:bottom w:val="single" w:color="auto" w:sz="4"/>
          <w:right w:val="single" w:color="auto" w:sz="4"/>
          <w:insideH w:val="single" w:color="auto" w:sz="4"/>
          <w:insideV w:val="single" w:color="auto" w:sz="4"/>
        </w:tblBorders>
      </w:tblPr>
      <w:tblGrid>
        <w:gridCol w:w="1700"/>
        <w:gridCol w:w="3400"/>
        <w:gridCol w:w="3665"/>
      </w:tblGrid>
      <w:tr>
        <w:tc>
          <w:tcPr>
            <w:tcW w:type="dxa" w:w="17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Класификационна ос</w:t>
            </w:r>
          </w:p>
        </w:tc>
        <w:tc>
          <w:tcPr>
            <w:tcW w:type="dxa" w:w="34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Основни категории</w:t>
            </w:r>
          </w:p>
        </w:tc>
        <w:tc>
          <w:tcPr>
            <w:tcW w:type="dxa" w:w="3665"/>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Значение за оценяването</w:t>
            </w:r>
          </w:p>
        </w:tc>
      </w:tr>
      <w:tr>
        <w:tc>
          <w:tcPr>
            <w:tcW w:type="dxa" w:w="17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Форма на представяне</w:t>
            </w:r>
          </w:p>
        </w:tc>
        <w:tc>
          <w:tcPr>
            <w:tcW w:type="dxa" w:w="3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текст; статични визуални елементи; аудио и видео; анимации; интерактивни компоненти; тестови форми</w:t>
            </w:r>
          </w:p>
        </w:tc>
        <w:tc>
          <w:tcPr>
            <w:tcW w:type="dxa" w:w="366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определя кои показатели за организация и достъпност са приложими</w:t>
            </w:r>
          </w:p>
        </w:tc>
      </w:tr>
      <w:tr>
        <w:tc>
          <w:tcPr>
            <w:tcW w:type="dxa" w:w="17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Дидактическа функция</w:t>
            </w:r>
          </w:p>
        </w:tc>
        <w:tc>
          <w:tcPr>
            <w:tcW w:type="dxa" w:w="3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урок/модул; презентация; тестови въпроси; указания и обобщения; справочни материали</w:t>
            </w:r>
          </w:p>
        </w:tc>
        <w:tc>
          <w:tcPr>
            <w:tcW w:type="dxa" w:w="366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определя тежестта на отделните критерии в дидактическата област</w:t>
            </w:r>
          </w:p>
        </w:tc>
      </w:tr>
      <w:tr>
        <w:tc>
          <w:tcPr>
            <w:tcW w:type="dxa" w:w="17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Степен на интерактивност</w:t>
            </w:r>
          </w:p>
        </w:tc>
        <w:tc>
          <w:tcPr>
            <w:tcW w:type="dxa" w:w="3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рецептивно; интерактивно; адаптивно</w:t>
            </w:r>
          </w:p>
        </w:tc>
        <w:tc>
          <w:tcPr>
            <w:tcW w:type="dxa" w:w="366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определя приложимостта на показателите за активно учене и обратна връзка</w:t>
            </w:r>
          </w:p>
        </w:tc>
      </w:tr>
      <w:tr>
        <w:tc>
          <w:tcPr>
            <w:tcW w:type="dxa" w:w="17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Произход</w:t>
            </w:r>
          </w:p>
        </w:tc>
        <w:tc>
          <w:tcPr>
            <w:tcW w:type="dxa" w:w="3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авторско; адаптирано; генерирано с AI</w:t>
            </w:r>
          </w:p>
        </w:tc>
        <w:tc>
          <w:tcPr>
            <w:tcW w:type="dxa" w:w="366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определя профила на рисковете и необходимостта от специфични проверки</w:t>
            </w:r>
          </w:p>
        </w:tc>
      </w:tr>
    </w:tbl>
    <w:tbl>
      <w:tblPr>
        <w:tblW w:type="dxa" w:w="8765"/>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300"/>
        <w:gridCol w:w="2165"/>
      </w:tblGrid>
      <w:tr>
        <w:tc>
          <w:tcPr>
            <w:tcW w:type="dxa" w:w="19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Подход</w:t>
            </w:r>
          </w:p>
        </w:tc>
        <w:tc>
          <w:tcPr>
            <w:tcW w:type="dxa" w:w="24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Обект на оценяване</w:t>
            </w:r>
          </w:p>
        </w:tc>
        <w:tc>
          <w:tcPr>
            <w:tcW w:type="dxa" w:w="23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Кой оценява</w:t>
            </w:r>
          </w:p>
        </w:tc>
        <w:tc>
          <w:tcPr>
            <w:tcW w:type="dxa" w:w="2165"/>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Основно ограничение при AI-съдържание</w:t>
            </w:r>
          </w:p>
        </w:tc>
      </w:tr>
      <w:tr>
        <w:tc>
          <w:tcPr>
            <w:tcW w:type="dxa" w:w="19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Критериално-експертен</w:t>
            </w:r>
          </w:p>
        </w:tc>
        <w:tc>
          <w:tcPr>
            <w:tcW w:type="dxa" w:w="2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отделният учебен материал</w:t>
            </w:r>
          </w:p>
        </w:tc>
        <w:tc>
          <w:tcPr>
            <w:tcW w:type="dxa" w:w="23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експерт по критерии или рубрика</w:t>
            </w:r>
          </w:p>
        </w:tc>
        <w:tc>
          <w:tcPr>
            <w:tcW w:type="dxa" w:w="216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критериите допускат добросъвестен автор; липсва проверка за измислици</w:t>
            </w:r>
          </w:p>
        </w:tc>
      </w:tr>
      <w:tr>
        <w:tc>
          <w:tcPr>
            <w:tcW w:type="dxa" w:w="19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Институционално-акредитационен</w:t>
            </w:r>
          </w:p>
        </w:tc>
        <w:tc>
          <w:tcPr>
            <w:tcW w:type="dxa" w:w="2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процесите и ресурсите на институцията</w:t>
            </w:r>
          </w:p>
        </w:tc>
        <w:tc>
          <w:tcPr>
            <w:tcW w:type="dxa" w:w="23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акредитиращ орган</w:t>
            </w:r>
          </w:p>
        </w:tc>
        <w:tc>
          <w:tcPr>
            <w:tcW w:type="dxa" w:w="216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не се произнася за качеството на конкретен материал</w:t>
            </w:r>
          </w:p>
        </w:tc>
      </w:tr>
      <w:tr>
        <w:tc>
          <w:tcPr>
            <w:tcW w:type="dxa" w:w="19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Емпиричен</w:t>
            </w:r>
          </w:p>
        </w:tc>
        <w:tc>
          <w:tcPr>
            <w:tcW w:type="dxa" w:w="2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ефектът върху обучаемите</w:t>
            </w:r>
          </w:p>
        </w:tc>
        <w:tc>
          <w:tcPr>
            <w:tcW w:type="dxa" w:w="23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измерване на учебни резултати</w:t>
            </w:r>
          </w:p>
        </w:tc>
        <w:tc>
          <w:tcPr>
            <w:tcW w:type="dxa" w:w="216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настъпва след използването; не предотвратява дефекта</w:t>
            </w:r>
          </w:p>
        </w:tc>
      </w:tr>
    </w:tbl>
    <w:p>
      <w:pPr>
        <w:pStyle w:val="Heading1"/>
      </w:pPr>
      <w:r>
        <w:rPr>
          <w:rFonts w:ascii="Times New Roman" w:cs="Times New Roman" w:eastAsia="Times New Roman" w:hAnsi="Times New Roman"/>
          <w:b/>
          <w:bCs/>
          <w:sz w:val="28"/>
          <w:szCs w:val="28"/>
        </w:rPr>
        <w:t xml:space="preserve">ГЛАВА ВТОРА. Анализ на критерии и показатели за качество на електронно учебно съдържание, разработено с генеративни AI инструменти</w:t>
      </w:r>
    </w:p>
    <w:p>
      <w:pPr>
        <w:pStyle w:val="Heading2"/>
      </w:pPr>
      <w:r>
        <w:rPr>
          <w:rFonts w:ascii="Times New Roman" w:cs="Times New Roman" w:eastAsia="Times New Roman" w:hAnsi="Times New Roman"/>
          <w:b/>
          <w:bCs/>
          <w:sz w:val="28"/>
          <w:szCs w:val="28"/>
        </w:rPr>
        <w:t xml:space="preserve">2.1. Съществуващи подходи и критерии за оценяване на качеството на електронното учебно съдържание</w:t>
      </w:r>
    </w:p>
    <w:p>
      <w:pPr>
        <w:spacing w:after="120" w:line="360"/>
        <w:ind w:firstLine="1134"/>
        <w:jc w:val="both"/>
      </w:pPr>
      <w:r>
        <w:rPr>
          <w:rFonts w:ascii="Times New Roman" w:cs="Times New Roman" w:eastAsia="Times New Roman" w:hAnsi="Times New Roman"/>
          <w:sz w:val="28"/>
          <w:szCs w:val="28"/>
        </w:rPr>
        <w:t xml:space="preserve">Първа глава установи, че традиционните подходи за оценяване не са конструирани за съдържание, създадено с генеративни инструменти. Настоящата точка проследява как литературата от последните години запълва тази празнина и какви подходи и критерии се предлагат конкретно за AI-генерирано учебно съдържание, за да се установи върху какво може да стъпи собственият модел и къде съществуващите решения остават недостатъчни. Прегледът обособява три семейства подходи.</w:t>
      </w:r>
    </w:p>
    <w:p>
      <w:pPr>
        <w:spacing w:after="120" w:line="360"/>
        <w:ind w:firstLine="1134"/>
        <w:jc w:val="both"/>
      </w:pPr>
      <w:r>
        <w:rPr>
          <w:rFonts w:ascii="Times New Roman" w:cs="Times New Roman" w:eastAsia="Times New Roman" w:hAnsi="Times New Roman"/>
          <w:sz w:val="28"/>
          <w:szCs w:val="28"/>
        </w:rPr>
        <w:t xml:space="preserve">Първото семейство адаптира наследената критериална традиция: съществуващите системи от критерии за качество на електронно съдържание — педагогически, езикови, визуални — се прилагат към генерираните материали без съществена промяна. Тази линия има солидна основа, тъй като, както беше показано в първа глава, педагогическите изисквания не зависят от произхода на съдържанието. Слабостта ѝ е огледална: критериите, създадени при допускането за добросъвестен човешки автор, не съдържат проверките, които спецификата на генерирането прави задължителни — систематична проверка за фактически измислици, за измислени източници, за шаблонност и за скрита неоригиналност.</w:t>
      </w:r>
    </w:p>
    <w:p>
      <w:pPr>
        <w:spacing w:after="120" w:line="360"/>
        <w:ind w:firstLine="1134"/>
        <w:jc w:val="both"/>
      </w:pPr>
      <w:r>
        <w:rPr>
          <w:rFonts w:ascii="Times New Roman" w:cs="Times New Roman" w:eastAsia="Times New Roman" w:hAnsi="Times New Roman"/>
          <w:sz w:val="28"/>
          <w:szCs w:val="28"/>
        </w:rPr>
        <w:t>Към това семейство принадлежи и българският принос по темата: цитираното изследване на проблемите и решенията при генеративния изкуствен интелект в образованието очертава контурите на интегрирана система за оценяване на качеството на генерирани материали, съчетаваща метрики за кохезия, кохерентност, четивност и семантично сходство с експертен преглед [7]. Предложението остава на равнище рамка за бъдеща разработка и е ориентирано към автоматизирани средства, което го прави допълващо, а не конкурентно на настоящата работа: тук акцентът е върху инструмент, приложим непосредствено от отделния преподавател без специализирана техническа инфраструктура.</w:t>
      </w:r>
    </w:p>
    <w:p>
      <w:pPr>
        <w:spacing w:after="120" w:line="360"/>
        <w:ind w:firstLine="1134"/>
        <w:jc w:val="both"/>
      </w:pPr>
      <w:r>
        <w:rPr>
          <w:rFonts w:ascii="Times New Roman" w:cs="Times New Roman" w:eastAsia="Times New Roman" w:hAnsi="Times New Roman"/>
          <w:sz w:val="28"/>
          <w:szCs w:val="28"/>
        </w:rPr>
        <w:t>Второто семейство разработва нови, специално предназначени за AI-генерирани ресурси оценъчни рамки. Показателен пример е изследването на Huang и колектив, което конструира и апробира подход за оценяване на качеството на AI-генерирани дигитални образователни ресурси във висшето образование, който съчетава метода Делфи с аналитичен йерархичен процес и подрежда двадесет показателя в четири измерения — съдържателни, на изразяването, потребителски и технически, с най-голяма тежест на съдържателните [37]. Значението на тази линия за настоящата работа е двойно: тя доказва осъществимостта на специализирано оценяване и едновременно с това показва, че полето е още в началото си — предложените рамки са малко на брой, апробирани върху ограничени извадки и не са достигнали до утвърден, широко приет стандарт.</w:t>
      </w:r>
    </w:p>
    <w:p>
      <w:pPr>
        <w:spacing w:after="120" w:line="360"/>
        <w:ind w:firstLine="1134"/>
        <w:jc w:val="both"/>
      </w:pPr>
      <w:r>
        <w:rPr>
          <w:rFonts w:ascii="Times New Roman" w:cs="Times New Roman" w:eastAsia="Times New Roman" w:hAnsi="Times New Roman"/>
          <w:sz w:val="28"/>
          <w:szCs w:val="28"/>
        </w:rPr>
        <w:t>Третото семейство вгражда контрола на качеството в самия процес на генериране. Системите от типа на COGENT налагат педагогически ограничения още при създаването на съдържанието [47], а мулти-агентните архитектури като Instructional Agents възпроизвеждат ролево разпределение по образеца на екип по инструкционен дизайн и предвиждат преглед на произведените материали от преподавател преди употреба [23]. На институционално равнище същата логика се проявява в рамки, които интегрират изкуствения интелект в системите за осигуряване на качеството на висшето образование [41]. Силата на това семейство е превенцията — дефектите се ограничават на входа; слабостта му е, че вграденият контрол е достъпен само за онзи, който контролира системата, и остава непрозрачен за крайния потребител на съдържанието — преподавателя, който получава готов материал.</w:t>
      </w:r>
    </w:p>
    <w:p>
      <w:pPr>
        <w:spacing w:after="120" w:line="360"/>
        <w:ind w:firstLine="1134"/>
        <w:jc w:val="both"/>
      </w:pPr>
      <w:r>
        <w:rPr>
          <w:rFonts w:ascii="Times New Roman" w:cs="Times New Roman" w:eastAsia="Times New Roman" w:hAnsi="Times New Roman"/>
          <w:sz w:val="28"/>
          <w:szCs w:val="28"/>
        </w:rPr>
        <w:t>Съпоставката на трите семейства по три оси — какво се оценява (отделният материал, процесът на създаване или институционалната система), кой оценява (експерт, автоматизиран механизъм или комбинация) и кога настъпва оценяването (преди или след достигането на материала до обучаемите) — откроява обща картина на фрагментарност. Наследените критерии оценяват материала, но пропускат AI-специфичните рискове; новите рамки ги улавят, но са малобройни и неутвърдени; вграденият контрол действа превантивно, но е недостъпен за масовата практика на преподавателя, който работи чрез диалог с общодостъпен инструмент. Интегриран, практически приложим модел, който да съчетава критериалната традиция със специфичните за генерираното съдържание проверки и да е използваем от отделния преподавател без специализирана инфраструктура — тъкмо какъвто настоящата работа си поставя за цел — в прегледаната литература не се открива.</w:t>
      </w:r>
    </w:p>
    <w:p>
      <w:pPr>
        <w:spacing w:after="120" w:line="360"/>
        <w:ind w:firstLine="1134"/>
        <w:jc w:val="both"/>
      </w:pPr>
      <w:r>
        <w:rPr>
          <w:rFonts w:ascii="Times New Roman" w:cs="Times New Roman" w:eastAsia="Times New Roman" w:hAnsi="Times New Roman"/>
          <w:sz w:val="28"/>
          <w:szCs w:val="28"/>
        </w:rPr>
        <w:t xml:space="preserve">Този извод задава програмата на останалата част от главата: точки 2.2–2.5 анализират последователно четирите семейства критерии, от които такъв модел трябва да се изгради — научна коректност и достоверност, дидактическа пригодност, езикова яснота и достъпност, оригиналност и етична допустимост; точка 2.6 систематизира типичните дефицити на генерираното съдържание, срещу които критериите трябва да бъдат чувствителни; а точка 2.7 обобщава анализа в изисквания към бъдещия модел.</w:t>
      </w:r>
    </w:p>
    <w:p>
      <w:pPr>
        <w:pStyle w:val="Heading2"/>
      </w:pPr>
      <w:r>
        <w:rPr>
          <w:rFonts w:ascii="Times New Roman" w:cs="Times New Roman" w:eastAsia="Times New Roman" w:hAnsi="Times New Roman"/>
          <w:b/>
          <w:bCs/>
          <w:sz w:val="28"/>
          <w:szCs w:val="28"/>
        </w:rPr>
        <w:t xml:space="preserve">2.2. Критерии за научна коректност и достоверност на учебното съдържание</w:t>
      </w:r>
    </w:p>
    <w:p>
      <w:pPr>
        <w:spacing w:after="120" w:line="360"/>
        <w:ind w:firstLine="1134"/>
        <w:jc w:val="both"/>
      </w:pPr>
      <w:r>
        <w:rPr>
          <w:rFonts w:ascii="Times New Roman" w:cs="Times New Roman" w:eastAsia="Times New Roman" w:hAnsi="Times New Roman"/>
          <w:sz w:val="28"/>
          <w:szCs w:val="28"/>
        </w:rPr>
        <w:t xml:space="preserve">Научната коректност е първата и базова област на качеството: учебен материал, който съобщава неверни факти, компрометира самата цел на обучението, независимо колко добре е структуриран и оформен. Заглавието на точката очертава четирите ѝ измерения — точност, актуалност, надеждност и съответствие с източниците. При съдържание с човешки автор тези свойства обикновено се приемат по подразбиране въз основа на доверието в квалификацията и добросъвестността на автора; при генерирано съдържание, както показа първа глава, такова доверие няма върху какво да стъпи и всяко от измеренията трябва да бъде превърнато в изрична проверка.</w:t>
      </w:r>
    </w:p>
    <w:p>
      <w:pPr>
        <w:spacing w:after="120" w:line="360"/>
        <w:ind w:firstLine="1134"/>
        <w:jc w:val="both"/>
      </w:pPr>
      <w:r>
        <w:rPr>
          <w:rFonts w:ascii="Times New Roman" w:cs="Times New Roman" w:eastAsia="Times New Roman" w:hAnsi="Times New Roman"/>
          <w:sz w:val="28"/>
          <w:szCs w:val="28"/>
        </w:rPr>
        <w:t>Точността засяга верността на отделните твърдения. Спецификата на генерираното съдържание тук е двойна. От една страна, халюцинациите правят възможни грешки от вид, който при добросъвестен човешки автор практически не се среща — уверено формулирани, но изцяло измислени факти, данни и източници [28]. От друга страна, тези грешки не са маркирани стилистично: сравнителните изследвания показват, че възприеманото от студентите качество на генерираните учебни ресурси е равностойно на това на ресурсите, създадени от техни връстници [35]. Следствието за критериите е принципно — проверката на точността не може да разчита на усета на четящия за „съмнителен текст", а трябва да се извършва твърдение по твърдение, срещу независими източници: учебна литература, официална документация, стандарти.</w:t>
      </w:r>
    </w:p>
    <w:p>
      <w:pPr>
        <w:spacing w:after="120" w:line="360"/>
        <w:ind w:firstLine="1134"/>
        <w:jc w:val="both"/>
      </w:pPr>
      <w:r>
        <w:rPr>
          <w:rFonts w:ascii="Times New Roman" w:cs="Times New Roman" w:eastAsia="Times New Roman" w:hAnsi="Times New Roman"/>
          <w:sz w:val="28"/>
          <w:szCs w:val="28"/>
        </w:rPr>
        <w:t>Актуалността произтича от начина на обучение на езиковите модели: систематизациите на подхода за обогатено с извличане генериране посочват остарялото знание сред основните ограничения на тези модели, наред с халюцинациите и непроследимостта на разсъжденията [45]. Рискът е системен и е особено остър в бързо развиващи се области — каквито са например софтуерните технологии, където интерфейси, версии и препоръчани практики се променят на месеци. Генериран материал може да описва коректно вчерашното състояние на дадена технология и с това да бъде практически вреден днес. Показателят, който критерият изисква, е съответствие на съдържанието с актуалното състояние на областта — актуална версия, действащ стандарт, съвременна терминология — проверено към момента на използване, а не към момента на генериране.</w:t>
      </w:r>
    </w:p>
    <w:p>
      <w:pPr>
        <w:spacing w:after="120" w:line="360"/>
        <w:ind w:firstLine="1134"/>
        <w:jc w:val="both"/>
      </w:pPr>
      <w:r>
        <w:rPr>
          <w:rFonts w:ascii="Times New Roman" w:cs="Times New Roman" w:eastAsia="Times New Roman" w:hAnsi="Times New Roman"/>
          <w:sz w:val="28"/>
          <w:szCs w:val="28"/>
        </w:rPr>
        <w:t>Изискването за актуалност придобива особена острота при версионираните технологии, където предметната област има формален график на промяна. Рамката Angular е показателен пример: до версия 22 тя следва шестмесечен цикъл на основните издания, като от версия 22 преминава към едно основно издание годишно с четири до шест междинни; всяко основно издание се поддържа двадесет и четири месеца, а отпадащите програмни интерфейси преминават през период на отпадане с продължителност поне едно основно издание [50]. Тази публично обявена динамика има две следствия за оценяването. Първото е количествено: дори за няколко години предметната област сменя няколко основни издания, а част от препоръчаните практики отпадат. Второто е качествено и по-опасно: отпадналият интерфейс обикновено продължава да работи известно време, поради което генерираният пример не произвежда грешка при изпълнение, а тихо възпроизвежда остаряла практика — дефект, който проверката за работоспособност не улавя, а само съпоставката с актуалната документация.</w:t>
      </w:r>
    </w:p>
    <w:p>
      <w:pPr>
        <w:spacing w:after="120" w:line="360"/>
        <w:ind w:firstLine="1134"/>
        <w:jc w:val="both"/>
      </w:pPr>
      <w:r>
        <w:rPr>
          <w:rFonts w:ascii="Times New Roman" w:cs="Times New Roman" w:eastAsia="Times New Roman" w:hAnsi="Times New Roman"/>
          <w:sz w:val="28"/>
          <w:szCs w:val="28"/>
        </w:rPr>
        <w:t xml:space="preserve">Оттук произтича и практическото изискване към показателя за актуалност: той не може да бъде прилаган абстрактно, а изисква изрично фиксирана отправна точка — коя версия на технологията, кое издание на стандарта или коя редакция на нормативния документ се приема за актуални към момента на оценяването. Без такава отправна точка преценката „остаряло“ е неопределима, а оценките на различни оценители или на един оценител в различно време стават несъпоставими. Затова оценъчната карта предвижда отделно поле за референтния източник и за датата на проверката — процедурно решение, което превръща подвижния критерий за актуалност в проверимо твърдение.</w:t>
      </w:r>
    </w:p>
    <w:p>
      <w:pPr>
        <w:spacing w:after="120" w:line="360"/>
        <w:ind w:firstLine="1134"/>
        <w:jc w:val="both"/>
      </w:pPr>
      <w:r>
        <w:rPr>
          <w:rFonts w:ascii="Times New Roman" w:cs="Times New Roman" w:eastAsia="Times New Roman" w:hAnsi="Times New Roman"/>
          <w:sz w:val="28"/>
          <w:szCs w:val="28"/>
        </w:rPr>
        <w:t>Надеждността и съответствието с източниците образуват третото и четвъртото измерение, които при генерирано съдържание се сливат в едно практическо изискване: проследимост. Генерираният текст може да се позовава на несъществуващи публикации или да приписва на реални източници твърдения, които те не съдържат — дефект, документиран емпирично: при по-стария от два широко използвани модела 55 на сто от генерираните библиографски позовавания са изцяло измислени, а при по-новия — 18 на сто [43]. Затова критерият изисква всяко съществено твърдение в учебния материал да бъде проследимо до проверим източник, а всеки цитиран източник да бъде проверен в две стъпки: първо, че съществува, и второ, че действително казва онова, което му се приписва. За учебно съдържание, което по правило представя утвърдено знание, това изискване е изпълнимо — то съвпада с нормалната практика на добросъвестния автор — но при генериран материал трябва да бъде извършено от проверяващия, защото не е било извършено от никого при създаването.</w:t>
      </w:r>
    </w:p>
    <w:p>
      <w:pPr>
        <w:spacing w:after="120" w:line="360"/>
        <w:ind w:firstLine="1134"/>
        <w:jc w:val="both"/>
      </w:pPr>
      <w:r>
        <w:rPr>
          <w:rFonts w:ascii="Times New Roman" w:cs="Times New Roman" w:eastAsia="Times New Roman" w:hAnsi="Times New Roman"/>
          <w:sz w:val="28"/>
          <w:szCs w:val="28"/>
        </w:rPr>
        <w:t>Мащабът на проблема с източниците е измерен и емпирично. Изследване върху 636 библиографски позовавания, генерирани от два широко използвани диалогови модела, установява, че при по-стария модел 55% от цитатите са изцяло измислени, а при по-новия — 18%, като и сред реално съществуващите цитати значими грешки съдържат 43 на сто при по-стария и 24 на сто при по-новия модел [43]. Данните показват две неща едновременно: че новите поколения модели намаляват честотата на измислените източници и че дори при най-добрите тя остава далеч от пренебрежима. Критерият за проследимост следователно не може да бъде отслабен с аргумента за технологичния напредък — по-рядката грешка е също толкова невидима за читателя, колкото и честата.</w:t>
      </w:r>
    </w:p>
    <w:p>
      <w:pPr>
        <w:spacing w:after="120" w:line="360"/>
        <w:ind w:firstLine="1134"/>
        <w:jc w:val="both"/>
      </w:pPr>
      <w:r>
        <w:rPr>
          <w:rFonts w:ascii="Times New Roman" w:cs="Times New Roman" w:eastAsia="Times New Roman" w:hAnsi="Times New Roman"/>
          <w:sz w:val="28"/>
          <w:szCs w:val="28"/>
        </w:rPr>
        <w:t xml:space="preserve">Обобщено, критериите за научна коректност на генерираното учебно съдържание не се различават по форма от класическите — точност, актуалност, надеждност, съответствие с източниците — но операционализацията им се обръща: от презумпция за коректност, оборвана по изключение, към проверка на всяко съществено твърдение, при която коректността се установява, а не се предполага. В този вид — като проверими показатели на равнище твърдение и източник — критериите от настоящата точка ще влязат в съдържателната област „научна коректност" на модела в трета глава. Научно коректното съдържание обаче може да бъде дидактически негодно; критериите, които оценяват пригодността му за учебни цели, са предмет на следващата точка.</w:t>
      </w:r>
    </w:p>
    <w:p>
      <w:pPr>
        <w:pStyle w:val="Heading2"/>
      </w:pPr>
      <w:r>
        <w:rPr>
          <w:rFonts w:ascii="Times New Roman" w:cs="Times New Roman" w:eastAsia="Times New Roman" w:hAnsi="Times New Roman"/>
          <w:b/>
          <w:bCs/>
          <w:sz w:val="28"/>
          <w:szCs w:val="28"/>
        </w:rPr>
        <w:t xml:space="preserve">2.3. Критерии за дидактическа пригодност и съответствие с учебните цели</w:t>
      </w:r>
    </w:p>
    <w:p>
      <w:pPr>
        <w:spacing w:after="120" w:line="360"/>
        <w:ind w:firstLine="1134"/>
        <w:jc w:val="both"/>
      </w:pPr>
      <w:r>
        <w:rPr>
          <w:rFonts w:ascii="Times New Roman" w:cs="Times New Roman" w:eastAsia="Times New Roman" w:hAnsi="Times New Roman"/>
          <w:sz w:val="28"/>
          <w:szCs w:val="28"/>
        </w:rPr>
        <w:t xml:space="preserve">Дидактическата пригодност е втората област на качеството и е логически независима от първата: материал с безупречна фактология може да бъде негоден за обучение — зле подреден, несъобразен с аудиторията, лишен от упражнения и обратна връзка. Критериите в тази област произтичат пряко от педагогическите изисквания, формулирани в точка 1.2; задачата на настоящата точка е да ги превърне от изисквания към създаването в проверими критерии за оценяване на готов материал.</w:t>
      </w:r>
    </w:p>
    <w:p>
      <w:pPr>
        <w:spacing w:after="120" w:line="360"/>
        <w:ind w:firstLine="1134"/>
        <w:jc w:val="both"/>
      </w:pPr>
      <w:r>
        <w:rPr>
          <w:rFonts w:ascii="Times New Roman" w:cs="Times New Roman" w:eastAsia="Times New Roman" w:hAnsi="Times New Roman"/>
          <w:sz w:val="28"/>
          <w:szCs w:val="28"/>
        </w:rPr>
        <w:t>Първият критерий е съответствието с учебните цели: всеки елемент от съдържанието трябва да обслужва поне една формулирана цел, а всяка цел да бъде покрита от съдържанието и от средствата за проверка. Вторият е педагогическата логика на изложението — последователност, съответстваща на учебната логика на дисциплината, сегментиране на смислови единици и въвеждане на понятията преди употребата им [38]; проверимият показател е дали обучаем с декларираните предварителни знания може да следва изложението, без да се натъква на неизведени понятия. Третият критерий е активното учене: наличие на примери, задачи за прилагане и съдържателна обратна връзка — операционализация на принципите за демонстрация и прилагане [30, с. 44–45].</w:t>
      </w:r>
    </w:p>
    <w:p>
      <w:pPr>
        <w:spacing w:after="120" w:line="360"/>
        <w:ind w:firstLine="1134"/>
        <w:jc w:val="both"/>
      </w:pPr>
      <w:r>
        <w:rPr>
          <w:rFonts w:ascii="Times New Roman" w:cs="Times New Roman" w:eastAsia="Times New Roman" w:hAnsi="Times New Roman"/>
          <w:sz w:val="28"/>
          <w:szCs w:val="28"/>
        </w:rPr>
        <w:t>Спецификата на генерираното съдържание в тази област е по-фина, отколкото при научната коректност, и затова по-коварна. Езиковият модел възпроизвежда формата на учебния текст убедително — определения, примери, обобщения се редуват в познат ритъм — но зад формата няма модел на конкретната аудитория, на нейните предварителни знания и на учебната програма, в която материалът трябва да се вгради. Опитът на системите за контролирано генериране потвърждава това от обратната страна: за да бъде генерираното съдържание съобразено с учебната програма и с равнището на обучаемите, тези ограничения трябва да бъдат вградени изрично в процеса на генериране [47] — а при масовата практика на диалогово създаване такова вграждане липсва, освен ако преподавателят не го е внесъл сам чрез заявката.</w:t>
      </w:r>
    </w:p>
    <w:p>
      <w:pPr>
        <w:spacing w:after="120" w:line="360"/>
        <w:ind w:firstLine="1134"/>
        <w:jc w:val="both"/>
      </w:pPr>
      <w:r>
        <w:rPr>
          <w:rFonts w:ascii="Times New Roman" w:cs="Times New Roman" w:eastAsia="Times New Roman" w:hAnsi="Times New Roman"/>
          <w:sz w:val="28"/>
          <w:szCs w:val="28"/>
        </w:rPr>
        <w:t>Полезна отправна точка дава и по-старият, предгенеративен клон на автоматичното създаване на учебни материали — автоматичното генериране на тестови въпроси. Систематичният преглед на 93 изследвания в тази област показва, че още преди големите езикови модели полето е разработило подробни изисквания към качеството на генерираните въпроси — свързаност с учебното съдържание, еднозначност на верния отговор, правдоподобност на грешните алтернативи — и че оценяването им системно изисква човешка експертна проверка [19]. Този опит е пряко приложим към днешните инструменти: изискванията към качеството на въпросите не зависят от технологията на генериране, а необходимостта от експертна проверка се е запазвала при всяка досегашна технологична смяна.</w:t>
      </w:r>
    </w:p>
    <w:p>
      <w:pPr>
        <w:spacing w:after="120" w:line="360"/>
        <w:ind w:firstLine="1134"/>
        <w:jc w:val="both"/>
      </w:pPr>
      <w:r>
        <w:rPr>
          <w:rFonts w:ascii="Times New Roman" w:cs="Times New Roman" w:eastAsia="Times New Roman" w:hAnsi="Times New Roman"/>
          <w:sz w:val="28"/>
          <w:szCs w:val="28"/>
        </w:rPr>
        <w:t>Практиката добавя към тези критерии и един по-фин дидактически дефицит. Документираният опит с автоматизирано генериране на тестови въпроси показва системна склонност на моделите да формулират задачи по отделен детайл от подадения текст, вместо по водещото понятие, което той изгражда — дефект, който наложил въвеждането на изрична настройка за концептуална дълбочина в работния процес [2]. Значението за оценяването е конкретно: материалът може да покрива формално всички теми и въпреки това да проверява запаметяване на подробности, а не разбиране на понятия. Показателят за съответствие с целите следователно трябва да се прилага не само количествено — покрита ли е всяка цел — но и качествено: на какво познавателно равнище я покрива материалът.</w:t>
      </w:r>
    </w:p>
    <w:p>
      <w:pPr>
        <w:spacing w:after="120" w:line="360"/>
        <w:ind w:firstLine="1134"/>
        <w:jc w:val="both"/>
      </w:pPr>
      <w:r>
        <w:rPr>
          <w:rFonts w:ascii="Times New Roman" w:cs="Times New Roman" w:eastAsia="Times New Roman" w:hAnsi="Times New Roman"/>
          <w:sz w:val="28"/>
          <w:szCs w:val="28"/>
        </w:rPr>
        <w:t xml:space="preserve">Оттук следва и четвъртият критерий — приложимост в конкретния учебен контекст. Генерираният материал по подразбиране е „среден": написан за неопределен обучаем, в неопределен курс, с неопределен обем. Проверката трябва да установи дали материалът е използваем такъв, какъвто е, в конкретните условия — вписва ли се в отделеното учебно време, съответства ли на формата на обучението, стъпва ли на действително изучаваното преди него и подготвя ли следващото. Показателите тук са контекстуални по природа и затова не могат да бъдат проверени от никого другиго освен от преподавателя, който познава курса — още един аргумент, че моделът за оценяване трябва да бъде инструмент в ръцете на преподавателя, а не автоматизирана процедура.</w:t>
      </w:r>
    </w:p>
    <w:p>
      <w:pPr>
        <w:spacing w:after="120" w:line="360"/>
        <w:ind w:firstLine="1134"/>
        <w:jc w:val="both"/>
      </w:pPr>
      <w:r>
        <w:rPr>
          <w:rFonts w:ascii="Times New Roman" w:cs="Times New Roman" w:eastAsia="Times New Roman" w:hAnsi="Times New Roman"/>
          <w:sz w:val="28"/>
          <w:szCs w:val="28"/>
        </w:rPr>
        <w:t xml:space="preserve">Обобщено, критериите за дидактическа пригодност — съответствие с целите, педагогическа логика, активно учене, приложимост в контекста — наследяват съдържанието си от установената педагогическа традиция, но при генерирано съдържание тежестта им нараства: формата на учебния текст вече не е свидетелство за педагогически замисъл, защото се възпроизвежда механично. Материалът трябва да бъде проверен именно по същество, а не по вид. Следващата точка разглежда третата област на качеството — езиковата яснота, структурата и достъпността на изложението.</w:t>
      </w:r>
    </w:p>
    <w:p>
      <w:pPr>
        <w:pStyle w:val="Heading2"/>
      </w:pPr>
      <w:r>
        <w:rPr>
          <w:rFonts w:ascii="Times New Roman" w:cs="Times New Roman" w:eastAsia="Times New Roman" w:hAnsi="Times New Roman"/>
          <w:b/>
          <w:bCs/>
          <w:sz w:val="28"/>
          <w:szCs w:val="28"/>
        </w:rPr>
        <w:t xml:space="preserve">2.4. Критерии за езикова яснота, структура и достъпност</w:t>
      </w:r>
    </w:p>
    <w:p>
      <w:pPr>
        <w:spacing w:after="120" w:line="360"/>
        <w:ind w:firstLine="1134"/>
        <w:jc w:val="both"/>
      </w:pPr>
      <w:r>
        <w:rPr>
          <w:rFonts w:ascii="Times New Roman" w:cs="Times New Roman" w:eastAsia="Times New Roman" w:hAnsi="Times New Roman"/>
          <w:sz w:val="28"/>
          <w:szCs w:val="28"/>
        </w:rPr>
        <w:t xml:space="preserve">Третата област на качеството обхваща формата на изложението и е независима от предходните две: съдържание с вярна фактология и смислен педагогически замисъл може да бъде изложено неразбираемо, неорганизирано или недостъпно за част от обучаемите. Критериите в тази област се групират в три направления — езикова яснота, текстова и визуална организация, и достъпност.</w:t>
      </w:r>
    </w:p>
    <w:p>
      <w:pPr>
        <w:spacing w:after="120" w:line="360"/>
        <w:ind w:firstLine="1134"/>
        <w:jc w:val="both"/>
      </w:pPr>
      <w:r>
        <w:rPr>
          <w:rFonts w:ascii="Times New Roman" w:cs="Times New Roman" w:eastAsia="Times New Roman" w:hAnsi="Times New Roman"/>
          <w:sz w:val="28"/>
          <w:szCs w:val="28"/>
        </w:rPr>
        <w:t>Езиковата яснота включва разбираемост на изказа, стил, адаптиран към възрастта и подготовката на аудиторията, и последователна употреба на терминологията — всеки термин да бъде въведен преди употребата си и да се използва еднозначно в целия материал. Спецификата на генерираното съдържание тук е парадоксална: езикът му е плавен по подразбиране, затова рискът не е в очевидната неграмотност, а в по-фини дефекти. Литературата отбелязва, че основната част от изследванията върху езиковите модели е направена за английския език и че за останалите езици остава изследователска празнина [16]; документираният български опит потвърждава това от практическата страна — при генериране от учебен текст на български делът на въпросите, изискващи редакция, е двукратно до петкратно по-висок, отколкото при английски, а необходимите корекции са предимно от езиков и стилистичен характер [2]. Плавността на повърхността маскира тези дефекти, затова проверката изисква четене на целия материал в последователност, а не преглед на откъси.</w:t>
      </w:r>
    </w:p>
    <w:p>
      <w:pPr>
        <w:spacing w:after="120" w:line="360"/>
        <w:ind w:firstLine="1134"/>
        <w:jc w:val="both"/>
      </w:pPr>
      <w:r>
        <w:rPr>
          <w:rFonts w:ascii="Times New Roman" w:cs="Times New Roman" w:eastAsia="Times New Roman" w:hAnsi="Times New Roman"/>
          <w:sz w:val="28"/>
          <w:szCs w:val="28"/>
        </w:rPr>
        <w:t>Критерият за разбираемост има и международно утвърдена операционализация: стандартът за ясен език ISO 24495-1 определя ясната комуникация чрез четири принципа, които поставят читателя в центъра — читателят да получава относимата за него информация, да може да я намери, да я разбере и да може да я използва [36]. Пренесени върху учебното съдържание, тези принципи превръщат разбираемостта от интуитивна преценка в проверими въпроси: намира ли обучаемият необходимото на очакваното място, разбира ли го при първо четене, може ли да го приложи. При генериран текст стандартът е полезен именно защото разграничава плавността от яснотата — текст, който се чете гладко, може да не отговаря на нито един от четирите принципа.</w:t>
      </w:r>
    </w:p>
    <w:p>
      <w:pPr>
        <w:spacing w:after="120" w:line="360"/>
        <w:ind w:firstLine="1134"/>
        <w:jc w:val="both"/>
      </w:pPr>
      <w:r>
        <w:rPr>
          <w:rFonts w:ascii="Times New Roman" w:cs="Times New Roman" w:eastAsia="Times New Roman" w:hAnsi="Times New Roman"/>
          <w:sz w:val="28"/>
          <w:szCs w:val="28"/>
        </w:rPr>
        <w:t>Твърдението за по-слабото качество при езици с ограничено представяне в обучителните данни има и пряко емпирично потвърждение за българския език. При съпоставимо по обем генериране на тестови въпроси от учебен текст на два езика делът на въпросите, изискващи редакция, е около 4–5 на сто при българските срещу 1–2 на сто при английските, а преобладаващият тип нередност е именно неестествено или несвойствено формулиране на български [2]. Данните са показателни в две отношения: разликата между езиците е двукратна до петкратна, а характерът на дефекта е езиков, а не фактически — тоест той не се улавя от проверка за вярност, а само от внимателен прочит с оглед на естествеността на изказа. За материали, предназначени за българска аудитория, показателят за естественост на езика следователно не е второстепенен, а един от най-натоварените в цялата област.</w:t>
      </w:r>
    </w:p>
    <w:p>
      <w:pPr>
        <w:spacing w:after="120" w:line="360"/>
        <w:ind w:firstLine="1134"/>
        <w:jc w:val="both"/>
      </w:pPr>
      <w:r>
        <w:rPr>
          <w:rFonts w:ascii="Times New Roman" w:cs="Times New Roman" w:eastAsia="Times New Roman" w:hAnsi="Times New Roman"/>
          <w:sz w:val="28"/>
          <w:szCs w:val="28"/>
        </w:rPr>
        <w:t>Текстовата и визуалната организация обхваща разчленяването на изложението — заглавия, които отразяват съдържанието, смислово обособени части, откроени определения и примери — и икономията на изразните средства: изследванията върху мултимедийното учене показват, че изключването на несъществения текст и на ненужния визуален материал подобрява ученето [38]. При генерирано съдържание този критерий е особено уместен, тъй като езиковите модели са склонни към многословие и към шаблонни уводни и заключителни формули, които заемат място, без да носят учебна стойност.</w:t>
      </w:r>
    </w:p>
    <w:p>
      <w:pPr>
        <w:spacing w:after="120" w:line="360"/>
        <w:ind w:firstLine="1134"/>
        <w:jc w:val="both"/>
      </w:pPr>
      <w:r>
        <w:rPr>
          <w:rFonts w:ascii="Times New Roman" w:cs="Times New Roman" w:eastAsia="Times New Roman" w:hAnsi="Times New Roman"/>
          <w:sz w:val="28"/>
          <w:szCs w:val="28"/>
        </w:rPr>
        <w:t>Третото направление е достъпността в широкия ѝ смисъл. Рамката на универсалния дизайн за учене (UDL) изисква учебното съдържание да предоставя множество средства за представяне на информацията, за ангажиране на обучаемите и за изразяване на наученото, така че материалът да бъде използваем от обучаеми с различни възможности и предпочитания [51]. В литературата за дизайна на учебния опит достъпността, използваемостта и универсалният дизайн се разглеждат като три допълващи се елемента на приобщаващия дизайн — свързани, но неподменяеми един с друг [20]. Генерираният текст не изпълнява тези изисквания по подразбиране: той е едноканален — плътен текст без алтернативи за възприемане — и придобива достъпни характеристики само ако те са изрично поискани при генерирането или добавени при редакцията.</w:t>
      </w:r>
    </w:p>
    <w:p>
      <w:pPr>
        <w:spacing w:after="120" w:line="360"/>
        <w:ind w:firstLine="1134"/>
        <w:jc w:val="both"/>
      </w:pPr>
      <w:r>
        <w:rPr>
          <w:rFonts w:ascii="Times New Roman" w:cs="Times New Roman" w:eastAsia="Times New Roman" w:hAnsi="Times New Roman"/>
          <w:sz w:val="28"/>
          <w:szCs w:val="28"/>
        </w:rPr>
        <w:t xml:space="preserve">Обобщено, критериите за езикова яснота, структура и достъпност — разбираемост и адаптиран стил, терминологична последователност, организация и икономия на изложението, съответствие с изискванията за достъпност — имат утвърдено съдържание, но при генерирано съдържание променят посоката на подозрението: проблемите не са там, където текстът изглежда зле, а там, където изглежда добре. Гладкостта на изказа е свойство на механизма на генериране, не свидетелство за качество на комуникацията. Остава четвъртата област — допустимостта на съдържанието от гледна точка на оригиналност, етика и академична коректност — предмет на следващата точка.</w:t>
      </w:r>
    </w:p>
    <w:p>
      <w:pPr>
        <w:pStyle w:val="Heading2"/>
      </w:pPr>
      <w:r>
        <w:rPr>
          <w:rFonts w:ascii="Times New Roman" w:cs="Times New Roman" w:eastAsia="Times New Roman" w:hAnsi="Times New Roman"/>
          <w:b/>
          <w:bCs/>
          <w:sz w:val="28"/>
          <w:szCs w:val="28"/>
        </w:rPr>
        <w:t xml:space="preserve">2.5. Критерии за оригиналност, етична допустимост и академична коректност</w:t>
      </w:r>
    </w:p>
    <w:p>
      <w:pPr>
        <w:spacing w:after="120" w:line="360"/>
        <w:ind w:firstLine="1134"/>
        <w:jc w:val="both"/>
      </w:pPr>
      <w:r>
        <w:rPr>
          <w:rFonts w:ascii="Times New Roman" w:cs="Times New Roman" w:eastAsia="Times New Roman" w:hAnsi="Times New Roman"/>
          <w:sz w:val="28"/>
          <w:szCs w:val="28"/>
        </w:rPr>
        <w:t xml:space="preserve">Четвъртата област на качеството се различава по природа от предходните три: тя не пита дали съдържанието работи като учебен материал, а дали е допустимо да бъде използвано изобщо. Критериите тук операционализират етичните и академичните изисквания от точка 1.6 на равнището на конкретния материал и обхващат оригиналността, етичната допустимост на съдържанието и академичната коректност на употребата.</w:t>
      </w:r>
    </w:p>
    <w:p>
      <w:pPr>
        <w:spacing w:after="120" w:line="360"/>
        <w:ind w:firstLine="1134"/>
        <w:jc w:val="both"/>
      </w:pPr>
      <w:r>
        <w:rPr>
          <w:rFonts w:ascii="Times New Roman" w:cs="Times New Roman" w:eastAsia="Times New Roman" w:hAnsi="Times New Roman"/>
          <w:sz w:val="28"/>
          <w:szCs w:val="28"/>
        </w:rPr>
        <w:t xml:space="preserve">Оригиналността засяга отношението на генерирания текст към съществуващи произведения. Езиковият модел може да възпроизведе защитен текст в близка до дословната форма, без да сигнализира за това, и може да преразкаже чуждо изложение без указание за източника — и в двата случая материалът изглежда оригинален, без да бъде. Проверимите показатели са два: близост до съществуващи източници, установявана чрез съпоставка на характерни пасажи с достъпната литература по темата, и коректно обозначаване на действително заетите елементи — определения, класификации, примери с установен произход.</w:t>
      </w:r>
    </w:p>
    <w:p>
      <w:pPr>
        <w:spacing w:after="120" w:line="360"/>
        <w:ind w:firstLine="1134"/>
        <w:jc w:val="both"/>
      </w:pPr>
      <w:r>
        <w:rPr>
          <w:rFonts w:ascii="Times New Roman" w:cs="Times New Roman" w:eastAsia="Times New Roman" w:hAnsi="Times New Roman"/>
          <w:sz w:val="28"/>
          <w:szCs w:val="28"/>
        </w:rPr>
        <w:t>Изкушението е тази проверка да бъде възложена на автоматизирани детектори за генериран текст. Емпиричните оценки обаче показват, че точността и надеждността на такива детектори в академичен контекст са недостатъчни — те произвеждат както фалшиви обвинения срещу човешки текст, така и пропуски на действително генериран, а резултатите им се влияят от езика и от редакцията на текста [31]. Следствието за модела е принципно: критерият за оригиналност и академична коректност не може да бъде операционализиран чрез показанието на детектор. Устойчивата алтернатива е процедурна — декларирана употреба на генеративни инструменти, проследимост на процеса на създаване и съдържателна съпоставка с източниците — при която коректността се осигурява от документирания процес, а не се гадае от готовия текст.</w:t>
      </w:r>
    </w:p>
    <w:p>
      <w:pPr>
        <w:spacing w:after="120" w:line="360"/>
        <w:ind w:firstLine="1134"/>
        <w:jc w:val="both"/>
      </w:pPr>
      <w:r>
        <w:rPr>
          <w:rFonts w:ascii="Times New Roman" w:cs="Times New Roman" w:eastAsia="Times New Roman" w:hAnsi="Times New Roman"/>
          <w:sz w:val="28"/>
          <w:szCs w:val="28"/>
        </w:rPr>
        <w:t>Към общата ненадеждност на детекторите се добавя и обстоятелство, съществено за настоящата работа. Анализът на приложимостта им в българска академична среда посочва два системни проблема: фалшивите положителни резултати са особено характерни за текстове с висока терминологична наситеност и формализиран стил — тоест точно за добре написаното научно и учебно изложение — а детекторите, обучени предимно върху текстове на английски език, губят точност при проверка на текстове на български [1]. Оттук произтича и процедурното следствие, което същият анализ формулира: никое решение не бива да се основава единствено на машинен доклад, а резултатът от детектор може да бъде само повод за съдържателна проверка, но не и неин заместител. За модел, предназначен за оценяване на учебни материали на български език, това е решаващ аргумент — критерият за оригиналност се операционализира процедурно, а не детекционно.</w:t>
      </w:r>
    </w:p>
    <w:p>
      <w:pPr>
        <w:spacing w:after="120" w:line="360"/>
        <w:ind w:firstLine="1134"/>
        <w:jc w:val="both"/>
      </w:pPr>
      <w:r>
        <w:rPr>
          <w:rFonts w:ascii="Times New Roman" w:cs="Times New Roman" w:eastAsia="Times New Roman" w:hAnsi="Times New Roman"/>
          <w:sz w:val="28"/>
          <w:szCs w:val="28"/>
        </w:rPr>
        <w:t>Развитието на институционалните политики потвърждава тази посока. Анализите на академичната почтеност след масовото навлизане на диалоговите модели показват изместване от първоначалните забрани към регулирана и декларирана употреба: постижимата цел не е откриването на всяка генерирана дума, а ясни правила кога употребата е допустима, как се декларира и кой носи отговорност за крайния текст [32]. Този развой съвпада с извода на настоящата работа — устойчивата операционализация на критерия е процедурна, а не детекционна — и го пренася от отделния материал към равнището на институционалните правила, в които оценъчният модел може да се вгради.</w:t>
      </w:r>
    </w:p>
    <w:p>
      <w:pPr>
        <w:spacing w:after="120" w:line="360"/>
        <w:ind w:firstLine="1134"/>
        <w:jc w:val="both"/>
      </w:pPr>
      <w:r>
        <w:rPr>
          <w:rFonts w:ascii="Times New Roman" w:cs="Times New Roman" w:eastAsia="Times New Roman" w:hAnsi="Times New Roman"/>
          <w:sz w:val="28"/>
          <w:szCs w:val="28"/>
        </w:rPr>
        <w:t>Етичната допустимост на самото съдържание образува втората половина на областта. Генерираният материал може да съдържа елементи, наследени от обучителните данни: стереотипизиращи примери и роли, пристрастия към определени групи, гледни точки, представени като безспорни, или съдържание, неподходящо за възрастта и контекста на аудиторията [16]. Тези елементи рядко са очевидни — те се проявяват в подбора на примерите, в подразбиращите се допускания, в това кой присъства и кой отсъства от илюстрациите на материала. Проверимите показатели включват преглед на примерите и казусите за стереотипи и пристрастия, съответствие на съдържанието с възрастта и културния контекст на обучаемите и отсъствие на подвеждащи внушения, представени като установено знание.</w:t>
      </w:r>
    </w:p>
    <w:p>
      <w:pPr>
        <w:spacing w:after="120" w:line="360"/>
        <w:ind w:firstLine="1134"/>
        <w:jc w:val="both"/>
      </w:pPr>
      <w:r>
        <w:rPr>
          <w:rFonts w:ascii="Times New Roman" w:cs="Times New Roman" w:eastAsia="Times New Roman" w:hAnsi="Times New Roman"/>
          <w:sz w:val="28"/>
          <w:szCs w:val="28"/>
        </w:rPr>
        <w:t xml:space="preserve">Обобщено, четвъртата област се отличава с това, че е най-слабо податлива на автоматизация и в най-голяма степен опира до професионалната и етичната преценка на проверяващия: инструментите за автоматично откриване са ненадеждни, а стереотипите и пристрастията изискват човешка чувствителност към контекста. С това анализът на четирите критерийни области — научна коректност, дидактическа пригодност, езикова яснота и достъпност, оригиналност и етична допустимост — е завършен. Преди тези критерии да бъдат обобщени в изисквания към модела, е необходимо да се систематизира срещу какво точно те трябва да бъдат чувствителни: типичните, повтарящи се дефицити на съдържанието, създавано с генеративни инструменти. Това е предмет на следващата точка.</w:t>
      </w:r>
    </w:p>
    <w:p>
      <w:pPr>
        <w:pStyle w:val="Heading2"/>
      </w:pPr>
      <w:r>
        <w:rPr>
          <w:rFonts w:ascii="Times New Roman" w:cs="Times New Roman" w:eastAsia="Times New Roman" w:hAnsi="Times New Roman"/>
          <w:b/>
          <w:bCs/>
          <w:sz w:val="28"/>
          <w:szCs w:val="28"/>
        </w:rPr>
        <w:t xml:space="preserve">2.6. Анализ на типични дефицити в съдържание, създадено с генеративни AI инструменти</w:t>
      </w:r>
    </w:p>
    <w:p>
      <w:pPr>
        <w:spacing w:after="120" w:line="360"/>
        <w:ind w:firstLine="1134"/>
        <w:jc w:val="both"/>
      </w:pPr>
      <w:r>
        <w:rPr>
          <w:rFonts w:ascii="Times New Roman" w:cs="Times New Roman" w:eastAsia="Times New Roman" w:hAnsi="Times New Roman"/>
          <w:sz w:val="28"/>
          <w:szCs w:val="28"/>
        </w:rPr>
        <w:t xml:space="preserve">Дефицитите на генерираното съдържание бяха споменавани в хода на изложението многократно, но разпръснато — като ограничения на инструментите в точка 1.3, като рискове в точка 1.5 и като специфика на отделните критерийни области в точки 2.2–2.5. Настоящата точка ги събира в обща типология, защото за целите на модела дефицитите не са любопитни куриози, а точният списък от явления, срещу които критериите трябва да бъдат чувствителни. Типологията следва четирите критерийни области.</w:t>
      </w:r>
    </w:p>
    <w:p>
      <w:pPr>
        <w:spacing w:after="120" w:line="360"/>
        <w:ind w:firstLine="1134"/>
        <w:jc w:val="both"/>
      </w:pPr>
      <w:r>
        <w:rPr>
          <w:rFonts w:ascii="Times New Roman" w:cs="Times New Roman" w:eastAsia="Times New Roman" w:hAnsi="Times New Roman"/>
          <w:sz w:val="28"/>
          <w:szCs w:val="28"/>
        </w:rPr>
        <w:t>В областта на съдържателното качество типичните дефицити са фактическите неточности и халюцинациите — измислени факти, данни и източници, поднесени с непоклатима езикова увереност — и системната опасност от остарялост на информацията спрямо актуалното състояние на областта. Определящата характеристика на тези дефицити не е тяхната честота, а тяхната невидимост: сравнителните изследвания показват, че възприеманото качество на генерираните ресурси е равностойно на това на човешките [35], така че дефектите не се набиват на очи, а се откриват само при целенасочена проверка. Затова рискът трябва да се оценява не по вероятността за поява на грешка, а по цената на нейния пропуск — фактическа грешка в учебен материал се възпроизвежда в знанията на всеки обучаем, който учи по него.</w:t>
      </w:r>
    </w:p>
    <w:p>
      <w:pPr>
        <w:spacing w:after="120" w:line="360"/>
        <w:ind w:firstLine="1134"/>
        <w:jc w:val="both"/>
      </w:pPr>
      <w:r>
        <w:rPr>
          <w:rFonts w:ascii="Times New Roman" w:cs="Times New Roman" w:eastAsia="Times New Roman" w:hAnsi="Times New Roman"/>
          <w:sz w:val="28"/>
          <w:szCs w:val="28"/>
        </w:rPr>
        <w:t>В дидактическата област типичните дефицити са логическите пропуски — несъобразеността с конкретната аудитория и учебна програма — дефицит, който системите за контролирано генериране компенсират, като вграждат структурирана информация за учебната програма и ограничения върху сложността на езика според равнището на обучаемите направо в процеса на генериране [47]; и еднотипните, повърхностни упражнения без съдържателна обратна връзка. Общото между тези дефицити е, че нито един от тях не прави материала очевидно негоден — той изглежда като учебен текст и точно затова преминава незабелязан през безкритичен преглед.</w:t>
      </w:r>
    </w:p>
    <w:p>
      <w:pPr>
        <w:spacing w:after="120" w:line="360"/>
        <w:ind w:firstLine="1134"/>
        <w:jc w:val="both"/>
      </w:pPr>
      <w:r>
        <w:rPr>
          <w:rFonts w:ascii="Times New Roman" w:cs="Times New Roman" w:eastAsia="Times New Roman" w:hAnsi="Times New Roman"/>
          <w:sz w:val="28"/>
          <w:szCs w:val="28"/>
        </w:rPr>
        <w:t>В езиково-структурната област се натрупват дефицитите на формата: шаблонността — еднообразен ритъм на изложението, формулни уводи и заключения, повтарящи се конструкции; многословието, което разрежда учебната стойност; терминологичната непоследователност между части, генерирани с отделни заявки; а при по-слабо покритите в обучителните данни езици — неестествени конструкции и буквално пренесени чуждоезични обрати. В четвъртата област — оригиналност и етична допустимост — типичните дефицити са скритата близост до съществуващи източници, която материалът не обозначава, и наследените от данните стереотипи и пристрастия в примерите и допусканията [16].</w:t>
      </w:r>
    </w:p>
    <w:p>
      <w:pPr>
        <w:spacing w:after="120" w:line="360"/>
        <w:ind w:firstLine="1134"/>
        <w:jc w:val="both"/>
      </w:pPr>
      <w:r>
        <w:rPr>
          <w:rFonts w:ascii="Times New Roman" w:cs="Times New Roman" w:eastAsia="Times New Roman" w:hAnsi="Times New Roman"/>
          <w:sz w:val="28"/>
          <w:szCs w:val="28"/>
        </w:rPr>
        <w:t xml:space="preserve">Систематизацията позволява извод с пряко конструктивно значение за модела. Дефицитите на генерираното съдържание са предвидими по вид, макар и непредвидими по място: не може да се каже къде в конкретния материал ще се появи халюцинация или логически пропуск, но може да се каже с висока увереност какви категории дефекти изобщо се срещат и в коя критерийна област попада всяка от тях. Точно това свойство прави систематичното оценяване възможно — типологията на дефицитите се превръща в списък от контролни точки, всяка от които се проверява от определен показател на модела. Съответствието между дефицити, области и показатели е представено обобщено в таблицата на следващата точка, която извежда пълните изисквания към модела.</w:t>
      </w:r>
    </w:p>
    <w:p>
      <w:pPr>
        <w:pStyle w:val="Heading2"/>
      </w:pPr>
      <w:r>
        <w:rPr>
          <w:rFonts w:ascii="Times New Roman" w:cs="Times New Roman" w:eastAsia="Times New Roman" w:hAnsi="Times New Roman"/>
          <w:b/>
          <w:bCs/>
          <w:sz w:val="28"/>
          <w:szCs w:val="28"/>
        </w:rPr>
        <w:t xml:space="preserve">2.7. Извеждане на изисквания към бъдещ модел за оценяване</w:t>
      </w:r>
    </w:p>
    <w:p>
      <w:pPr>
        <w:spacing w:after="120" w:line="360"/>
        <w:ind w:firstLine="1134"/>
        <w:jc w:val="both"/>
      </w:pPr>
      <w:r>
        <w:rPr>
          <w:rFonts w:ascii="Times New Roman" w:cs="Times New Roman" w:eastAsia="Times New Roman" w:hAnsi="Times New Roman"/>
          <w:sz w:val="28"/>
          <w:szCs w:val="28"/>
        </w:rPr>
        <w:t xml:space="preserve">Настоящата точка изпълнява свързващата функция на втора глава: тя обобщава резултатите от целия дотук извършен анализ в изрична спецификация — списък от изисквания, срещу които моделът в трета глава ще бъде конструиран и по които след апробирането ще може да бъде проверено дали конструкцията е успешна. Изискванията се групират в три равнища: към съдържанието на модела, към измерването и към процедурата за приложение.</w:t>
      </w:r>
    </w:p>
    <w:p>
      <w:pPr>
        <w:spacing w:after="120" w:line="360"/>
        <w:ind w:firstLine="1134"/>
        <w:jc w:val="both"/>
      </w:pPr>
      <w:r>
        <w:rPr>
          <w:rFonts w:ascii="Times New Roman" w:cs="Times New Roman" w:eastAsia="Times New Roman" w:hAnsi="Times New Roman"/>
          <w:sz w:val="28"/>
          <w:szCs w:val="28"/>
        </w:rPr>
        <w:t xml:space="preserve">Изискванията към съдържанието произтичат от точки 2.2–2.6. Първо, моделът трябва да покрива четирите критерийни области — научна коректност и достоверност, дидактическа пригодност, езикова яснота, структура и достъпност, и оригиналност, етична допустимост и академична коректност — тъй като те са логически независими една от друга и дефицит в която и да е от тях компрометира материала. Второ, всяка област трябва да бъде разгърната в критерии с проверими показатели, формулирани на определеното в анализа равнище: за научната коректност — на равнище отделно твърдение и отделен източник; за дидактическата пригодност — на равнище структура и учебна цел; за езиковата област — на равнище цялостен прочит; за четвъртата област — на равнище процес на създаване. Трето, показателите трябва да са чувствителни към типичните дефицити от точка 2.6 — всеки установен клас дефекти да се улавя от поне един показател, иначе моделът има сляпо петно точно там, където рисковете са документирани.</w:t>
      </w:r>
    </w:p>
    <w:p>
      <w:pPr>
        <w:spacing w:after="120" w:line="360"/>
        <w:ind w:firstLine="1134"/>
        <w:jc w:val="both"/>
      </w:pPr>
      <w:r>
        <w:rPr>
          <w:rFonts w:ascii="Times New Roman" w:cs="Times New Roman" w:eastAsia="Times New Roman" w:hAnsi="Times New Roman"/>
          <w:sz w:val="28"/>
          <w:szCs w:val="28"/>
        </w:rPr>
        <w:t xml:space="preserve">Изискванията към измерването засягат скалата и интерпретацията. Скалата следва да има малък брой ясно разграничими нива с описателни дефиниции — достатъчно, за да разграничава годно от негодно и да откроява посоката на необходимата преработка, но не толкова, че разликата между съседни нива да стане въпрос на вкус. Необходим е изричен праг на допустимост: равнище, под което материалът не се използва без преработка, независимо от резултатите в останалите области. Оттук следва и правилото за агрегиране: областите не се компенсират взаимно — слабата научна коректност не се изкупува от отличен език — затова общата оценка не може да бъде просто средно аритметично, а трябва да отчита прага във всяка област поотделно.</w:t>
      </w:r>
    </w:p>
    <w:p>
      <w:pPr>
        <w:spacing w:after="120" w:line="360"/>
        <w:ind w:firstLine="1134"/>
        <w:jc w:val="both"/>
      </w:pPr>
      <w:r>
        <w:rPr>
          <w:rFonts w:ascii="Times New Roman" w:cs="Times New Roman" w:eastAsia="Times New Roman" w:hAnsi="Times New Roman"/>
          <w:sz w:val="28"/>
          <w:szCs w:val="28"/>
        </w:rPr>
        <w:t xml:space="preserve">Изискванията към процедурата произтичат от точки 2.1 и 2.5. Моделът трябва да бъде приложим от отделен преподавател с предметна компетентност, без специализирана инфраструктура и без разчитане на автоматични детектори, чиято ненадеждност беше показана. Процедурата трябва да предписва ред на проверката — съдържателната коректност преди формата, тъй като няма смисъл да се шлифова изказът на неверен текст — и да завършва с документиран резултат: попълнена оценъчна карта, която прави оценката проследима и съпоставима между материали и оценители. Накрая, процедурата трябва да бъде икономична: проверката на генериран материал има смисъл само ако е осезаемо по-евтина от написването му наново. Обобщеното съответствие между области, критерии, показатели и улавяни дефицити е представено в Таблица 3.</w:t>
      </w:r>
    </w:p>
    <w:p>
      <w:pPr>
        <w:spacing w:after="120" w:before="200"/>
        <w:jc w:val="center"/>
      </w:pPr>
      <w:r>
        <w:rPr>
          <w:rFonts w:ascii="Times New Roman" w:cs="Times New Roman" w:eastAsia="Times New Roman" w:hAnsi="Times New Roman"/>
          <w:i/>
          <w:iCs/>
          <w:sz w:val="20"/>
          <w:szCs w:val="20"/>
        </w:rPr>
        <w:t xml:space="preserve">Таблица 3. Съответствие между критерийни области, критерии, показатели и типични дефицити</w:t>
      </w:r>
    </w:p>
    <w:tbl>
      <w:tblPr>
        <w:tblW w:type="dxa" w:w="8765"/>
        <w:tblBorders>
          <w:top w:val="single" w:color="auto" w:sz="4"/>
          <w:left w:val="single" w:color="auto" w:sz="4"/>
          <w:bottom w:val="single" w:color="auto" w:sz="4"/>
          <w:right w:val="single" w:color="auto" w:sz="4"/>
          <w:insideH w:val="single" w:color="auto" w:sz="4"/>
          <w:insideV w:val="single" w:color="auto" w:sz="4"/>
        </w:tblBorders>
      </w:tblPr>
      <w:tblGrid>
        <w:gridCol w:w="1750"/>
        <w:gridCol w:w="2300"/>
        <w:gridCol w:w="2715"/>
        <w:gridCol w:w="2000"/>
      </w:tblGrid>
      <w:tr>
        <w:tc>
          <w:tcPr>
            <w:tcW w:type="dxa" w:w="175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Times New Roman" w:cs="Times New Roman" w:eastAsia="Times New Roman" w:hAnsi="Times New Roman"/>
                <w:b/>
                <w:bCs/>
                <w:sz w:val="20"/>
                <w:szCs w:val="20"/>
              </w:rPr>
              <w:t xml:space="preserve">Област</w:t>
            </w:r>
          </w:p>
        </w:tc>
        <w:tc>
          <w:tcPr>
            <w:tcW w:type="dxa" w:w="23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Times New Roman" w:cs="Times New Roman" w:eastAsia="Times New Roman" w:hAnsi="Times New Roman"/>
                <w:b/>
                <w:bCs/>
                <w:sz w:val="20"/>
                <w:szCs w:val="20"/>
              </w:rPr>
              <w:t xml:space="preserve">Критерии</w:t>
            </w:r>
          </w:p>
        </w:tc>
        <w:tc>
          <w:tcPr>
            <w:tcW w:type="dxa" w:w="2715"/>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Times New Roman" w:cs="Times New Roman" w:eastAsia="Times New Roman" w:hAnsi="Times New Roman"/>
                <w:b/>
                <w:bCs/>
                <w:sz w:val="20"/>
                <w:szCs w:val="20"/>
              </w:rPr>
              <w:t xml:space="preserve">Примерни показатели</w:t>
            </w:r>
          </w:p>
        </w:tc>
        <w:tc>
          <w:tcPr>
            <w:tcW w:type="dxa" w:w="20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Times New Roman" w:cs="Times New Roman" w:eastAsia="Times New Roman" w:hAnsi="Times New Roman"/>
                <w:b/>
                <w:bCs/>
                <w:sz w:val="20"/>
                <w:szCs w:val="20"/>
              </w:rPr>
              <w:t xml:space="preserve">Улавяни дефицити</w:t>
            </w:r>
          </w:p>
        </w:tc>
      </w:tr>
      <w:tr>
        <w:tc>
          <w:tcPr>
            <w:tcW w:type="dxa" w:w="175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Научна коректност и достоверност</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точност; актуалност; надеждност и съответствие с източниците</w:t>
            </w:r>
          </w:p>
        </w:tc>
        <w:tc>
          <w:tcPr>
            <w:tcW w:type="dxa" w:w="2715"/>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всяко съществено твърдение е проверено срещу независим източник; съответствие с актуалната версия/стандарт; цитираните източници съществуват и казват приписаното им</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халюцинации; измислени източници; остаряла информация</w:t>
            </w:r>
          </w:p>
        </w:tc>
      </w:tr>
      <w:tr>
        <w:tc>
          <w:tcPr>
            <w:tcW w:type="dxa" w:w="175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Дидактическа пригодност</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съответствие с целите; педагогическа логика; активно учене; приложимост в контекста</w:t>
            </w:r>
          </w:p>
        </w:tc>
        <w:tc>
          <w:tcPr>
            <w:tcW w:type="dxa" w:w="2715"/>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всяка цел е покрита; понятията са въведени преди употреба; налични са задачи със съдържателна обратна връзка; материалът се вписва в курса</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логически пропуски; липса на педагогическа последователност; несъобразеност с аудиторията; еднотипни упражнения</w:t>
            </w:r>
          </w:p>
        </w:tc>
      </w:tr>
      <w:tr>
        <w:tc>
          <w:tcPr>
            <w:tcW w:type="dxa" w:w="175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Езикова яснота, структура и достъпност</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разбираемост и стил; терминологична последователност; организация и икономия; достъпност (UDL)</w:t>
            </w:r>
          </w:p>
        </w:tc>
        <w:tc>
          <w:tcPr>
            <w:tcW w:type="dxa" w:w="2715"/>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изказ, адаптиран към аудиторията; еднозначна терминология; без излишно съдържание; алтернативи за възприемане</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шаблонност; многословие; терминологична непоследователност; калки и неестествени конструкции</w:t>
            </w:r>
          </w:p>
        </w:tc>
      </w:tr>
      <w:tr>
        <w:tc>
          <w:tcPr>
            <w:tcW w:type="dxa" w:w="175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Оригиналност, етика и академична коректност</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оригиналност; етична допустимост; проследимост на процеса (осигурена процедурно)</w:t>
            </w:r>
          </w:p>
        </w:tc>
        <w:tc>
          <w:tcPr>
            <w:tcW w:type="dxa" w:w="2715"/>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съпоставка на характерни пасажи с източници; обозначени заети елементи; примери без приписвания, които темата не налага</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скрита близост до източници; необозначени заемания; стереотипи в примерите; неотчетена употреба</w:t>
            </w:r>
          </w:p>
        </w:tc>
      </w:tr>
    </w:tbl>
    <w:p>
      <w:pPr>
        <w:spacing w:after="120" w:line="360"/>
        <w:ind w:firstLine="1134"/>
        <w:jc w:val="both"/>
      </w:pPr>
      <w:r>
        <w:rPr>
          <w:rFonts w:ascii="Times New Roman" w:cs="Times New Roman" w:eastAsia="Times New Roman" w:hAnsi="Times New Roman"/>
          <w:sz w:val="28"/>
          <w:szCs w:val="28"/>
        </w:rPr>
        <w:t xml:space="preserve">Така формулираната спецификация затваря аналитичната част на работата и определя еднозначно задачата на трета глава: да конструира модел, който покрива четирите области с критерии и проверими показатели, измерва ги по скала с праг на допустимост и некомпенсаторно агрегиране, и се прилага по документирана, икономична процедура, изпълнима от отделен преподавател. Всеки елемент на модела в трета глава ще може да бъде съотнесен към конкретно изискване от настоящата точка, а апробирането в точки 3.7–3.8 ще провери дали изискванията са изпълнени не на хартия, а върху реални генерирани материали.</w:t>
      </w:r>
    </w:p>
    <w:p>
      <w:pPr>
        <w:pStyle w:val="Heading2"/>
      </w:pPr>
      <w:r>
        <w:rPr>
          <w:rFonts w:ascii="Times New Roman" w:cs="Times New Roman" w:eastAsia="Times New Roman" w:hAnsi="Times New Roman"/>
          <w:b/>
          <w:bCs/>
          <w:sz w:val="28"/>
          <w:szCs w:val="28"/>
        </w:rPr>
        <w:t>ИЗВОДИ ПО ВТОРА ГЛАВА</w:t>
      </w:r>
    </w:p>
    <w:p>
      <w:pPr>
        <w:spacing w:after="120" w:line="360"/>
        <w:ind w:firstLine="1134"/>
        <w:jc w:val="both"/>
      </w:pPr>
      <w:r>
        <w:rPr>
          <w:rFonts w:ascii="Times New Roman" w:cs="Times New Roman" w:eastAsia="Times New Roman" w:hAnsi="Times New Roman"/>
          <w:sz w:val="28"/>
          <w:szCs w:val="28"/>
        </w:rPr>
        <w:t xml:space="preserve">Анализът във втора глава води до следните изводи.</w:t>
      </w:r>
    </w:p>
    <w:p>
      <w:pPr>
        <w:spacing w:after="120" w:line="360"/>
        <w:ind w:firstLine="1134"/>
        <w:jc w:val="both"/>
      </w:pPr>
      <w:r>
        <w:rPr>
          <w:rFonts w:ascii="Times New Roman" w:cs="Times New Roman" w:eastAsia="Times New Roman" w:hAnsi="Times New Roman"/>
          <w:sz w:val="28"/>
          <w:szCs w:val="28"/>
        </w:rPr>
        <w:t xml:space="preserve">Първо, съвременната литература отговаря на предизвикателството на генерираното съдържание с три семейства подходи — адаптиране на наследените критерии, разработване на нови AI-специфични рамки и вграждане на контрола в системите за генериране. И трите оставят празнина: наследените критерии пропускат специфичните рискове, новите рамки са малобройни и неутвърдени, а вграденият контрол е недостъпен за преподавателя, който работи с общодостъпни инструменти. Интегриран, практически приложим модел за оценяване не се открива.</w:t>
      </w:r>
    </w:p>
    <w:p>
      <w:pPr>
        <w:spacing w:after="120" w:line="360"/>
        <w:ind w:firstLine="1134"/>
        <w:jc w:val="both"/>
      </w:pPr>
      <w:r>
        <w:rPr>
          <w:rFonts w:ascii="Times New Roman" w:cs="Times New Roman" w:eastAsia="Times New Roman" w:hAnsi="Times New Roman"/>
          <w:sz w:val="28"/>
          <w:szCs w:val="28"/>
        </w:rPr>
        <w:t xml:space="preserve">Второ, качеството на генерираното учебно съдържание се разполага в четири логически независими области — научна коректност, дидактическа пригодност, езикова яснота и достъпност, оригиналност и етична допустимост. Общото между тях е обръщането на операционализацията: при генериран материал качеството не може да се предполага въз основа на доверие в автора, а трябва да бъде установено чрез проверка — на равнище твърдение, структура, цялостен прочит и процес на създаване съответно.</w:t>
      </w:r>
    </w:p>
    <w:p>
      <w:pPr>
        <w:spacing w:after="120" w:line="360"/>
        <w:ind w:firstLine="1134"/>
        <w:jc w:val="both"/>
      </w:pPr>
      <w:r>
        <w:rPr>
          <w:rFonts w:ascii="Times New Roman" w:cs="Times New Roman" w:eastAsia="Times New Roman" w:hAnsi="Times New Roman"/>
          <w:sz w:val="28"/>
          <w:szCs w:val="28"/>
        </w:rPr>
        <w:t xml:space="preserve">Трето, типичните дефицити на генерираното съдържание са предвидими по вид, макар и непредвидими по място, и главната им опасност е невидимостта — те не личат от повърхностни белези. Именно предвидимостта им позволява да бъдат превърнати в списък от контролни точки, а невидимостта им прави този списък задължителен.</w:t>
      </w:r>
    </w:p>
    <w:p>
      <w:pPr>
        <w:spacing w:after="120" w:line="360"/>
        <w:ind w:firstLine="1134"/>
        <w:jc w:val="both"/>
      </w:pPr>
      <w:r>
        <w:rPr>
          <w:rFonts w:ascii="Times New Roman" w:cs="Times New Roman" w:eastAsia="Times New Roman" w:hAnsi="Times New Roman"/>
          <w:sz w:val="28"/>
          <w:szCs w:val="28"/>
        </w:rPr>
        <w:t xml:space="preserve">Четвърто, възможностите за автоматизиране на проверката са ограничени по принцип: автоматичните детектори за генериран текст са ненадеждни, а ключовите проверки — фактологическа, дидактическа, етична — изискват предметна и педагогическа компетентност. Моделът следователно трябва да бъде инструмент за структуриране на експертна човешка преценка, а не неин заместител.</w:t>
      </w:r>
    </w:p>
    <w:p>
      <w:pPr>
        <w:spacing w:after="120" w:line="360"/>
        <w:ind w:firstLine="1134"/>
        <w:jc w:val="both"/>
      </w:pPr>
      <w:r>
        <w:rPr>
          <w:rFonts w:ascii="Times New Roman" w:cs="Times New Roman" w:eastAsia="Times New Roman" w:hAnsi="Times New Roman"/>
          <w:sz w:val="28"/>
          <w:szCs w:val="28"/>
        </w:rPr>
        <w:t xml:space="preserve">Пето, анализът е обобщен в изрична спецификация на бъдещия модел: четири критерийни области с проверими показатели, чувствителни към установените дефицити; скала с малък брой описателни нива, праг на допустимост и некомпенсаторно агрегиране; документирана, икономична процедура, приложима от отделен преподавател. С това задачата на трета глава е еднозначно определена, а изпълнението ѝ подлежи на проверка чрез апробиране.</w:t>
      </w:r>
    </w:p>
    <w:p>
      <w:pPr>
        <w:pStyle w:val="Heading1"/>
      </w:pPr>
      <w:r>
        <w:rPr>
          <w:rFonts w:ascii="Times New Roman" w:cs="Times New Roman" w:eastAsia="Times New Roman" w:hAnsi="Times New Roman"/>
          <w:b/>
          <w:bCs/>
          <w:sz w:val="28"/>
          <w:szCs w:val="28"/>
        </w:rPr>
        <w:t xml:space="preserve">ГЛАВА ТРЕТА. Разработване и апробиране на модел за оценяване на качеството на електронно учебно съдържание, разработено с генеративни AI инструменти</w:t>
      </w:r>
    </w:p>
    <w:p>
      <w:pPr>
        <w:pStyle w:val="Heading2"/>
      </w:pPr>
      <w:r>
        <w:rPr>
          <w:rFonts w:ascii="Times New Roman" w:cs="Times New Roman" w:eastAsia="Times New Roman" w:hAnsi="Times New Roman"/>
          <w:b/>
          <w:bCs/>
          <w:sz w:val="28"/>
          <w:szCs w:val="28"/>
        </w:rPr>
        <w:t xml:space="preserve">3.1. Принципи при разработване на модела</w:t>
      </w:r>
    </w:p>
    <w:p>
      <w:pPr>
        <w:spacing w:after="120" w:line="360"/>
        <w:ind w:firstLine="1134"/>
        <w:jc w:val="both"/>
      </w:pPr>
      <w:r>
        <w:rPr>
          <w:rFonts w:ascii="Times New Roman" w:cs="Times New Roman" w:eastAsia="Times New Roman" w:hAnsi="Times New Roman"/>
          <w:sz w:val="28"/>
          <w:szCs w:val="28"/>
        </w:rPr>
        <w:t xml:space="preserve">Трета глава преминава от анализ към конструиране: въз основа на спецификацията от точка 2.7 се разработва модел за оценяване на качеството на електронно учебно съдържание, създадено с генеративни инструменти, който след това се апробира върху реални материали. Преди структурата на модела да бъде изложена, е необходимо да се формулират принципите, които ръководят проектантските решения — те са мерилото, по което се преценява всеки избор в конструкцията, и обясняват защо моделът изглежда така, а не иначе. Принципите са четири: научна обоснованост, приложимост, прозрачност и възможност за практическо използване.</w:t>
      </w:r>
    </w:p>
    <w:p>
      <w:pPr>
        <w:spacing w:after="120" w:line="360"/>
        <w:ind w:firstLine="1134"/>
        <w:jc w:val="both"/>
      </w:pPr>
      <w:r>
        <w:rPr>
          <w:rFonts w:ascii="Times New Roman" w:cs="Times New Roman" w:eastAsia="Times New Roman" w:hAnsi="Times New Roman"/>
          <w:sz w:val="28"/>
          <w:szCs w:val="28"/>
        </w:rPr>
        <w:t xml:space="preserve">Принципът на научната обоснованост изисква всеки елемент на модела да бъде проследим до резултат от предходния анализ или до установен източник в литературата. Четирите области следват от точки 2.2–2.5; показателите — от типологията на дефицитите в точка 2.6; правилата за скалата и агрегирането — от изискванията в точка 2.7. В модела не бива да присъства критерий, който не отговаря на документиран риск или на установено педагогическо изискване — иначе инструментът се раздува с проверки, чиято цена не е оправдана.</w:t>
      </w:r>
    </w:p>
    <w:p>
      <w:pPr>
        <w:spacing w:after="120" w:line="360"/>
        <w:ind w:firstLine="1134"/>
        <w:jc w:val="both"/>
      </w:pPr>
      <w:r>
        <w:rPr>
          <w:rFonts w:ascii="Times New Roman" w:cs="Times New Roman" w:eastAsia="Times New Roman" w:hAnsi="Times New Roman"/>
          <w:sz w:val="28"/>
          <w:szCs w:val="28"/>
        </w:rPr>
        <w:t xml:space="preserve">Принципът на приложимостта поставя модела в реалните условия на неговия потребител: отделен преподавател с предметна компетентност, без специализирана инфраструктура, без достъп до вградените механизми за контрол на затворени системи и без надеждни автоматични детектори. Всички показатели трябва да бъдат проверими с общодостъпни средства — четене, съпоставка с източници, професионална преценка — и в разумно време: проверката трябва да остане осезаемо по-евтина от самостоятелното написване на материала, иначе моделът обезсмисля ползата от генерирането.</w:t>
      </w:r>
    </w:p>
    <w:p>
      <w:pPr>
        <w:spacing w:after="120" w:line="360"/>
        <w:ind w:firstLine="1134"/>
        <w:jc w:val="both"/>
      </w:pPr>
      <w:r>
        <w:rPr>
          <w:rFonts w:ascii="Times New Roman" w:cs="Times New Roman" w:eastAsia="Times New Roman" w:hAnsi="Times New Roman"/>
          <w:sz w:val="28"/>
          <w:szCs w:val="28"/>
        </w:rPr>
        <w:t xml:space="preserve">Принципът на прозрачността засяга обяснимостта на оценката. Всяко ниво по всеки критерий трябва да има описателна дефиниция, а присъдената оценка — да бъде защитима с посочени доказателства от самия материал: конкретното невярно твърдение, конкретният логически пропуск, конкретният шаблонен пасаж. Прозрачността обслужва две цели: прави оценките съпоставими между различни оценители и материали и превръща оценяването в диагностика — резултатът не само отсъжда, но и посочва къде и каква преработка е необходима.</w:t>
      </w:r>
    </w:p>
    <w:p>
      <w:pPr>
        <w:spacing w:after="120" w:line="360"/>
        <w:ind w:firstLine="1134"/>
        <w:jc w:val="both"/>
      </w:pPr>
      <w:r>
        <w:rPr>
          <w:rFonts w:ascii="Times New Roman" w:cs="Times New Roman" w:eastAsia="Times New Roman" w:hAnsi="Times New Roman"/>
          <w:sz w:val="28"/>
          <w:szCs w:val="28"/>
        </w:rPr>
        <w:t xml:space="preserve">Принципът на практическата използваемост обобщава предходните три в изискване към формата: моделът трябва да съществува не само като описание в текст, а като работен инструмент — оценъчна карта с ясен ред на попълване, която побира цялата процедура и целия резултат. Как тези принципи се въплъщават в конкретна конструкция — области, критерии, показатели и логика на оценяване — е предмет на следващата точка.</w:t>
      </w:r>
    </w:p>
    <w:p>
      <w:pPr>
        <w:pStyle w:val="Heading2"/>
      </w:pPr>
      <w:r>
        <w:rPr>
          <w:rFonts w:ascii="Times New Roman" w:cs="Times New Roman" w:eastAsia="Times New Roman" w:hAnsi="Times New Roman"/>
          <w:b/>
          <w:bCs/>
          <w:sz w:val="28"/>
          <w:szCs w:val="28"/>
        </w:rPr>
        <w:t xml:space="preserve">3.2. Структура на предложения модел</w:t>
      </w:r>
    </w:p>
    <w:p>
      <w:pPr>
        <w:spacing w:after="120" w:line="360"/>
        <w:ind w:firstLine="1134"/>
        <w:jc w:val="both"/>
      </w:pPr>
      <w:r>
        <w:rPr>
          <w:rFonts w:ascii="Times New Roman" w:cs="Times New Roman" w:eastAsia="Times New Roman" w:hAnsi="Times New Roman"/>
          <w:sz w:val="28"/>
          <w:szCs w:val="28"/>
        </w:rPr>
        <w:t>Моделът има тристепенна йерархична структура: четири области на качеството, разгърнати в критерии, а всеки критерий — в проверими показатели. Към йерархията се добавят три напречни елемента: скала за оценяване с описателни нива (точка 3.4), правила за агрегиране и интерпретация и процедура за приложение с оценъчна карта (точки 3.5–3.6). Конструкцията пряко въплъщава спецификацията от точка 2.7: областите съответстват на четирите критерийни семейства от анализа, а показателите — на типичните дефицити, срещу които те трябва да бъдат чувствителни.</w:t>
      </w:r>
    </w:p>
    <w:p>
      <w:pPr>
        <w:spacing w:after="120" w:line="360"/>
        <w:ind w:firstLine="1134"/>
        <w:jc w:val="both"/>
      </w:pPr>
      <w:r>
        <w:rPr>
          <w:rFonts w:ascii="Times New Roman" w:cs="Times New Roman" w:eastAsia="Times New Roman" w:hAnsi="Times New Roman"/>
          <w:sz w:val="28"/>
          <w:szCs w:val="28"/>
        </w:rPr>
        <w:t xml:space="preserve">Трите равнища на йерархията имат различни функции. Областите са измеренията на качеството — логически независими една от друга, така че резултатът по една не предопределя резултата по друга. Критериите назовават отделните свойства в рамките на областта. Показателите са работното равнище: конкретни, проверими твърдения за материала, всяко от които оценяващият може да потвърди, отхвърли или квалифицира, посочвайки конкретно място в текста. Веригата може да се илюстрира така: областта „съдържателно качество" включва критерия „точност", който се проверява чрез показателя „всяко съществено твърдение в материала е вярно при съпоставка с независим източник". Оценяването се извършва отдолу нагоре: оценяват се показателите, критерият обобщава своите показатели, областта — своите критерии.</w:t>
      </w:r>
    </w:p>
    <w:p>
      <w:pPr>
        <w:spacing w:after="120" w:line="360"/>
        <w:ind w:firstLine="1134"/>
        <w:jc w:val="both"/>
      </w:pPr>
      <w:r>
        <w:rPr>
          <w:rFonts w:ascii="Times New Roman" w:cs="Times New Roman" w:eastAsia="Times New Roman" w:hAnsi="Times New Roman"/>
          <w:sz w:val="28"/>
          <w:szCs w:val="28"/>
        </w:rPr>
        <w:t xml:space="preserve">Логиката на агрегиране следва изискването за некомпенсаторност от точка 2.7. Четирите областни оценки не се сливат в едно общо число, защото средната стойност би прикрила точно това, което моделът трябва да откроява — материал с отличен език и негодна фактология би получил „приемлива" средна оценка. Вместо това крайният резултат е профил: четири областни оценки плюс обща категория за допустимост, която се определя от най-ниската областна оценка спрямо прага. Материалът е годен за използване само ако всяка от четирите области е над прага на допустимост; в противен случай профилът посочва къде и каква преработка е необходима, преди материалът да бъде допуснат до обучаеми.</w:t>
      </w:r>
    </w:p>
    <w:p>
      <w:pPr>
        <w:spacing w:after="120" w:line="360"/>
        <w:ind w:firstLine="1134"/>
        <w:jc w:val="both"/>
      </w:pPr>
      <w:r>
        <w:rPr>
          <w:rFonts w:ascii="Times New Roman" w:cs="Times New Roman" w:eastAsia="Times New Roman" w:hAnsi="Times New Roman"/>
          <w:sz w:val="28"/>
          <w:szCs w:val="28"/>
        </w:rPr>
        <w:t xml:space="preserve">Редът на прилагане е фиксиран и започва с нулева стъпка: преди всяка оценка се установява декларираният контекст на материала — учебни цели, аудитория, място в курса — защото без него дидактическите показатели нямат еталон за сравнение. Следва проверката по областите в ред: съдържателно качество, дидактическо качество, езикова и структурна пригодност, етична и академична коректност. Редът не е произволен — фактологията се проверява преди формата, защото шлифоването на изказа на неверен текст е загуба на труд. По същата причина процедурата допуска ранно прекратяване: ако съдържателното качество падне под прага на допустимост, оценяването може да спре и материалът да се върне за преработка, без да се изразходва време по останалите области — пряко изпълнение на изискването за икономичност.</w:t>
      </w:r>
    </w:p>
    <w:p>
      <w:pPr>
        <w:spacing w:after="120" w:line="360"/>
        <w:ind w:firstLine="1134"/>
        <w:jc w:val="both"/>
      </w:pPr>
      <w:r>
        <w:rPr>
          <w:rFonts w:ascii="Times New Roman" w:cs="Times New Roman" w:eastAsia="Times New Roman" w:hAnsi="Times New Roman"/>
          <w:sz w:val="28"/>
          <w:szCs w:val="28"/>
        </w:rPr>
        <w:t xml:space="preserve">Накрая е необходимо да се очертае и какво моделът не е. Той не е автоматичен детектор — не се произнася дали материалът е генериран, а дали е годен. Не е инструмент за класиране на генеративни инструменти — оценява материали, а не модели. И не замества експертната преценка, а я структурира: всички показатели са формулирани така, че да бъдат проверени от преподавател с предметна компетентност, с общодостъпни средства, и всяка оценка да бъде защитима с посочени доказателства. Пълното разгръщане на областите, критериите и показателите е предмет на следващата точка.</w:t>
      </w:r>
    </w:p>
    <w:p>
      <w:pPr>
        <w:pStyle w:val="Heading2"/>
      </w:pPr>
      <w:r>
        <w:rPr>
          <w:rFonts w:ascii="Times New Roman" w:cs="Times New Roman" w:eastAsia="Times New Roman" w:hAnsi="Times New Roman"/>
          <w:b/>
          <w:bCs/>
          <w:sz w:val="28"/>
          <w:szCs w:val="28"/>
        </w:rPr>
        <w:t xml:space="preserve">3.3. Основни области, критерии и показатели за оценяване</w:t>
      </w:r>
    </w:p>
    <w:p>
      <w:pPr>
        <w:spacing w:after="120" w:line="360"/>
        <w:ind w:firstLine="1134"/>
        <w:jc w:val="both"/>
      </w:pPr>
      <w:r>
        <w:rPr>
          <w:rFonts w:ascii="Times New Roman" w:cs="Times New Roman" w:eastAsia="Times New Roman" w:hAnsi="Times New Roman"/>
          <w:sz w:val="28"/>
          <w:szCs w:val="28"/>
        </w:rPr>
        <w:t xml:space="preserve">Настоящата точка разгръща съдържанието на модела: четирите области, обозначени О1–О4, триначетиринадесетте критерия К1–К14 и двадесет и седемте показателя П1–П27. Номерацията на критериите и на показателите е непрекъсната през целия модел, а не поднаредена по области: код от вида П14 сочи един-единствен показател, без да изисква разгръщане на йерархията, което държи позоваванията в оценъчната карта и в анализа на резултатите кратки и еднозначни. Формулировките на показателите са утвърдителни — те описват състоянието на годния материал, а оценяващият установява доколко конкретният материал им съответства.</w:t>
      </w:r>
    </w:p>
    <w:p>
      <w:pPr>
        <w:spacing w:after="120" w:line="360"/>
        <w:ind w:firstLine="1134"/>
        <w:jc w:val="both"/>
      </w:pPr>
      <w:r>
        <w:rPr>
          <w:rFonts w:ascii="Times New Roman" w:cs="Times New Roman" w:eastAsia="Times New Roman" w:hAnsi="Times New Roman"/>
          <w:sz w:val="28"/>
          <w:szCs w:val="28"/>
        </w:rPr>
        <w:t>Област О1 — съдържателно качество — операционализира критериите от точка 2.2 в три критерия. К1 „Точност" включва показателите: П1 — всяко съществено твърдение в материала е вярно при съпоставка с независим източник (учебна литература, официална документация); П2 — примерите, включително програмният код, са коректни и възпроизводими в декларираната среда. К2 „Актуалност": П3 — съдържанието съответства на актуалното състояние на областта (действаща версия, съвременна терминология, препоръчани практики); П4 — не се представят отпаднали или несъвместими решения като текущи. К3 „Надеждност на източниците": П5 — всички цитирани в материала източници съществуват; П6 — цитираните източници действително съдържат приписаните им твърдения. За материали, които не цитират източници, К3 е неприложим и това се отбелязва с основание в картата; проверимостта на твърденията в такива материали се улавя от П1 и не се отчита повторно.</w:t>
      </w:r>
    </w:p>
    <w:p>
      <w:pPr>
        <w:spacing w:after="120" w:line="360"/>
        <w:ind w:firstLine="1134"/>
        <w:jc w:val="both"/>
      </w:pPr>
      <w:r>
        <w:rPr>
          <w:rFonts w:ascii="Times New Roman" w:cs="Times New Roman" w:eastAsia="Times New Roman" w:hAnsi="Times New Roman"/>
          <w:sz w:val="28"/>
          <w:szCs w:val="28"/>
        </w:rPr>
        <w:t xml:space="preserve">Област О2 — дидактическо качество — пренася критериите от точка 2.3 в четири критерия. К4 „Съответствие с учебните цели": П7 — всяка декларирана цел е покрита от съдържанието; П8 — материалът не съдържа съществени части, необслужващи нито една цел. К5 „Педагогическа последователност": П9 — всяко ключово понятие е въведено с точна дефиниция преди първата си употреба; П10 — изложението е сегментирано на усвоими смислови единици в логичен ред. К6 „Активно учене": П11 — налични са примери и задачи за прилагане на всяка основна цел; П12 — обратната връзка към задачите обяснява, а не само констатира. К7 „Съответствие с аудиторията": П13 — предпоставеното знание не надхвърля декларираното за аудиторията; П14 — обемът на материала съответства на заявения. Вторият показател е обвързан със заявения, а не с някакъв абстрактно подходящ обем по две причини. Първо, заявката е единственият документиран и проверим ориентир: съответствието се установява с преброяване, а не с преценка. Второ, така показателят измерва нещо, което е специфично за генеративните инструменти — доколко изпълняват изрично зададено количествено ограничение. Преобразуването на обема в учебно време остава преценка на преподавателя, който познава курса, и затова не се вписва в модела като отделно изискване. Броенето обхваща целия материал, както е получен, включително програмния код, тъй като заявката не е изключвала кода от обема, а изрично го е поискала като част от материала; мери се спрямо поставеното изискване, а не спрямо правило, въведено след генерирането. Тъй като заявката формулира обема с „около", е приет допуск, изведен от самата дума: отклонение до десет на сто от най-близката граница се смята за съответствие, отклонение над десет и до двадесет и пет на сто — за частично, а над двадесет и пет на сто — за несъответствие. При тестовите въпроси референтът е броят на въпросите, така както е зададен в заявката, а не броят думи.</w:t>
      </w:r>
    </w:p>
    <w:p>
      <w:pPr>
        <w:spacing w:after="120" w:line="360"/>
        <w:ind w:firstLine="1134"/>
        <w:jc w:val="both"/>
      </w:pPr>
      <w:r>
        <w:rPr>
          <w:rFonts w:ascii="Times New Roman" w:cs="Times New Roman" w:eastAsia="Times New Roman" w:hAnsi="Times New Roman"/>
          <w:sz w:val="28"/>
          <w:szCs w:val="28"/>
        </w:rPr>
        <w:t>Област О3 — езикова и структурна пригодност — обхваща критериите от точка 2.4 в пет критерия. К8 „Разбираемост и стил": П15 — изказът е адаптиран към равнището на аудиторията; П16 — езикът е естествен, без буквално пренесени чуждоезични конструкции. Вторият показател изисква уточнение при прилагането си върху терминологията. В редица предметни области утвърдена терминология на езика на материала може изобщо да не съществува: липсват официален превод и терминологичен стандарт, а практиката съчетава домашен и чужд термин според предпочитанието на отделния автор. Положението е свързано с документираната неравномерност на езиковото покритие в изследванията и в обучителните данни [16], [10]. Положението е типично за бързо развиващите се технологични области и за езиците с ограничено присъствие в специализираната литература; в апробирането по точка 3.7 то е налице по двете линии едновременно. Позоваването на „утвърдена употреба" следователно би въвело референт, който в много случаи не съществува, и би направило оценката произволна — същият дефект, който моделът избягва другаде. Показателят затова не отсъжда кое название е правилното, а прилага два теста, независими от авторитет: дали преведеният термин носи в общия език значение, различно от предметното, което може да подведе читателя, и дали обучаемият би намерил понятието в документацията по този термин. Термин, който издържа и двата теста, е допустим избор дори когато е буквален превод; последователността на употребата му в целия материал е предмет на К9. К9 „Терминологична еднозначност": единственият ѝ показател П17 изисква терминологията да е еднозначна в целия материал — едно понятие да се назовава по един начин и един термин да не означава две неща. К10 „Организация и икономия": П19 — заглавията и разделянето на части отразяват съдържанието; П20 — материалът не съдържа излишен текст без учебна стойност. К11 „Достъпност": П21 — нетекстовото съдържание има текстов еквивалент; П22 — структурата е изразена семантично и материалът е навигируем. К12 „Преносимост" съдържа един показател, П23 — материалът е използваем извън средата, в която е създаден.</w:t>
      </w:r>
    </w:p>
    <w:p>
      <w:pPr>
        <w:spacing w:after="120" w:line="360"/>
        <w:ind w:firstLine="1134"/>
        <w:jc w:val="both"/>
      </w:pPr>
      <w:r>
        <w:rPr>
          <w:rFonts w:ascii="Times New Roman" w:cs="Times New Roman" w:eastAsia="Times New Roman" w:hAnsi="Times New Roman"/>
          <w:sz w:val="28"/>
          <w:szCs w:val="28"/>
        </w:rPr>
        <w:t xml:space="preserve">Последният критерий в областта се нуждае от отделен довод, тъй като не произтича пряко от точка 2.4, а от начина, по който съвременните диалогови инструменти доставят изхода си. Част от този изход не е текст, а интерактивен обект, който съществува единствено в средата на самия инструмент: той не се пренася в система за управление на обучението, не се архивира и изчезва при износ във файл. Учебен материал, чиято част живее само при доставчика, не може да бъде раздаден на обучаемите — преподавателят разполага със сесия, а не с ресурс. Показателят П23 установява именно това: запазва ли всеки елемент функцията си, след като материалът бъде изнесен във формата, в която ще бъде предоставен. Критерият е поставен в областта на структурната пригодност, тъй като предметът му е формата на материала, а не съдържанието му, и е разграничен от достъпността: К11 пита дали съдържанието достига до обучаемия при различни начини на възприемане, К12 — дали изобщо достига до него извън средата на създаване.</w:t>
      </w:r>
    </w:p>
    <w:p>
      <w:pPr>
        <w:spacing w:after="120" w:line="360"/>
        <w:ind w:firstLine="1134"/>
        <w:jc w:val="both"/>
      </w:pPr>
      <w:r>
        <w:rPr>
          <w:rFonts w:ascii="Times New Roman" w:cs="Times New Roman" w:eastAsia="Times New Roman" w:hAnsi="Times New Roman"/>
          <w:sz w:val="28"/>
          <w:szCs w:val="28"/>
        </w:rPr>
        <w:t xml:space="preserve">Приписването на този дефект изисква изрично уточнение, тъй като показателят лесно би бил разчетен като преценка за езиковия модел, а той не е такава. Интерактивният обект е свойство на канала, през който е поискано съдържанието, а не на модела, който го е породил: същият модел, достъпен през приложно-програмен интерфейс, команден ред или настолно приложение, връща самостоятелен документ и този клас дефект изобщо не възниква. Каналът на генериране следователно е част от условията на оценяването и се вписва в заглавната част на картата наред с инструмента и изданието му. Уточнението обаче не омаловажава показателя, а определя адресата на извода. Преподавателят без техническа подготовка на практика работи именно през уеб интерфейс — той е подразбиращият се и единственият достъпен канал за повечето потребители — и получава материал, чиято част не може да раздаде. Дефектът е реален за него независимо от това, че при друг канал не би се появил. Оценката „не“ по П23 се разчита като указание към избора на канал и към формата, в който се иска изходът, а не като характеристика на генеративния инструмент.</w:t>
      </w:r>
    </w:p>
    <w:p>
      <w:pPr>
        <w:spacing w:after="120" w:line="360"/>
        <w:ind w:firstLine="1134"/>
        <w:jc w:val="both"/>
      </w:pPr>
      <w:r>
        <w:rPr>
          <w:rFonts w:ascii="Times New Roman" w:cs="Times New Roman" w:eastAsia="Times New Roman" w:hAnsi="Times New Roman"/>
          <w:sz w:val="28"/>
          <w:szCs w:val="28"/>
        </w:rPr>
        <w:t xml:space="preserve">Област О4 — етична и академична коректност — операционализира точка 2.5 в два критерия. К13 „Оригиналност": П24 — характерни пасажи от материала не показват близост до защитени източници при съпоставка; П25 — действително заетите елементи са обозначени. К14 „Етична допустимост": П26 — примерите не приписват роли, способности или поведение по пол, етнос, възраст или произход, когато предметната материя не го налага; П27 — съдържанието е уместно за възрастта и контекста на аудиторията.</w:t>
      </w:r>
    </w:p>
    <w:p>
      <w:pPr>
        <w:spacing w:after="120" w:line="360"/>
        <w:ind w:firstLine="1134"/>
        <w:jc w:val="both"/>
      </w:pPr>
      <w:r>
        <w:rPr>
          <w:rFonts w:ascii="Times New Roman" w:cs="Times New Roman" w:eastAsia="Times New Roman" w:hAnsi="Times New Roman"/>
          <w:sz w:val="28"/>
          <w:szCs w:val="28"/>
        </w:rPr>
        <w:t xml:space="preserve">Формулировката на П25 заслужава уточнение, тъй като изисква проверимост там, където преценката най-лесно се изражда в мнение. Изискване от вида „материалът не съдържа стереотипи и пристрастия" е отрицание без референт: оценяващият няма спрямо какво да го установи и на практика го приема или отхвърля по усет, което противоречи на принципа за проверимост от точка 3.1. Приетата формулировка обвързва показателя с две наблюдаеми неща — изчерпателния списък на срещанията на лица в примерите и предметната материя на темата. Въпросът става установим: налага ли темата точно това приписване на роли и поведение. Доказателството е изброяване на срещанията, а не впечатление от прочита. Когато материалът изобщо не съдържа примери с лица, което при техническото учебно съдържание е обичайно, показателят се отбелязва като неприложим.</w:t>
      </w:r>
    </w:p>
    <w:p>
      <w:pPr>
        <w:spacing w:after="120" w:line="360"/>
        <w:ind w:firstLine="1134"/>
        <w:jc w:val="both"/>
      </w:pPr>
      <w:r>
        <w:rPr>
          <w:rFonts w:ascii="Times New Roman" w:cs="Times New Roman" w:eastAsia="Times New Roman" w:hAnsi="Times New Roman"/>
          <w:sz w:val="28"/>
          <w:szCs w:val="28"/>
        </w:rPr>
        <w:t xml:space="preserve">Област О4 обхваща два критерия, а не три, и причината заслужава изричен довод, тъй като точка 2.5 извежда и трето изискване — прозрачност на произхода на материала. Това изискване не е формулирано като показател по принципно съображение. Оценъчната карта установява свойства на оценявания материал, а генериран текст по никакъв начин не съдържа декларация за собствения си произход: инструментът няма основание да я постави, а жанрът на учебния материал не я предвижда. Твърдение, чиято стойност е предизвестена, независимо какъв материал се оценява, не установява негово свойство и присъствието му сред показателите утежнява оценяването, без да различава материалите помежду им. Прозрачността на произхода е задължение на лицето, което пуска материала в употреба, а не характеристика на генерирания текст, и затова е предписана като задължителна стъпка в процедурата по точка 3.6. Разграничението между свойство на материала и задължение на неговия ползвател е общо правило при построяването на модела: първото се измерва, второто се предписва.</w:t>
      </w:r>
    </w:p>
    <w:p>
      <w:pPr>
        <w:spacing w:after="120" w:line="360"/>
        <w:ind w:firstLine="1134"/>
        <w:jc w:val="both"/>
      </w:pPr>
      <w:r>
        <w:rPr>
          <w:rFonts w:ascii="Times New Roman" w:cs="Times New Roman" w:eastAsia="Times New Roman" w:hAnsi="Times New Roman"/>
          <w:sz w:val="28"/>
          <w:szCs w:val="28"/>
        </w:rPr>
        <w:t xml:space="preserve">Показателят П23 изисква отделно уточнение, произтичащо от езиковото положение на учебното съдържание изобщо. Проверката за близост до защитени източници обичайно се извършва чрез дословно търсене на характерни пасажи, но когато материалът е на език, различен от този, на който е достъпна основната литература по темата, този способ улавя само част от случаите. В много предметни области — и особено в технологичните — литературата е предимно на английски, поради което най-вероятната форма на заемане не е дословното възпроизвеждане, а преводът: изходният текст е предаден на езика на материала, при което дословното съвпадение изчезва, а зависимостта остава. Обстоятелството има и правна страна, тъй като преводът е производно произведение и лицензите, които го допускат, обичайно изискват посочване на източника и указване, че са направени изменения.</w:t>
      </w:r>
    </w:p>
    <w:p>
      <w:pPr>
        <w:spacing w:after="120" w:line="360"/>
        <w:ind w:firstLine="1134"/>
        <w:jc w:val="both"/>
      </w:pPr>
      <w:r>
        <w:rPr>
          <w:rFonts w:ascii="Times New Roman" w:cs="Times New Roman" w:eastAsia="Times New Roman" w:hAnsi="Times New Roman"/>
          <w:sz w:val="28"/>
          <w:szCs w:val="28"/>
        </w:rPr>
        <w:t xml:space="preserve">Проверката на преводното заемане стъпва на едно общо съображение: през превода оцелява онова, което авторът е избрал свободно и което предметната материя не му е наложила. Оттук произтичат и признаците, по които съпоставката се извършва — числените стойности в примерите, подборът на конкретния пример измежду възможните, редът на подтемите и особено пропуснатото от тях, съотношението на обема между частите, а при техническо съдържание и програмният код, който не подлежи на превод и запазва имената на идентификаторите и стойностите непроменени. Най-силният признак е повторената чужда грешка: съвпадение в неточност, която предметната материя не налага, трудно се обяснява с независимо съставяне. Правилото има и обратна половина, без която показателят би бил неприложим: принуденият избор не доказва нищо. Когато предметната материя налага определена форма — минимален пример за употреба на дадена конструкция, стандартна последователност на стъпките в утвърдена процедура, канонична формулировка на определение — авторът не разполага със свобода и всеки коректен текст неизбежно ще прилича на останалите. Затова съпоставката се извършва на два хода: първо се отделя кое в предполагаемото съвпадение е наложено и кое е избрано, и едва след това се сравняват избраните части. Сравнението се води и спрямо каноничния източник на областта, а не спрямо произволна намерена публикация: учебните материали в мрежата в голямата си част са производни на канона, поради което сходството между два такива материала се обяснява по-икономично с общия им произход, отколкото със заемане на единия от другия. Способът има и ясна граница — при съдържание без произволен избор, каквото е формалната дефиниция или нормативният текст, всяко коректно изложение неизбежно прилича на останалите и показателят губи различаваща сила. В такива случаи оценяващият вписва по-ниска увереност с изрично основание, вместо да формулира категорична преценка, която данните не поддържат.</w:t>
      </w:r>
    </w:p>
    <w:p>
      <w:pPr>
        <w:spacing w:after="120" w:line="360"/>
        <w:ind w:firstLine="1134"/>
        <w:jc w:val="both"/>
      </w:pPr>
      <w:r>
        <w:rPr>
          <w:rFonts w:ascii="Times New Roman" w:cs="Times New Roman" w:eastAsia="Times New Roman" w:hAnsi="Times New Roman"/>
          <w:sz w:val="28"/>
          <w:szCs w:val="28"/>
        </w:rPr>
        <w:t>Практическото следствие е съществено за приложимостта на модела. Наличните средства за проверка на оригиналността, използвани в апробирането, не извършват междуезикова съпоставка, а детекторите за генериран текст, чиято ненадеждност беше показана в точка 2.5, изобщо не адресират този въпрос. Преводното заемане е следователно случай, в който машинната проверка не предлага заместител на човешката, а познаването на каноничните източници на предметната област се превръща от удобство в условие за прилагането на показателя. Това е допълнителен довод в полза на приетия в настоящата работа подход, при който моделът е замислен като инструмент в ръцете на преподавател с предметна компетентност.</w:t>
      </w:r>
    </w:p>
    <w:p>
      <w:pPr>
        <w:spacing w:after="120" w:line="360"/>
        <w:ind w:firstLine="1134"/>
        <w:jc w:val="both"/>
      </w:pPr>
      <w:r>
        <w:rPr>
          <w:rFonts w:ascii="Times New Roman" w:cs="Times New Roman" w:eastAsia="Times New Roman" w:hAnsi="Times New Roman"/>
          <w:sz w:val="28"/>
          <w:szCs w:val="28"/>
        </w:rPr>
        <w:t xml:space="preserve">Така дефинираната система съдържа четиринадесет критерия и двадесет и седем проверими твърдения. Дванадесет от критериите имат по два показателя, а К9 и К12 — по един. Асиметрията е съзнателна: разделянето на един въпрос на два само за да излезе кръгло число би влошило инструмента. Терминологичната област поставя две естествено близки изисквания — понятието да бъде въведено и терминът да се употребява еднозначно — но първото е отнесено към П9, тъй като въвеждането на понятия е въпрос на педагогическа последователност, а не на езикова дисциплина. В К9 остава онова, което наистина е езиково: еднозначността на употребата. Така се избягва положение, при което едно и също нарушение попада под два показателя в две различни области и утежнява двойно съответните им нива — изкривяване, което при некомпенсаторно агрегиране се пренася върху крайната категория. Числото не е самоцелно: всеки показател отговаря на документиран в анализа риск, и обратно — всеки типичен дефицит от точка 2.6 се улавя от поне един показател, което изпълнява изискването за пълнота от точка 2.7. Моделът не е обвързан и с определен език. Нито един показател не съдържа изискване, специфично за конкретна езикова система: областта О3 борави с отношения — съответствие между изказа и аудиторията, еднозначност на употребата, естественост спрямо езика на материала — които се установяват в рамките на съответния език, какъвто и да е той. Апробирането в точка 3.7 прилага модела върху материали на български, но това е негова инстанция, а не негово ограничение; същите показатели се прилагат без изменение върху материал на който и да е език, като се променя единствено референтът — езикът на материала и достъпната по темата литература. Показателите са формулирани еднакво и за трите вида съдържание от обхвата на апробирането, като конкретното им тълкуване се съобразява с вида: при тестови въпроси например П12 се прилага върху обясненията към отговорите, а П2 — върху коректността на самите отговори. Остава да се определи как показателите се измерват — скалата, нивата и правилата за интерпретация са предмет на следващата точка.</w:t>
      </w:r>
    </w:p>
    <w:p>
      <w:pPr>
        <w:pStyle w:val="Heading2"/>
      </w:pPr>
      <w:r>
        <w:rPr>
          <w:rFonts w:ascii="Times New Roman" w:cs="Times New Roman" w:eastAsia="Times New Roman" w:hAnsi="Times New Roman"/>
          <w:b/>
          <w:bCs/>
          <w:sz w:val="28"/>
          <w:szCs w:val="28"/>
        </w:rPr>
        <w:t xml:space="preserve">3.4. Скала за оценка и нива на качество</w:t>
      </w:r>
    </w:p>
    <w:p>
      <w:pPr>
        <w:spacing w:after="120" w:line="360"/>
        <w:ind w:firstLine="1134"/>
        <w:jc w:val="both"/>
      </w:pPr>
      <w:r>
        <w:rPr>
          <w:rFonts w:ascii="Times New Roman" w:cs="Times New Roman" w:eastAsia="Times New Roman" w:hAnsi="Times New Roman"/>
          <w:sz w:val="28"/>
          <w:szCs w:val="28"/>
        </w:rPr>
        <w:t xml:space="preserve">Измерването в модела е двустепенно, съответно на йерархията от точка 3.2. На равнището на показателите оценката е качествена, с четири стойности: „да" — материалът съответства на показателя, без констатирани нарушения; „частично" — налице са отделни нарушения, отстраними с редакция, които не засягат годността на цялото; „не" — нарушенията са систематични или критични; „неприложимо" — показателят не се отнася за съответния вид материал, което се отбелязва с основание. Към двете основания за оценка „не" — систематичност и критичност — се добавя и трето, изведено от предназначението на показателите. Когато отделните некритични нарушения по един показател са толкова на брой, че обучаемият от целевата аудитория не може да прецени кои твърдения да приеме и кои да провери самостоятелно, показателят се оценява с „не", независимо че нито едно нарушение поотделно не е критично. Основанието е функционално: учебният материал служи като източник, на който обучаемият разчита, и загубата на тази надеждност е дефект на цялото, а не сбор от дребни дефекти на отделните му части. Правилото има значение именно при генерираното съдържание, чието типично разпределение на дефицитите не е едрата грешка, а множеството дребни неточности в иначе плавно и уверено изложение — разпределение, при което оценка, чувствителна само към единичната тежест, би пропуснала най-характерния риск. Умишлено е избегната фина числова скала на това равнище: разликата между „7" и „8" по десетобална система е въпрос на вкус, докато разликата между „да", „частично" и „не" е установима и защитима с доказателства — пряко изискване на принципа на прозрачността.</w:t>
      </w:r>
    </w:p>
    <w:p>
      <w:pPr>
        <w:spacing w:after="120" w:line="360"/>
        <w:ind w:firstLine="1134"/>
        <w:jc w:val="both"/>
      </w:pPr>
      <w:r>
        <w:rPr>
          <w:rFonts w:ascii="Times New Roman" w:cs="Times New Roman" w:eastAsia="Times New Roman" w:hAnsi="Times New Roman"/>
          <w:sz w:val="28"/>
          <w:szCs w:val="28"/>
        </w:rPr>
        <w:t xml:space="preserve">На равнището на областите оценките на показателите се обобщават в четири описателни нива. Ниво 3 „готово за използване": всички показатели в областта са „да", допустими са единични „частично" без критичен характер. Ниво 2 „използваемо след малки корекции": преобладават „да", наличните „частично" са ясно локализирани и отстраними, няма нито едно „не". Ниво 1 „изисква съществена преработка": поне едно „не" или такова натрупване на „частично", че редакцията се доближава по обем до ново създаване. Ниво 0 „негодно": констатиран е критичен дефект, компрометиращ материала като цяло. За критични се смятат дефектите, които увреждат обучаемия дори при еднократна поява: невярно твърдение по същината на изучаваното понятие, което обучаемият ще усвои и приложи; неработещ пример, представен като работещ; инструкция, водеща до грешка; неетичен или подвеждащ елемент; скрито заемане на защитен текст. Разграничението спрямо съществения, но некритичен дефект минава по последиците за обучаемия, а не по вида на нарушението. Неточна формулировка, непълно или неприцелно изброяване и неудачна аналогия, които не пораждат погрешно разбиране на понятието и се отстраняват с редакция на едно-две изречения, утежняват оценката по съответния показател, но не свеждат областта до нулево ниво. Без това разграничение всяка единична неточност би обявявала материала за негоден, скалата би престанала да различава материалите помежду им и би загубила диагностичното си предназначение — да сочи какво да се поправи, а не само да отсъжда.</w:t>
      </w:r>
    </w:p>
    <w:p>
      <w:pPr>
        <w:spacing w:after="120" w:line="360"/>
        <w:ind w:firstLine="1134"/>
        <w:jc w:val="both"/>
      </w:pPr>
      <w:r>
        <w:rPr>
          <w:rFonts w:ascii="Times New Roman" w:cs="Times New Roman" w:eastAsia="Times New Roman" w:hAnsi="Times New Roman"/>
          <w:sz w:val="28"/>
          <w:szCs w:val="28"/>
        </w:rPr>
        <w:t xml:space="preserve">Прагът на допустимост е ниво 2 във всяка от четирите области. Крайното равнище на материала се определя некомпенсаторно: то е най-ниското от четирите областни равнища и носи същото наименование. Материал, чиято най-слаба област е на ниво 1, е „изисква съществена преработка", независимо че останалите три може да са на ниво 3. Отделна обобщителна скала — азбучна или числова — не се въвежда съзнателно: тя би преименувала вече налична стойност, би удвоила една и съща информация под друго име и би отдалечила крайния резултат с още една стъпка от доказателствата, върху които почива. Правилото прави невъзможно точно това, което средното аритметично би позволило — материал с отличен език и невярна фактология да мине за приемлив. В такъв случай крайното равнище е равнището на съдържателната област, а профилът по области показва еднозначно защо.</w:t>
      </w:r>
    </w:p>
    <w:p>
      <w:pPr>
        <w:spacing w:after="120" w:line="360"/>
        <w:ind w:firstLine="1134"/>
        <w:jc w:val="both"/>
      </w:pPr>
      <w:r>
        <w:rPr>
          <w:rFonts w:ascii="Times New Roman" w:cs="Times New Roman" w:eastAsia="Times New Roman" w:hAnsi="Times New Roman"/>
          <w:sz w:val="28"/>
          <w:szCs w:val="28"/>
        </w:rPr>
        <w:t>За еднозначност двете правила се формулират и формално, като изрично се разграничават по смисъл. Нека О1, О2, О3 и О4 са областните оценки на материала по скалата от 0 до 3. Правило 1 (допустимост): материалът е допустим за използване тогава и само тогава, когато Оi ≥ 2 за всяка от четирите области. Правило 2 (крайно равнище): Р = min(О1, О2, О3, О4). Първото правило отговаря на въпроса дали материалът може да се използва; второто — колко добър е; при така избраната скала двете са съгласувани, тъй като допустими са точно материалите с Р, по-голямо или равно на две. Критериите, скалата и праговете са окончателно фиксирани преди началото на оценяването в точка 3.7 и не са променяни според получените резултати — условие за честността на апробирането.</w:t>
      </w:r>
    </w:p>
    <w:p>
      <w:pPr>
        <w:spacing w:after="120" w:line="360"/>
        <w:ind w:firstLine="1134"/>
        <w:jc w:val="both"/>
      </w:pPr>
      <w:r>
        <w:rPr>
          <w:rFonts w:ascii="Times New Roman" w:cs="Times New Roman" w:eastAsia="Times New Roman" w:hAnsi="Times New Roman"/>
          <w:sz w:val="28"/>
          <w:szCs w:val="28"/>
        </w:rPr>
        <w:t xml:space="preserve">Правилата за интерпретация затварят скалата. Резултатът се чете диагностично, а не само класификационно: при крайни равнища 2 и 1 попълнената карта посочва кои показатели са „частично" или „не" и с какви доказателства, което превръща оценката в конкретно техническо задание за преработка. Преработеният материал се оценява наново с нова карта — оценките не се „наследяват", защото редакцията може да внесе нови дефекти. Накрая, при съмнение между две съседни нива се присъжда по-ниското: цената на пропуснат дефект в учебен материал е по-висока от цената на една допълнителна редакция. Как скалата и показателите се събират в работен инструмент — оценъчната карта — е предмет на следващата точка.</w:t>
      </w:r>
    </w:p>
    <w:p>
      <w:pPr>
        <w:pStyle w:val="Heading2"/>
      </w:pPr>
      <w:r>
        <w:rPr>
          <w:rFonts w:ascii="Times New Roman" w:cs="Times New Roman" w:eastAsia="Times New Roman" w:hAnsi="Times New Roman"/>
          <w:b/>
          <w:bCs/>
          <w:sz w:val="28"/>
          <w:szCs w:val="28"/>
        </w:rPr>
        <w:t xml:space="preserve">3.5. Оценъчна матрица/карта за приложение на модела</w:t>
      </w:r>
    </w:p>
    <w:p>
      <w:pPr>
        <w:spacing w:after="120" w:line="360"/>
        <w:ind w:firstLine="1134"/>
        <w:jc w:val="both"/>
      </w:pPr>
      <w:r>
        <w:rPr>
          <w:rFonts w:ascii="Times New Roman" w:cs="Times New Roman" w:eastAsia="Times New Roman" w:hAnsi="Times New Roman"/>
          <w:sz w:val="28"/>
          <w:szCs w:val="28"/>
        </w:rPr>
        <w:t xml:space="preserve">Оценъчната карта е работният инструмент, в който моделът съществува за своя потребител. Тя има три части. Заглавната част идентифицира оценявания материал и контекста: наименование и вид на материала, тема, инструмент и версия, с които е генериран, дата на генериране, декларирани учебни цели, аудитория и заявен обем, референтен източник и дата на справката с него, среда за изпълнение на примерите, дата на оценяването и оценител. Тази част операционализира нулевата стъпка от точка 3.2 — без декларирани цели и аудитория дидактическите показатели не могат да бъдат приложени, затова празна заглавна част спира оценяването още преди началото му. Всяко от полетата обслужва конкретен показател: заявеният в заявката обем — заедно с правилото за броене и допуска по точка 3.3 — е референтът на П14, а референтният източник и датата на справката — на двата показателя за актуалност П3 и П4. Декларираната среда за изпълнение обслужва П2: без записана версия на средата твърдението, че даден пример работи или не работи, е непроверимо от втори оценител, а при бързо развиващи се технологии — и неповторимо след няколко месеца. Показател без деклариран референт не се оценява, а се отбелязва като неприложим с основание.</w:t>
      </w:r>
    </w:p>
    <w:p>
      <w:pPr>
        <w:spacing w:after="120" w:line="360"/>
        <w:ind w:firstLine="1134"/>
        <w:jc w:val="both"/>
      </w:pPr>
      <w:r>
        <w:rPr>
          <w:rFonts w:ascii="Times New Roman" w:cs="Times New Roman" w:eastAsia="Times New Roman" w:hAnsi="Times New Roman"/>
          <w:sz w:val="28"/>
          <w:szCs w:val="28"/>
        </w:rPr>
        <w:t>Тялото на картата съдържа двадесет и седемте показателя с кодовете им, групирани по области в реда на прилагане. Срещу всеки показател оценяващият отбелязва стойността („да", „частично", „не", „неприложимо") и — задължително при „частично" и „не" — доказателството: конкретното място в материала, което обосновава оценката. Правилото е строго: оценка без посочено доказателство не се приема, защото точно доказателствата правят картата проверима от втори оценител и превръщат резултата в указание за преработка. Обобщителната част извежда четирите областни нива, крайното равнище по правилата от точка 3.4 и списък на препоръчаните корекции, подреден по тежест.</w:t>
      </w:r>
    </w:p>
    <w:p>
      <w:pPr>
        <w:spacing w:after="120" w:line="360"/>
        <w:ind w:firstLine="1134"/>
        <w:jc w:val="both"/>
      </w:pPr>
      <w:r>
        <w:rPr>
          <w:rFonts w:ascii="Times New Roman" w:cs="Times New Roman" w:eastAsia="Times New Roman" w:hAnsi="Times New Roman"/>
          <w:sz w:val="28"/>
          <w:szCs w:val="28"/>
        </w:rPr>
        <w:t xml:space="preserve">Таблица 4 представя тялото на картата в пълния му вид. Същата таблица, допълнена със заглавната и обобщителната част, образува оценъчната карта-образец, приложена към работата и използвана без изменения при апробирането в точка 3.7.</w:t>
      </w:r>
    </w:p>
    <w:p>
      <w:pPr>
        <w:spacing w:after="120" w:before="200"/>
        <w:jc w:val="center"/>
      </w:pPr>
      <w:r>
        <w:rPr>
          <w:rFonts w:ascii="Times New Roman" w:cs="Times New Roman" w:eastAsia="Times New Roman" w:hAnsi="Times New Roman"/>
          <w:i/>
          <w:iCs/>
          <w:sz w:val="20"/>
          <w:szCs w:val="20"/>
        </w:rPr>
        <w:t xml:space="preserve">Таблица 4. Тяло на оценъчната карта: области, кодове и показатели</w:t>
      </w:r>
    </w:p>
    <w:tbl>
      <w:tblPr>
        <w:tblW w:type="dxa" w:w="8765"/>
        <w:tblBorders>
          <w:top w:val="single" w:color="auto" w:sz="4"/>
          <w:left w:val="single" w:color="auto" w:sz="4"/>
          <w:bottom w:val="single" w:color="auto" w:sz="4"/>
          <w:right w:val="single" w:color="auto" w:sz="4"/>
          <w:insideH w:val="single" w:color="auto" w:sz="4"/>
          <w:insideV w:val="single" w:color="auto" w:sz="4"/>
        </w:tblBorders>
      </w:tblPr>
      <w:tblGrid>
        <w:gridCol w:w="1150"/>
        <w:gridCol w:w="4415"/>
        <w:gridCol w:w="1200"/>
        <w:gridCol w:w="2000"/>
      </w:tblGrid>
      <w:tr>
        <w:tc>
          <w:tcPr>
            <w:tcW w:type="dxa" w:w="115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Код</w:t>
            </w:r>
          </w:p>
        </w:tc>
        <w:tc>
          <w:tcPr>
            <w:tcW w:type="dxa" w:w="4415"/>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Показател</w:t>
            </w:r>
          </w:p>
        </w:tc>
        <w:tc>
          <w:tcPr>
            <w:tcW w:type="dxa" w:w="12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Оценка</w:t>
            </w:r>
          </w:p>
        </w:tc>
        <w:tc>
          <w:tcPr>
            <w:tcW w:type="dxa" w:w="20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Доказателство</w:t>
            </w:r>
          </w:p>
        </w:tc>
      </w:tr>
      <w:tr>
        <w:tc>
          <w:tcPr>
            <w:tcW w:type="dxa" w:w="115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О1</w:t>
            </w:r>
          </w:p>
        </w:tc>
        <w:tc>
          <w:tcPr>
            <w:tcW w:type="dxa" w:w="4415"/>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Съдържателно качество</w:t>
            </w:r>
          </w:p>
        </w:tc>
        <w:tc>
          <w:tcPr>
            <w:tcW w:type="dxa" w:w="12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
            </w:r>
          </w:p>
        </w:tc>
        <w:tc>
          <w:tcPr>
            <w:tcW w:type="dxa" w:w="20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П1</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Съществените твърдения са верни при съпоставка с независим източник</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П2</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Примерите и решените задачи, включително програмният код, са коректни и възпроизводими</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П3</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Съдържанието съответства на актуалното състояние на областта</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П4</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Отпаднали или несъвместими решения не се представят като текущи</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П5</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Цитираните източници съществуват</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П6</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Източниците съдържат приписаните им твърдения</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О2</w:t>
            </w:r>
          </w:p>
        </w:tc>
        <w:tc>
          <w:tcPr>
            <w:tcW w:type="dxa" w:w="4415"/>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Дидактическо качество</w:t>
            </w:r>
          </w:p>
        </w:tc>
        <w:tc>
          <w:tcPr>
            <w:tcW w:type="dxa" w:w="12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
            </w:r>
          </w:p>
        </w:tc>
        <w:tc>
          <w:tcPr>
            <w:tcW w:type="dxa" w:w="20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П7</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Всяка декларирана цел е покрита от съдържанието</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П8</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Няма съществени части, необслужващи нито една цел</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П9</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Всяко ключово понятие е въведено преди първата си употреба</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П10</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Изложението е сегментирано на смислови единици в логичен ред</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П11</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Налични са примери и задачи за прилагане на всяка основна цел</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П12</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Обратната връзка към задачите обяснява, а не само констатира</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П13</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Предпоставеното знание не надхвърля декларираното за аудиторията</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П14</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Обемът на материала съответства на заявения в заявката</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О3</w:t>
            </w:r>
          </w:p>
        </w:tc>
        <w:tc>
          <w:tcPr>
            <w:tcW w:type="dxa" w:w="4415"/>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Езикова и структурна пригодност</w:t>
            </w:r>
          </w:p>
        </w:tc>
        <w:tc>
          <w:tcPr>
            <w:tcW w:type="dxa" w:w="12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
            </w:r>
          </w:p>
        </w:tc>
        <w:tc>
          <w:tcPr>
            <w:tcW w:type="dxa" w:w="20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П15</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Изказът е адаптиран към равнището на аудиторията</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П16</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Езикът е естествен, без буквално пренесени чуждоезични конструкции</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П17</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Избраните термини са смислово точни и разпознаваеми</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П18</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Терминологията е еднозначна в целия материал</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П19</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Заглавията и разделянето на части отразяват съдържанието</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П20</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Няма излишен текст без учебна стойност</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П21</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Нетекстовото съдържание има текстов еквивалент</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П22</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Структурата е изразена семантично и материалът е навигируем</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П23</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Материалът е използваем извън средата, в която е създаден</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О4</w:t>
            </w:r>
          </w:p>
        </w:tc>
        <w:tc>
          <w:tcPr>
            <w:tcW w:type="dxa" w:w="4415"/>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Етична и академична коректност</w:t>
            </w:r>
          </w:p>
        </w:tc>
        <w:tc>
          <w:tcPr>
            <w:tcW w:type="dxa" w:w="12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
            </w:r>
          </w:p>
        </w:tc>
        <w:tc>
          <w:tcPr>
            <w:tcW w:type="dxa" w:w="20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П24</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Характерни пасажи не показват близост до защитени източници</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П25</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Действително заетите елементи са обозначени</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П26</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Примерите не приписват роли, способности или поведение по пол, етнос, възраст или произход, когато предметната материя не го налага</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П27</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Съдържанието е уместно за възрастта и контекста на аудиторията</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bl>
    <w:p>
      <w:pPr>
        <w:spacing w:after="120" w:line="360"/>
        <w:ind w:firstLine="1134"/>
        <w:jc w:val="both"/>
      </w:pPr>
      <w:r>
        <w:rPr>
          <w:rFonts w:ascii="Times New Roman" w:cs="Times New Roman" w:eastAsia="Times New Roman" w:hAnsi="Times New Roman"/>
          <w:sz w:val="28"/>
          <w:szCs w:val="28"/>
        </w:rPr>
        <w:t xml:space="preserve">Попълнената карта изпълнява едновременно три функции: тя е оценка на конкретния материал, документиран протокол, който прави оценката проследима и съпоставима, и техническо задание за преработка, когато материалът не достига най-високото равнище. С това конструкцията на модела е завършена откъм съдържание и измерване; остава да се формализира процедурата — точната последователност от стъпки, по която карта и материал се срещат — предмет на следващата точка.</w:t>
      </w:r>
    </w:p>
    <w:p>
      <w:pPr>
        <w:pStyle w:val="Heading2"/>
      </w:pPr>
      <w:r>
        <w:rPr>
          <w:rFonts w:ascii="Times New Roman" w:cs="Times New Roman" w:eastAsia="Times New Roman" w:hAnsi="Times New Roman"/>
          <w:b/>
          <w:bCs/>
          <w:sz w:val="28"/>
          <w:szCs w:val="28"/>
        </w:rPr>
        <w:t xml:space="preserve">3.6. Процедура за верифициране на съдържание, разработено с генеративни AI инструменти</w:t>
      </w:r>
    </w:p>
    <w:p>
      <w:pPr>
        <w:spacing w:after="120" w:line="360"/>
        <w:ind w:firstLine="1134"/>
        <w:jc w:val="both"/>
      </w:pPr>
      <w:r>
        <w:rPr>
          <w:rFonts w:ascii="Times New Roman" w:cs="Times New Roman" w:eastAsia="Times New Roman" w:hAnsi="Times New Roman"/>
          <w:sz w:val="28"/>
          <w:szCs w:val="28"/>
        </w:rPr>
        <w:t xml:space="preserve">Процедурата за верифициране подрежда модела във времето: тя определя какво прави оценяващият, в какъв ред и с какъв резултат на всяка стъпка. Тестът за нейната готовност е формулиран още в плана на изследването: процедурата е достатъчно конкретна тогава, когато може да бъде приложена от друг преподавател без участието на автора. Стъпките са осем.</w:t>
      </w:r>
    </w:p>
    <w:p>
      <w:pPr>
        <w:spacing w:after="120" w:line="360"/>
        <w:ind w:firstLine="1134"/>
        <w:jc w:val="both"/>
      </w:pPr>
      <w:r>
        <w:rPr>
          <w:rFonts w:ascii="Times New Roman" w:cs="Times New Roman" w:eastAsia="Times New Roman" w:hAnsi="Times New Roman"/>
          <w:sz w:val="28"/>
          <w:szCs w:val="28"/>
        </w:rPr>
        <w:t>Стъпка 0 — подготовка. Попълва се заглавната част на оценъчната карта: идентификация на материала, инструмент и версия, дата на генериране, декларирани учебни цели, аудитория и заявен обем, както и референтният източник за актуалност с датата на справката с него и средата, в която ще бъдат изпълнени примерите, с точните ѝ версии. Ако целите и аудиторията не са документирани, те се възстановяват от заявката, с която материалът е генериран; ако и това е невъзможно, оценяването спира — материал без установим учебен контекст не подлежи на дидактическа оценка. Стъпка 1 — съдържателна проверка (област О1). Материалът се чете изцяло, като всяко съществено твърдение се съпоставя с независим източник — официална документация, учебна литература, стандарт; примерите с програмен код се изпълняват в декларираната среда. Констатациите се вписват в картата с точното място. Ако областта падне на ниво 0 или 1, оценяващият може да прекрати процедурата и да върне материала за преработка — по-нататъшната проверка на негодна фактология е загуба на труд.</w:t>
      </w:r>
    </w:p>
    <w:p>
      <w:pPr>
        <w:spacing w:after="120" w:line="360"/>
        <w:ind w:firstLine="1134"/>
        <w:jc w:val="both"/>
      </w:pPr>
      <w:r>
        <w:rPr>
          <w:rFonts w:ascii="Times New Roman" w:cs="Times New Roman" w:eastAsia="Times New Roman" w:hAnsi="Times New Roman"/>
          <w:sz w:val="28"/>
          <w:szCs w:val="28"/>
        </w:rPr>
        <w:t>Стъпка 2 — дидактическа проверка (област О2). Съдържанието се съпоставя с декларираните цели: покритие, последователност на въвеждане на понятията, наличие и качество на задачите и обратната връзка, съответствие с предварителните знания на аудиторията. Стъпка 3 — езикова и структурна проверка (област О3). Материалът се препрочита в цялост — не на откъси — с внимание към терминологичната последователност, естествеността на езика, организацията и излишното съдържание. Стъпка 4 — проверка за оригиналност и етична допустимост (област О4): съпоставка на характерни пасажи с достъпните източници по темата — включително проверка за преводно заемане по признаците от точка 3.3, когато вероятният изходник е на друг език, проверка дали действително заетите елементи са обозначени и преглед на примерите с лица за приписвания, които предметната материя не налага.</w:t>
      </w:r>
    </w:p>
    <w:p>
      <w:pPr>
        <w:spacing w:after="120" w:line="360"/>
        <w:ind w:firstLine="1134"/>
        <w:jc w:val="both"/>
      </w:pPr>
      <w:r>
        <w:rPr>
          <w:rFonts w:ascii="Times New Roman" w:cs="Times New Roman" w:eastAsia="Times New Roman" w:hAnsi="Times New Roman"/>
          <w:sz w:val="28"/>
          <w:szCs w:val="28"/>
        </w:rPr>
        <w:t xml:space="preserve">Стъпка 5 — обобщение. По правилата от точка 3.4 се извеждат четирите областни нива и крайното равнище, а всички констатации „частично" и „не" се събират в списък с препоръчани корекции, подреден по тежест: първо критичните дефекти, после съществените, накрая козметичните. Стъпка 6 — решение. Крайно равнище 3 означава използване без изменения. Равнище 2 — извършване на посочените корекции от преподавателя, след което материалът се използва; корекциите не изискват нова карта, ако не засягат съдържателната област. Равнища 1 и 0 означават връщане за преработка — с нова заявка или с ръчно пренаписване — и задължителна нова оценка на резултата, тъй като преработката може да внесе нови дефекти.</w:t>
      </w:r>
    </w:p>
    <w:p>
      <w:pPr>
        <w:spacing w:after="120" w:line="360"/>
        <w:ind w:firstLine="1134"/>
        <w:jc w:val="both"/>
      </w:pPr>
      <w:r>
        <w:rPr>
          <w:rFonts w:ascii="Times New Roman" w:cs="Times New Roman" w:eastAsia="Times New Roman" w:hAnsi="Times New Roman"/>
          <w:sz w:val="28"/>
          <w:szCs w:val="28"/>
        </w:rPr>
        <w:t xml:space="preserve">Стъпка 7 — деклариране на произхода. Материал, който се пуска в употреба, задължително се придружава от декларация за използвания генеративен инструмент и от запис на процеса на създаване: инструмент, версия, режим на работа, дата, използвана заявка и дали след генерирането е извършена редакция. Изискването е процедурно, а не оценъчно, и това разграничение е принципно. Точка 2.5 установява, че академичната почтеност при генерирано съдържание не може да бъде проверена в готовия текст, защото автоматичните детектори не са достатъчно надеждни, а при езиците с ограничено присъствие в обучителните им данни са и по-неточни. Проверимо остава едно — записът на процеса. Той обаче не е свойство на материала, а действие на лицето, което го предоставя на обучаемите, и затова се предписва като задължителна стъпка, а не като показател в оценъчната карта. Стъпката е и практическото основание на препоръката към заявката, формулирана в точка 3.9.</w:t>
      </w:r>
    </w:p>
    <w:p>
      <w:pPr>
        <w:spacing w:after="120" w:line="360"/>
        <w:ind w:firstLine="1134"/>
        <w:jc w:val="both"/>
      </w:pPr>
      <w:r>
        <w:rPr>
          <w:rFonts w:ascii="Times New Roman" w:cs="Times New Roman" w:eastAsia="Times New Roman" w:hAnsi="Times New Roman"/>
          <w:sz w:val="28"/>
          <w:szCs w:val="28"/>
        </w:rPr>
        <w:t xml:space="preserve">Процедурата е проектирана да остане икономична: стъпките следват реда на ранното спиране, а обемът на проверката е съизмерим с обема на материала — за кратките видове съдържание от обхвата на настоящата работа пълният цикъл е задача за части от час, не за дни. Доколко тази проектна оценка отговаря на действителността, е една от проверките на предстоящото апробиране: моделът и процедурата се прилагат върху шест реално генерирани материала — предмет на следващата точка.</w:t>
      </w:r>
    </w:p>
    <w:p>
      <w:pPr>
        <w:pStyle w:val="Heading2"/>
      </w:pPr>
      <w:r>
        <w:rPr>
          <w:rFonts w:ascii="Times New Roman" w:cs="Times New Roman" w:eastAsia="Times New Roman" w:hAnsi="Times New Roman"/>
          <w:b/>
          <w:bCs/>
          <w:sz w:val="28"/>
          <w:szCs w:val="28"/>
        </w:rPr>
        <w:t xml:space="preserve">3.7. Апробиране на модела върху избрани електронни учебни материали</w:t>
      </w:r>
    </w:p>
    <w:p>
      <w:pPr>
        <w:spacing w:after="120" w:line="360"/>
        <w:ind w:firstLine="1134"/>
        <w:jc w:val="both"/>
      </w:pPr>
      <w:r>
        <w:rPr>
          <w:rFonts w:ascii="Times New Roman" w:cs="Times New Roman" w:eastAsia="Times New Roman" w:hAnsi="Times New Roman"/>
          <w:sz w:val="28"/>
          <w:szCs w:val="28"/>
        </w:rPr>
        <w:t>Апробирането проверява дали конструираният модел изпълнява изискванията, срещу които беше проектиран: приложим ли е от отделен преподавател, улавя ли документираните класове дефекти, разграничава ли материали с различно качество и остава ли процедурата икономична. Дизайнът следва препоръчителното ограничение на обхвата: три вида електронно учебно съдържание — електронен урок, тестови въпроси и указания за самоподготовка — генерирани от два широкодостъпни диалогови инструмента, или общо шест материала. Темата е обща за всички материали — „Компоненти и обвързване на данни (data binding) в Angular" — от областта на уеб разработката, избрана така, че авторът да разполага с професионална предметна компетентност за фактологическата проверка; аудиторията е дефинирана предварително: студенти във втори курс на бакалавърска програма по информатика, след курс по JavaScript. Материалите са на български език, което едновременно съответства на контекста на работата и поставя инструментите пред по-взискателно езиково изпитание: документираните български данни показват двукратно до петкратно по-висок дял материали, изискващи езикова редакция, спрямо генерираните на английски [2].</w:t>
      </w:r>
    </w:p>
    <w:p>
      <w:pPr>
        <w:spacing w:after="120" w:line="360"/>
        <w:ind w:firstLine="1134"/>
        <w:jc w:val="both"/>
      </w:pPr>
      <w:r>
        <w:rPr>
          <w:rFonts w:ascii="Times New Roman" w:cs="Times New Roman" w:eastAsia="Times New Roman" w:hAnsi="Times New Roman"/>
          <w:sz w:val="28"/>
          <w:szCs w:val="28"/>
        </w:rPr>
        <w:t>Генерирането следва документиран протокол, приложен в цялост към работата. Всеки материал е създаден в чиста сесия, без предишна история и без персонализация; за всеки вид съдържание е използвана една и съща, умерено структурирана заявка с описание на аудиторията, целите и обема — такава, каквато реален преподавател би формулирал, без инженерна оптимизация; взет е първият отговор на инструмента, без редакция и без уточняващи реплики. За всяка сесия са документирани инструментът, версията на модела, режимът на работа, датата и пълната заявка; зададената аудитория, учебните цели и целевият обем се съдържат в самата заявка, а броят на последващите взаимодействия (нула за всички материали) и отсъствието на редакция са отразени в протокола. Оценяването се извършва върху оригинално генерирания материал, преди каквато и да е авторска редакция. Материалите са снети от уеб интерфейса на съответния инструмент и записани като текстови файлове — начинът, по който би постъпил и преподавател без специализирана подготовка. Този начин на снемане има документирано следствие, отчетено при оценяването: съдържание, което инструментът представя като интерактивен обект в собствения си интерфейс, не се пренася в текстовия запис и на негово място остава празно място. Обстоятелството не е недостатък на записа, а свойство на канала, и е точно това, което показателят П23 установява; при генериране през приложно-програмен интерфейс или команден ред изходът е самостоятелен документ и такава загуба не настъпва. Каналът на генериране е вписан в заглавната част на всяка оценъчна карта, за да може резултатът по П23 да бъде отнесен към условията, при които е получен. Протоколът обслужва две изисквания едновременно: методологическата чистота — оценява се генерираният материал, а не последващата му човешка редакция — и изискването за документиран процес на създаване, което самият модел поставя в област О4.</w:t>
      </w:r>
    </w:p>
    <w:p>
      <w:pPr>
        <w:spacing w:after="120" w:line="360"/>
        <w:ind w:firstLine="1134"/>
        <w:jc w:val="both"/>
      </w:pPr>
      <w:r>
        <w:rPr>
          <w:rFonts w:ascii="Times New Roman" w:cs="Times New Roman" w:eastAsia="Times New Roman" w:hAnsi="Times New Roman"/>
          <w:sz w:val="28"/>
          <w:szCs w:val="28"/>
        </w:rPr>
        <w:t>Изборът на бързо развиваща се предметна област налага изрично уреждане на въпроса за актуалността, тъй като без него показателите от област О1 остават неприложими. За еталон при проверката е приета официалната документация на рамката към датата на оценяването, а не към датата на генериране на материалите; референтната версия и датата на справката се вписват в заглавната част на всяка оценъчна карта. Обстоятелството е особено благоприятно за целите на апробирането: към момента на генериране на материалите основното издание Angular 22 е публикувано само няколко седмици по-рано [50], тоест почти сигурно е извън обучителните данни и на двата използвани инструмента. Апробирането следователно се провежда в условия, при които разминаването между знанията на моделите и актуалното състояние на областта е максимално вероятно — обстоятелство, което увеличава диагностичната стойност на проверката по показателите за актуалност, но същевременно ограничава пренасянето на резултатите върху по-стабилни предметни области.</w:t>
      </w:r>
    </w:p>
    <w:p>
      <w:pPr>
        <w:spacing w:after="120" w:line="360"/>
        <w:ind w:firstLine="1134"/>
        <w:jc w:val="both"/>
      </w:pPr>
      <w:r>
        <w:rPr>
          <w:rFonts w:ascii="Times New Roman" w:cs="Times New Roman" w:eastAsia="Times New Roman" w:hAnsi="Times New Roman"/>
          <w:sz w:val="28"/>
          <w:szCs w:val="28"/>
        </w:rPr>
        <w:t xml:space="preserve">Тъй като отпадналите програмни конструкции обикновено остават работоспособни през периода на отпадане, проверката по показателя за актуалност не се изчерпва с изпълнение на генерирания код. Приетата процедура включва две отделни действия: изпълнение на примерите в среда с референтната версия — което улавя нефункциониращ код — и съпоставка на използваните конструкции и препоръчани практики с актуалната документация, която улавя работещия, но остарял код. Разграничението е съществено, тъй като двата типа дефект се отнасят към различни показатели: първият към коректността на примерите, вторият към актуалността на съдържанието.</w:t>
      </w:r>
    </w:p>
    <w:p>
      <w:pPr>
        <w:spacing w:after="120" w:line="360"/>
        <w:ind w:firstLine="1134"/>
        <w:jc w:val="both"/>
      </w:pPr>
      <w:r>
        <w:rPr>
          <w:rFonts w:ascii="Times New Roman" w:cs="Times New Roman" w:eastAsia="Times New Roman" w:hAnsi="Times New Roman"/>
          <w:sz w:val="28"/>
          <w:szCs w:val="28"/>
        </w:rPr>
        <w:t xml:space="preserve">Оценяването се извършва по процедурата от точка 3.6: за всеки от шестте материала се попълва оценъчна карта по образеца от точка 3.5, с оценки по двадесет и седемте показателя, доказателства за всяка констатация, областни нива, крайно равнище и списък с препоръчани корекции; регистрира се и времето за оценяване на всеки материал като проверка на изискването за икономичност. Оценител е авторът на работата. Тъй като при избрания дизайн оценяването се извършва от един експерт, а моделът изисква предметна компетентност, основанията за нея се декларират изрично. Критериите, показателите, скалата и праговете, включително допускът по П14, са фиксирани преди началото на оценяването и не са променяни в хода му. Материалите са генерирани преди оценяването и не са редактирани след това.</w:t>
      </w:r>
    </w:p>
    <w:p>
      <w:pPr>
        <w:spacing w:after="120" w:line="360"/>
        <w:ind w:firstLine="1134"/>
        <w:jc w:val="both"/>
      </w:pPr>
      <w:r>
        <w:rPr>
          <w:rFonts w:ascii="Times New Roman" w:cs="Times New Roman" w:eastAsia="Times New Roman" w:hAnsi="Times New Roman"/>
          <w:sz w:val="28"/>
          <w:szCs w:val="28"/>
        </w:rPr>
        <w:t xml:space="preserve">Компетентността на оценителя се основава на четири обстоятелства. Първо, професионален опит в разработката на уеб приложения с продължителност над десет години, от които осем — непосредствена работа с рамката Angular. Този период обхваща множество основни издания на рамката, включително миграции между тях, което е пряко относимо към проверката по показателите за актуалност: тя изисква познаване не само на текущото състояние, но и на това кои конструкции са отпаднали и в кое издание. Второ, професионална практика в прегледа на програмен код — дейност, която по същността си представлява систематично оценяване на чужд текст срещу предварително приети критерии и която формира именно уменията, необходими при прилагането на оценъчна карта: разграничаване на съществено от несъществено, обосноваване на всяка констатация с конкретно място в текста и формулиране на препоръка за преработка. Трето, опит в обучението и наставничеството на по-млади специалисти, който осигурява необходимия за дидактическите показатели поглед върху типичните затруднения на начинаещите в тази предметна област. Четвърто, висше образование в професионално направление „Информатика и компютърни науки“ и активна професионална работа с генеративни инструменти, което позволява реалистична преценка на техните възможности и ограничения.</w:t>
      </w:r>
    </w:p>
    <w:p>
      <w:pPr>
        <w:spacing w:after="120" w:line="360"/>
        <w:ind w:firstLine="1134"/>
        <w:jc w:val="both"/>
      </w:pPr>
      <w:r>
        <w:rPr>
          <w:rFonts w:ascii="Times New Roman" w:cs="Times New Roman" w:eastAsia="Times New Roman" w:hAnsi="Times New Roman"/>
          <w:sz w:val="28"/>
          <w:szCs w:val="28"/>
        </w:rPr>
        <w:t xml:space="preserve">Декларирането на компетентността налага и уточняване на нейните граници. Предметната и технологичната експертиза на оценителя обхваща съдържателната и техническата проверка на материалите — верността на твърденията, работоспособността и актуалността на примерите, уместността на терминологията. Педагогическата преценка при показателите от област О2 се опира на подготовката в рамките на настоящата магистърска програма и на опита в обучение на специалисти, но не на професионална преподавателска квалификация. Това обстоятелство се отчита като ограничение на апробирането наред с останалите и е допълнителен довод в полза на бъдеща проверка на междуоценителската съгласуваност с участието на действащ преподавател. Ограниченията на този дизайн се декларират изрично: оценяването е извършено от един оценител, върху един тематичен домейн и върху по един материал от вид и инструмент, поради което резултатите характеризират приложимостта на модела, а не статистически представително качество на инструментите; проверката на междуоценителската съгласуваност остава за бъдещо развитие.</w:t>
      </w:r>
    </w:p>
    <w:p>
      <w:pPr>
        <w:spacing w:after="120" w:line="360"/>
        <w:ind w:firstLine="1134"/>
        <w:jc w:val="both"/>
      </w:pPr>
      <w:r>
        <w:rPr>
          <w:rFonts w:ascii="Times New Roman" w:cs="Times New Roman" w:eastAsia="Times New Roman" w:hAnsi="Times New Roman"/>
          <w:sz w:val="28"/>
          <w:szCs w:val="28"/>
        </w:rPr>
        <w:t>[Резултатите от оценяването на шестте материала — обобщена таблица на областните нива и крайните равнища по материали, следвана от разбор по материали — се добавят тук след приключване на оценяването по попълнените карти. Попълнените карти влизат в приложенията.]</w:t>
      </w:r>
    </w:p>
    <w:p>
      <w:r>
        <w:br w:type="page"/>
      </w:r>
    </w:p>
    <w:p>
      <w:pPr>
        <w:pStyle w:val="Heading1"/>
      </w:pPr>
      <w:r>
        <w:rPr>
          <w:rFonts w:ascii="Times New Roman" w:cs="Times New Roman" w:eastAsia="Times New Roman" w:hAnsi="Times New Roman"/>
          <w:b/>
          <w:bCs/>
          <w:sz w:val="28"/>
          <w:szCs w:val="28"/>
        </w:rPr>
        <w:t>ИЗПОЛЗВАНА ЛИТЕРАТУРА</w:t>
      </w:r>
    </w:p>
    <w:p>
      <w:pPr>
        <w:spacing w:after="120" w:line="300"/>
        <w:ind w:left="1134" w:hanging="1134"/>
        <w:jc w:val="left"/>
      </w:pPr>
      <w:r>
        <w:rPr>
          <w:rFonts w:ascii="Times New Roman" w:cs="Times New Roman" w:eastAsia="Times New Roman" w:hAnsi="Times New Roman"/>
          <w:sz w:val="28"/>
          <w:szCs w:val="28"/>
        </w:rPr>
        <w:t>[1] А. Захариев, „Изкуственият интелект в образователната и научна степен „доктор“: дигитализация, регулация и кредитна акселерация“, в Сб. докл. Четвърта научно-практическа конференция с международно участие „Дигитална трансформация на образованието – проблеми и решения“, Русе, България, 2026, с. 15–23.</w:t>
      </w:r>
    </w:p>
    <w:p>
      <w:pPr>
        <w:spacing w:after="120" w:line="300"/>
        <w:ind w:left="1134" w:hanging="1134"/>
        <w:jc w:val="left"/>
      </w:pPr>
      <w:r>
        <w:rPr>
          <w:rFonts w:ascii="Times New Roman" w:cs="Times New Roman" w:eastAsia="Times New Roman" w:hAnsi="Times New Roman"/>
          <w:sz w:val="28"/>
          <w:szCs w:val="28"/>
        </w:rPr>
        <w:t>[2] Д. Димитранов и Г. Димитров, „Изкуственият интелект като инструмент за автоматизирано създаване на бази данни от тестови въпроси“, в Сб. докл. Четвърта научно-практическа конференция с международно участие „Дигитална трансформация на образованието – проблеми и решения“, Русе, България, 2026, с. 576–580.</w:t>
      </w:r>
    </w:p>
    <w:p>
      <w:pPr>
        <w:spacing w:after="120" w:line="300"/>
        <w:ind w:left="1134" w:hanging="1134"/>
        <w:jc w:val="left"/>
      </w:pPr>
      <w:r>
        <w:rPr>
          <w:rFonts w:ascii="Times New Roman" w:cs="Times New Roman" w:eastAsia="Times New Roman" w:hAnsi="Times New Roman"/>
          <w:sz w:val="28"/>
          <w:szCs w:val="28"/>
        </w:rPr>
        <w:t>[3] Е. Даскалова, О. Попова, С. Стефанов, М. Пенчева и В. Стефанова, „Концептуален дизайн за базирана на изкуствен интелект платформа за обучение на студенти по дентална анатомия“, в Сб. докл. Четвърта научно-практическа конференция с международно участие „Дигитална трансформация на образованието – проблеми и решения“, Русе, България, 2026, с. 554–558.</w:t>
      </w:r>
    </w:p>
    <w:p>
      <w:pPr>
        <w:spacing w:after="120" w:line="300"/>
        <w:ind w:left="1134" w:hanging="1134"/>
        <w:jc w:val="left"/>
      </w:pPr>
      <w:r>
        <w:rPr>
          <w:rFonts w:ascii="Times New Roman" w:cs="Times New Roman" w:eastAsia="Times New Roman" w:hAnsi="Times New Roman"/>
          <w:sz w:val="28"/>
          <w:szCs w:val="28"/>
        </w:rPr>
        <w:t>[4] М. Дамесова, „Овладяване на сложни концепции чрез генеративен изкуствен интелект и дигитален storytelling“, в Сб. докл. Четвърта научно-практическа конференция с международно участие „Дигитална трансформация на образованието – проблеми и решения“, Русе, България, 2026, с. 717–721.</w:t>
      </w:r>
    </w:p>
    <w:p>
      <w:pPr>
        <w:spacing w:after="120" w:line="300"/>
        <w:ind w:left="1134" w:hanging="1134"/>
        <w:jc w:val="left"/>
      </w:pPr>
      <w:r>
        <w:rPr>
          <w:rFonts w:ascii="Times New Roman" w:cs="Times New Roman" w:eastAsia="Times New Roman" w:hAnsi="Times New Roman"/>
          <w:sz w:val="28"/>
          <w:szCs w:val="28"/>
        </w:rPr>
        <w:t>[5] М. Левунлиева, „ИИ в образованието – перспективата на педагога“, в Сб. докл. Четвърта научно-практическа конференция с международно участие „Дигитална трансформация на образованието – проблеми и решения“, Русе, България, 2026, с. 605–610.</w:t>
      </w:r>
    </w:p>
    <w:p>
      <w:pPr>
        <w:spacing w:after="120" w:line="300"/>
        <w:ind w:left="1134" w:hanging="1134"/>
        <w:jc w:val="left"/>
      </w:pPr>
      <w:r>
        <w:rPr>
          <w:rFonts w:ascii="Times New Roman" w:cs="Times New Roman" w:eastAsia="Times New Roman" w:hAnsi="Times New Roman"/>
          <w:sz w:val="28"/>
          <w:szCs w:val="28"/>
        </w:rPr>
        <w:t>[6] М. Маркова, „Изкуственият интелект в помощ на ускореното учене: практически инструменти за преподаватели“, в Сб. докл. Четвърта научно-практическа конференция с международно участие „Дигитална трансформация на образованието – проблеми и решения“, Русе, България, 2026, с. 541–546.</w:t>
      </w:r>
    </w:p>
    <w:p>
      <w:pPr>
        <w:spacing w:after="120" w:line="300"/>
        <w:ind w:left="1134" w:hanging="1134"/>
        <w:jc w:val="left"/>
      </w:pPr>
      <w:r>
        <w:rPr>
          <w:rFonts w:ascii="Times New Roman" w:cs="Times New Roman" w:eastAsia="Times New Roman" w:hAnsi="Times New Roman"/>
          <w:sz w:val="28"/>
          <w:szCs w:val="28"/>
        </w:rPr>
        <w:t>[7] С. Гафтанджиева и Р. Донева, „Генеративен изкуствен интелект в образованието: проблеми и решения“, Педагогика, т. 97, кн. 9, с. 1284–1297, 2025, doi: 10.53656/ped2025-9.04.</w:t>
      </w:r>
    </w:p>
    <w:p>
      <w:pPr>
        <w:spacing w:after="120" w:line="300"/>
        <w:ind w:left="1134" w:hanging="1134"/>
        <w:jc w:val="left"/>
      </w:pPr>
      <w:r>
        <w:rPr>
          <w:rFonts w:ascii="Times New Roman" w:cs="Times New Roman" w:eastAsia="Times New Roman" w:hAnsi="Times New Roman"/>
          <w:sz w:val="28"/>
          <w:szCs w:val="28"/>
        </w:rPr>
        <w:t>[8] Ц. Василев, „Използване на изкуствен интелект в обучението – гледна точка на студент и преподавател“, в Сб. докл. Четвърта научно-практическа конференция с международно участие „Дигитална трансформация на образованието – проблеми и решения“, Русе, България, 2026, с. 24–32.</w:t>
      </w:r>
    </w:p>
    <w:p>
      <w:pPr>
        <w:spacing w:after="120" w:line="300"/>
        <w:ind w:left="1134" w:hanging="1134"/>
        <w:jc w:val="left"/>
      </w:pPr>
      <w:r>
        <w:rPr>
          <w:rFonts w:ascii="Times New Roman" w:cs="Times New Roman" w:eastAsia="Times New Roman" w:hAnsi="Times New Roman"/>
          <w:sz w:val="28"/>
          <w:szCs w:val="28"/>
        </w:rPr>
        <w:t>[9] Ц. Дуцова, „Някои аспекти на приложение на изкуствения интелект в образованието“, в Сб. докл. Трета национална научно-практическа конференция „Дигитална трансформация на образованието – проблеми и решения“, Русе, България, 2025, с. 472–478.</w:t>
      </w:r>
    </w:p>
    <w:p>
      <w:pPr>
        <w:spacing w:after="120" w:line="300"/>
        <w:ind w:left="1134" w:hanging="1134"/>
        <w:jc w:val="left"/>
      </w:pPr>
      <w:r>
        <w:rPr>
          <w:rFonts w:ascii="Times New Roman" w:cs="Times New Roman" w:eastAsia="Times New Roman" w:hAnsi="Times New Roman"/>
          <w:sz w:val="28"/>
          <w:szCs w:val="28"/>
        </w:rPr>
        <w:t>[10] A. S. Doğruöz et al., "Challenges and recommendations for LLMs-as-a-judge in multilingual settings and low-resource languages," 2026, arXiv:2607.02235.</w:t>
      </w:r>
    </w:p>
    <w:p>
      <w:pPr>
        <w:spacing w:after="120" w:line="300"/>
        <w:ind w:left="1134" w:hanging="1134"/>
        <w:jc w:val="left"/>
      </w:pPr>
      <w:r>
        <w:rPr>
          <w:rFonts w:ascii="Times New Roman" w:cs="Times New Roman" w:eastAsia="Times New Roman" w:hAnsi="Times New Roman"/>
          <w:sz w:val="28"/>
          <w:szCs w:val="28"/>
        </w:rPr>
        <w:t>[11] A. Sangrà, D. Vlachopoulos, and N. Cabrera, "Building an inclusive definition of e-learning: An approach to the conceptual framework," The International Review of Research in Open and Distributed Learning, vol. 13, no. 2, pp. 145–159, 2012, doi: 10.19173/irrodl.v13i2.1161.</w:t>
      </w:r>
    </w:p>
    <w:p>
      <w:pPr>
        <w:spacing w:after="120" w:line="300"/>
        <w:ind w:left="1134" w:hanging="1134"/>
        <w:jc w:val="left"/>
      </w:pPr>
      <w:r>
        <w:rPr>
          <w:rFonts w:ascii="Times New Roman" w:cs="Times New Roman" w:eastAsia="Times New Roman" w:hAnsi="Times New Roman"/>
          <w:sz w:val="28"/>
          <w:szCs w:val="28"/>
        </w:rPr>
        <w:t>[12] C. Redecker, European Framework for the Digital Competence of Educators: DigCompEdu, Y. Punie, Ed. Luxembourg: Publications Office of the European Union, 2017, JRC107466.</w:t>
      </w:r>
    </w:p>
    <w:p>
      <w:pPr>
        <w:spacing w:after="120" w:line="300"/>
        <w:ind w:left="1134" w:hanging="1134"/>
        <w:jc w:val="left"/>
      </w:pPr>
      <w:r>
        <w:rPr>
          <w:rFonts w:ascii="Times New Roman" w:cs="Times New Roman" w:eastAsia="Times New Roman" w:hAnsi="Times New Roman"/>
          <w:sz w:val="28"/>
          <w:szCs w:val="28"/>
        </w:rPr>
        <w:t>[13] D. Li et al., "From generation to judgment: Opportunities and challenges of LLM-as-a-judge," in Proc. 2025 Conference on Empirical Methods in Natural Language Processing (EMNLP), 2025, pp. 2757–2791, doi: 10.18653/v1/2025.emnlp-main.138.</w:t>
      </w:r>
    </w:p>
    <w:p>
      <w:pPr>
        <w:spacing w:after="120" w:line="300"/>
        <w:ind w:left="1134" w:hanging="1134"/>
        <w:jc w:val="left"/>
      </w:pPr>
      <w:r>
        <w:rPr>
          <w:rFonts w:ascii="Times New Roman" w:cs="Times New Roman" w:eastAsia="Times New Roman" w:hAnsi="Times New Roman"/>
          <w:sz w:val="28"/>
          <w:szCs w:val="28"/>
        </w:rPr>
        <w:t>[14] D. S. Chai, H. S. Kim, K. N. Kim, Y. Ha, S. S. H. Shin, and S. W. Yoon, "Generative artificial intelligence in instructional system design," Human Resource Development Review, vol. 24, no. 4, pp. 388–417, 2025, doi: 10.1177/15344843251320256.</w:t>
      </w:r>
    </w:p>
    <w:p>
      <w:pPr>
        <w:spacing w:after="120" w:line="300"/>
        <w:ind w:left="1134" w:hanging="1134"/>
        <w:jc w:val="left"/>
      </w:pPr>
      <w:r>
        <w:rPr>
          <w:rFonts w:ascii="Times New Roman" w:cs="Times New Roman" w:eastAsia="Times New Roman" w:hAnsi="Times New Roman"/>
          <w:sz w:val="28"/>
          <w:szCs w:val="28"/>
        </w:rPr>
        <w:t>[15] E. Dickey and A. Bejarano, "GAIDE: A framework for using generative AI to assist in course content development," in Proc. 2024 IEEE Frontiers in Education Conference (FIE), 2024, pp. 1–9, doi: 10.1109/FIE61694.2024.10893132.</w:t>
      </w:r>
    </w:p>
    <w:p>
      <w:pPr>
        <w:spacing w:after="120" w:line="300"/>
        <w:ind w:left="1134" w:hanging="1134"/>
        <w:jc w:val="left"/>
      </w:pPr>
      <w:r>
        <w:rPr>
          <w:rFonts w:ascii="Times New Roman" w:cs="Times New Roman" w:eastAsia="Times New Roman" w:hAnsi="Times New Roman"/>
          <w:sz w:val="28"/>
          <w:szCs w:val="28"/>
        </w:rPr>
        <w:t>[16] E. Kasneci et al., "ChatGPT for good? On opportunities and challenges of large language models for education," Learning and Individual Differences, vol. 103, Art. no. 102274, 2023, doi: 10.1016/j.lindif.2023.102274.</w:t>
      </w:r>
    </w:p>
    <w:p>
      <w:pPr>
        <w:spacing w:after="120" w:line="300"/>
        <w:ind w:left="1134" w:hanging="1134"/>
        <w:jc w:val="left"/>
      </w:pPr>
      <w:r>
        <w:rPr>
          <w:rFonts w:ascii="Times New Roman" w:cs="Times New Roman" w:eastAsia="Times New Roman" w:hAnsi="Times New Roman"/>
          <w:sz w:val="28"/>
          <w:szCs w:val="28"/>
        </w:rPr>
        <w:t>[17] E. Staneviciene and G. Žekienė, "The use of multimedia in the teaching and learning process of higher education: A systematic review," Sustainability, vol. 17, no. 19, Art. no. 8859, 2025, doi: 10.3390/su17198859.</w:t>
      </w:r>
    </w:p>
    <w:p>
      <w:pPr>
        <w:spacing w:after="120" w:line="300"/>
        <w:ind w:left="1134" w:hanging="1134"/>
        <w:jc w:val="left"/>
      </w:pPr>
      <w:r>
        <w:rPr>
          <w:rFonts w:ascii="Times New Roman" w:cs="Times New Roman" w:eastAsia="Times New Roman" w:hAnsi="Times New Roman"/>
          <w:sz w:val="28"/>
          <w:szCs w:val="28"/>
        </w:rPr>
        <w:t>[18] F. Miao and W. Holmes, Guidance for Generative AI in Education and Research. Paris, France: UNESCO, 2023. [Online]. Available: https://www.unesco.org/en/articles/guidance-generative-ai-education-and-research</w:t>
      </w:r>
    </w:p>
    <w:p>
      <w:pPr>
        <w:spacing w:after="120" w:line="300"/>
        <w:ind w:left="1134" w:hanging="1134"/>
        <w:jc w:val="left"/>
      </w:pPr>
      <w:r>
        <w:rPr>
          <w:rFonts w:ascii="Times New Roman" w:cs="Times New Roman" w:eastAsia="Times New Roman" w:hAnsi="Times New Roman"/>
          <w:sz w:val="28"/>
          <w:szCs w:val="28"/>
        </w:rPr>
        <w:t>[19] G. Kurdi, J. Leo, B. Parsia, U. Sattler, and S. Al-Emari, "A systematic review of automatic question generation for educational purposes," International Journal of Artificial Intelligence in Education, vol. 30, no. 1, pp. 121–204, 2020, doi: 10.1007/s40593-019-00186-y.</w:t>
      </w:r>
    </w:p>
    <w:p>
      <w:pPr>
        <w:spacing w:after="120" w:line="300"/>
        <w:ind w:left="1134" w:hanging="1134"/>
        <w:jc w:val="left"/>
      </w:pPr>
      <w:r>
        <w:rPr>
          <w:rFonts w:ascii="Times New Roman" w:cs="Times New Roman" w:eastAsia="Times New Roman" w:hAnsi="Times New Roman"/>
          <w:sz w:val="28"/>
          <w:szCs w:val="28"/>
        </w:rPr>
        <w:t>[20] G. W. Choi and J. Y. Seo, "Accessibility, usability, and universal design for learning: Discussion of three key LX/UX elements for inclusive learning design," TechTrends, vol. 68, no. 5, pp. 936–945, 2024, doi: 10.1007/s11528-024-00987-6.</w:t>
      </w:r>
    </w:p>
    <w:p>
      <w:pPr>
        <w:spacing w:after="120" w:line="300"/>
        <w:ind w:left="1134" w:hanging="1134"/>
        <w:jc w:val="left"/>
      </w:pPr>
      <w:r>
        <w:rPr>
          <w:rFonts w:ascii="Times New Roman" w:cs="Times New Roman" w:eastAsia="Times New Roman" w:hAnsi="Times New Roman"/>
          <w:sz w:val="28"/>
          <w:szCs w:val="28"/>
        </w:rPr>
        <w:t>[21] G. W. Choi, S. H. Kim, D. Lee, and J. Moon, "Utilizing generative AI for instructional design: Exploring strengths, weaknesses, opportunities, and threats," TechTrends, vol. 68, no. 4, pp. 832–844, 2024, doi: 10.1007/s11528-024-00967-w.</w:t>
      </w:r>
    </w:p>
    <w:p>
      <w:pPr>
        <w:spacing w:after="120" w:line="300"/>
        <w:ind w:left="1134" w:hanging="1134"/>
        <w:jc w:val="left"/>
      </w:pPr>
      <w:r>
        <w:rPr>
          <w:rFonts w:ascii="Times New Roman" w:cs="Times New Roman" w:eastAsia="Times New Roman" w:hAnsi="Times New Roman"/>
          <w:sz w:val="28"/>
          <w:szCs w:val="28"/>
        </w:rPr>
        <w:t>[22] H. Wu, Z. Wang, and X. Wen, "Examining interactive AI-supported learning environments: The mediating role of AI metacognition and the moderating role of cognitive flexibility," Acta Psychologica, vol. 266, Art. no. 106874, 2026.</w:t>
      </w:r>
    </w:p>
    <w:p>
      <w:pPr>
        <w:spacing w:after="120" w:line="300"/>
        <w:ind w:left="1134" w:hanging="1134"/>
        <w:jc w:val="left"/>
      </w:pPr>
      <w:r>
        <w:rPr>
          <w:rFonts w:ascii="Times New Roman" w:cs="Times New Roman" w:eastAsia="Times New Roman" w:hAnsi="Times New Roman"/>
          <w:sz w:val="28"/>
          <w:szCs w:val="28"/>
        </w:rPr>
        <w:t>[23] H. Yao, W. Xu, J. Turnau, N. Kellam, and H. Wei, "Instructional agents: Reducing teaching faculty workload through multi-agent instructional design," in Proc. EACL 2026, vol. 1, 2026, pp. 4087–4109, doi: 10.18653/v1/2026.eacl-long.191.</w:t>
      </w:r>
    </w:p>
    <w:p>
      <w:pPr>
        <w:spacing w:after="120" w:line="300"/>
        <w:ind w:left="1134" w:hanging="1134"/>
        <w:jc w:val="left"/>
      </w:pPr>
      <w:r>
        <w:rPr>
          <w:rFonts w:ascii="Times New Roman" w:cs="Times New Roman" w:eastAsia="Times New Roman" w:hAnsi="Times New Roman"/>
          <w:sz w:val="28"/>
          <w:szCs w:val="28"/>
        </w:rPr>
        <w:t>[24] H. Zhang, S. Wang, T.-H. Chen, Y. Zou, and A. E. Hassan, "An empirical study of obsolete answers on Stack Overflow," IEEE Transactions on Software Engineering, vol. 47, no. 4, pp. 850–862, 2021, doi: 10.1109/TSE.2019.2906315.</w:t>
      </w:r>
    </w:p>
    <w:p>
      <w:pPr>
        <w:spacing w:after="120" w:line="300"/>
        <w:ind w:left="1134" w:hanging="1134"/>
        <w:jc w:val="left"/>
      </w:pPr>
      <w:r>
        <w:rPr>
          <w:rFonts w:ascii="Times New Roman" w:cs="Times New Roman" w:eastAsia="Times New Roman" w:hAnsi="Times New Roman"/>
          <w:sz w:val="28"/>
          <w:szCs w:val="28"/>
        </w:rPr>
        <w:t>[25] IEEE Standard for Learning Object Metadata, IEEE Std 1484.12.1-2020, IEEE, New York, NY, USA, 2020.</w:t>
      </w:r>
    </w:p>
    <w:p>
      <w:pPr>
        <w:spacing w:after="120" w:line="300"/>
        <w:ind w:left="1134" w:hanging="1134"/>
        <w:jc w:val="left"/>
      </w:pPr>
      <w:r>
        <w:rPr>
          <w:rFonts w:ascii="Times New Roman" w:cs="Times New Roman" w:eastAsia="Times New Roman" w:hAnsi="Times New Roman"/>
          <w:sz w:val="28"/>
          <w:szCs w:val="28"/>
        </w:rPr>
        <w:t>[26] J. Biggs, "Enhancing teaching through constructive alignment," Higher Education, vol. 32, no. 3, pp. 347–364, 1996, doi: 10.1007/BF00138871.</w:t>
      </w:r>
    </w:p>
    <w:p>
      <w:pPr>
        <w:spacing w:after="120" w:line="300"/>
        <w:ind w:left="1134" w:hanging="1134"/>
        <w:jc w:val="left"/>
      </w:pPr>
      <w:r>
        <w:rPr>
          <w:rFonts w:ascii="Times New Roman" w:cs="Times New Roman" w:eastAsia="Times New Roman" w:hAnsi="Times New Roman"/>
          <w:sz w:val="28"/>
          <w:szCs w:val="28"/>
        </w:rPr>
        <w:t>[27] J. Sweller, J. J. G. van Merriënboer, and F. Paas, "Cognitive architecture and instructional design: 20 years later," Educational Psychology Review, vol. 31, no. 2, pp. 261–292, 2019, doi: 10.1007/s10648-019-09465-5.</w:t>
      </w:r>
    </w:p>
    <w:p>
      <w:pPr>
        <w:spacing w:after="120" w:line="300"/>
        <w:ind w:left="1134" w:hanging="1134"/>
        <w:jc w:val="left"/>
      </w:pPr>
      <w:r>
        <w:rPr>
          <w:rFonts w:ascii="Times New Roman" w:cs="Times New Roman" w:eastAsia="Times New Roman" w:hAnsi="Times New Roman"/>
          <w:sz w:val="28"/>
          <w:szCs w:val="28"/>
        </w:rPr>
        <w:t>[28] L. Huang et al., "A survey on hallucination in large language models: Principles, taxonomy, challenges, and open questions," ACM Transactions on Information Systems, vol. 43, no. 2, pp. 1–55, 2025, doi: 10.1145/3703155.</w:t>
      </w:r>
    </w:p>
    <w:p>
      <w:pPr>
        <w:spacing w:after="120" w:line="300"/>
        <w:ind w:left="1134" w:hanging="1134"/>
        <w:jc w:val="left"/>
      </w:pPr>
      <w:r>
        <w:rPr>
          <w:rFonts w:ascii="Times New Roman" w:cs="Times New Roman" w:eastAsia="Times New Roman" w:hAnsi="Times New Roman"/>
          <w:sz w:val="28"/>
          <w:szCs w:val="28"/>
        </w:rPr>
        <w:t>[29] L. Zheng et al., "Judging LLM-as-a-judge with MT-Bench and Chatbot Arena," in Advances in Neural Information Processing Systems 36 (NeurIPS 2023), Datasets and Benchmarks Track, 2023. [Online]. Available: https://arxiv.org/abs/2306.05685</w:t>
      </w:r>
    </w:p>
    <w:p>
      <w:pPr>
        <w:spacing w:after="120" w:line="300"/>
        <w:ind w:left="1134" w:hanging="1134"/>
        <w:jc w:val="left"/>
      </w:pPr>
      <w:r>
        <w:rPr>
          <w:rFonts w:ascii="Times New Roman" w:cs="Times New Roman" w:eastAsia="Times New Roman" w:hAnsi="Times New Roman"/>
          <w:sz w:val="28"/>
          <w:szCs w:val="28"/>
        </w:rPr>
        <w:t>[30] M. D. Merrill, "First principles of instruction," Educational Technology Research and Development, vol. 50, no. 3, pp. 43–59, 2002, doi: 10.1007/BF02505024.</w:t>
      </w:r>
    </w:p>
    <w:p>
      <w:pPr>
        <w:spacing w:after="120" w:line="300"/>
        <w:ind w:left="1134" w:hanging="1134"/>
        <w:jc w:val="left"/>
      </w:pPr>
      <w:r>
        <w:rPr>
          <w:rFonts w:ascii="Times New Roman" w:cs="Times New Roman" w:eastAsia="Times New Roman" w:hAnsi="Times New Roman"/>
          <w:sz w:val="28"/>
          <w:szCs w:val="28"/>
        </w:rPr>
        <w:t>[31] M. Hadra, K. Cambridge, and M. Mesbah, "Evaluating the accuracy and reliability of AI content detectors in academic contexts," International Journal for Educational Integrity, vol. 22, Art. no. 4, 2026, doi: 10.1007/s40979-026-00213-1.</w:t>
      </w:r>
    </w:p>
    <w:p>
      <w:pPr>
        <w:spacing w:after="120" w:line="300"/>
        <w:ind w:left="1134" w:hanging="1134"/>
        <w:jc w:val="left"/>
      </w:pPr>
      <w:r>
        <w:rPr>
          <w:rFonts w:ascii="Times New Roman" w:cs="Times New Roman" w:eastAsia="Times New Roman" w:hAnsi="Times New Roman"/>
          <w:sz w:val="28"/>
          <w:szCs w:val="28"/>
        </w:rPr>
        <w:t>[32] M. Perkins, "Academic integrity considerations of AI large language models in the post-pandemic era: ChatGPT and beyond," Journal of University Teaching &amp; Learning Practice, vol. 20, no. 2, Art. no. 7, 2023, doi: 10.53761/1.20.02.07.</w:t>
      </w:r>
    </w:p>
    <w:p>
      <w:pPr>
        <w:spacing w:after="120" w:line="300"/>
        <w:ind w:left="1134" w:hanging="1134"/>
        <w:jc w:val="left"/>
      </w:pPr>
      <w:r>
        <w:rPr>
          <w:rFonts w:ascii="Times New Roman" w:cs="Times New Roman" w:eastAsia="Times New Roman" w:hAnsi="Times New Roman"/>
          <w:sz w:val="28"/>
          <w:szCs w:val="28"/>
        </w:rPr>
        <w:t>[33] N. F. Liu et al., "Lost in the middle: How language models use long contexts," Transactions of the Association for Computational Linguistics, vol. 12, pp. 157–173, 2024, doi: 10.1162/tacl_a_00638.</w:t>
      </w:r>
    </w:p>
    <w:p>
      <w:pPr>
        <w:spacing w:after="120" w:line="300"/>
        <w:ind w:left="1134" w:hanging="1134"/>
        <w:jc w:val="left"/>
      </w:pPr>
      <w:r>
        <w:rPr>
          <w:rFonts w:ascii="Times New Roman" w:cs="Times New Roman" w:eastAsia="Times New Roman" w:hAnsi="Times New Roman"/>
          <w:sz w:val="28"/>
          <w:szCs w:val="28"/>
        </w:rPr>
        <w:t>[34] O. Zawacki-Richter, V. I. Marín, M. Bond, and F. Gouverneur, "Systematic review of research on artificial intelligence applications in higher education — where are the educators?," International Journal of Educational Technology in Higher Education, vol. 16, Art. no. 39, 2019, doi: 10.1186/s41239-019-0171-0.</w:t>
      </w:r>
    </w:p>
    <w:p>
      <w:pPr>
        <w:spacing w:after="120" w:line="300"/>
        <w:ind w:left="1134" w:hanging="1134"/>
        <w:jc w:val="left"/>
      </w:pPr>
      <w:r>
        <w:rPr>
          <w:rFonts w:ascii="Times New Roman" w:cs="Times New Roman" w:eastAsia="Times New Roman" w:hAnsi="Times New Roman"/>
          <w:sz w:val="28"/>
          <w:szCs w:val="28"/>
        </w:rPr>
        <w:t>[35] P. Denny, H. Khosravi, A. Hellas, J. Leinonen, and S. Sarsa, "Can we trust AI-generated educational content? Comparative analysis of human and AI-generated learning resources," 2023, arXiv:2306.10509.</w:t>
      </w:r>
    </w:p>
    <w:p>
      <w:pPr>
        <w:spacing w:after="120" w:line="300"/>
        <w:ind w:left="1134" w:hanging="1134"/>
        <w:jc w:val="left"/>
      </w:pPr>
      <w:r>
        <w:rPr>
          <w:rFonts w:ascii="Times New Roman" w:cs="Times New Roman" w:eastAsia="Times New Roman" w:hAnsi="Times New Roman"/>
          <w:sz w:val="28"/>
          <w:szCs w:val="28"/>
        </w:rPr>
        <w:t>[36] Plain Language — Part 1: Governing Principles and Guidelines, ISO 24495-1:2023, International Organization for Standardization, Geneva, Switzerland, 2023.</w:t>
      </w:r>
    </w:p>
    <w:p>
      <w:pPr>
        <w:spacing w:after="120" w:line="300"/>
        <w:ind w:left="1134" w:hanging="1134"/>
        <w:jc w:val="left"/>
      </w:pPr>
      <w:r>
        <w:rPr>
          <w:rFonts w:ascii="Times New Roman" w:cs="Times New Roman" w:eastAsia="Times New Roman" w:hAnsi="Times New Roman"/>
          <w:sz w:val="28"/>
          <w:szCs w:val="28"/>
        </w:rPr>
        <w:t>[37] Q. Huang, C. Lv, L. Lu, and S. Tu, "Evaluating the quality of AI-generated digital educational resources for university teaching and learning," Systems, vol. 13, no. 3, Art. no. 174, 2025, doi: 10.3390/systems13030174.</w:t>
      </w:r>
    </w:p>
    <w:p>
      <w:pPr>
        <w:spacing w:after="120" w:line="300"/>
        <w:ind w:left="1134" w:hanging="1134"/>
        <w:jc w:val="left"/>
      </w:pPr>
      <w:r>
        <w:rPr>
          <w:rFonts w:ascii="Times New Roman" w:cs="Times New Roman" w:eastAsia="Times New Roman" w:hAnsi="Times New Roman"/>
          <w:sz w:val="28"/>
          <w:szCs w:val="28"/>
        </w:rPr>
        <w:t>[38] R. E. Mayer, "Evidence-based principles for how to design effective instructional videos," Journal of Applied Research in Memory and Cognition, vol. 10, no. 2, pp. 229–240, 2021, doi: 10.1016/j.jarmac.2021.03.007.</w:t>
      </w:r>
    </w:p>
    <w:p>
      <w:pPr>
        <w:spacing w:after="120" w:line="300"/>
        <w:ind w:left="1134" w:hanging="1134"/>
        <w:jc w:val="left"/>
      </w:pPr>
      <w:r>
        <w:rPr>
          <w:rFonts w:ascii="Times New Roman" w:cs="Times New Roman" w:eastAsia="Times New Roman" w:hAnsi="Times New Roman"/>
          <w:sz w:val="28"/>
          <w:szCs w:val="28"/>
        </w:rPr>
        <w:t>[39] Regulation (EU) 2024/1689 of the European Parliament and of the Council of 13 June 2024 laying down harmonised rules on artificial intelligence (Artificial Intelligence Act), OJ L, 2024/1689, 12.7.2024. [Online]. Available: https://eur-lex.europa.eu/eli/reg/2024/1689/oj</w:t>
      </w:r>
    </w:p>
    <w:p>
      <w:pPr>
        <w:spacing w:after="120" w:line="300"/>
        <w:ind w:left="1134" w:hanging="1134"/>
        <w:jc w:val="left"/>
      </w:pPr>
      <w:r>
        <w:rPr>
          <w:rFonts w:ascii="Times New Roman" w:cs="Times New Roman" w:eastAsia="Times New Roman" w:hAnsi="Times New Roman"/>
          <w:sz w:val="28"/>
          <w:szCs w:val="28"/>
        </w:rPr>
        <w:t>[40] S. G. Ramezani and Z. S. Mostafavi, "Developing and validating a comprehensive scale for accreditation standards and quality assurance in e-learning institutions," Education and Information Technologies, vol. 30, no. 15, pp. 21139–21187, 2025, doi: 10.1007/s10639-025-13587-5.</w:t>
      </w:r>
    </w:p>
    <w:p>
      <w:pPr>
        <w:spacing w:after="120" w:line="300"/>
        <w:ind w:left="1134" w:hanging="1134"/>
        <w:jc w:val="left"/>
      </w:pPr>
      <w:r>
        <w:rPr>
          <w:rFonts w:ascii="Times New Roman" w:cs="Times New Roman" w:eastAsia="Times New Roman" w:hAnsi="Times New Roman"/>
          <w:sz w:val="28"/>
          <w:szCs w:val="28"/>
        </w:rPr>
        <w:t>[41] S. J. Warren, E. Boston Vogt, B. Tincher, and J. Yang, "Enhancing quality assurance through strategic artificial intelligence integration: A framework for higher education digital transformation," Quality Assurance in Education, vol. 34, no. 2, pp. 205–222, 2026, doi: 10.1108/QAE-09-2024-0183.</w:t>
      </w:r>
    </w:p>
    <w:p>
      <w:pPr>
        <w:spacing w:after="120" w:line="300"/>
        <w:ind w:left="1134" w:hanging="1134"/>
        <w:jc w:val="left"/>
      </w:pPr>
      <w:r>
        <w:rPr>
          <w:rFonts w:ascii="Times New Roman" w:cs="Times New Roman" w:eastAsia="Times New Roman" w:hAnsi="Times New Roman"/>
          <w:sz w:val="28"/>
          <w:szCs w:val="28"/>
        </w:rPr>
        <w:t>[42] UNESCO, Recommendation on Open Educational Resources (OER). Paris, France: UNESCO, 2019. [Online]. Available: https://unesdoc.unesco.org/ark:/48223/pf0000383205</w:t>
      </w:r>
    </w:p>
    <w:p>
      <w:pPr>
        <w:spacing w:after="120" w:line="300"/>
        <w:ind w:left="1134" w:hanging="1134"/>
        <w:jc w:val="left"/>
      </w:pPr>
      <w:r>
        <w:rPr>
          <w:rFonts w:ascii="Times New Roman" w:cs="Times New Roman" w:eastAsia="Times New Roman" w:hAnsi="Times New Roman"/>
          <w:sz w:val="28"/>
          <w:szCs w:val="28"/>
        </w:rPr>
        <w:t>[43] W. H. Walters and E. I. Wilder, "Fabrication and errors in the bibliographic citations generated by ChatGPT," Scientific Reports, vol. 13, 2023, doi: 10.1038/s41598-023-41032-5.</w:t>
      </w:r>
    </w:p>
    <w:p>
      <w:pPr>
        <w:spacing w:after="120" w:line="300"/>
        <w:ind w:left="1134" w:hanging="1134"/>
        <w:jc w:val="left"/>
      </w:pPr>
      <w:r>
        <w:rPr>
          <w:rFonts w:ascii="Times New Roman" w:cs="Times New Roman" w:eastAsia="Times New Roman" w:hAnsi="Times New Roman"/>
          <w:sz w:val="28"/>
          <w:szCs w:val="28"/>
        </w:rPr>
        <w:t>[44] W. X. Zhao et al., "A survey of large language models," 2023, arXiv:2303.18223.</w:t>
      </w:r>
    </w:p>
    <w:p>
      <w:pPr>
        <w:spacing w:after="120" w:line="300"/>
        <w:ind w:left="1134" w:hanging="1134"/>
        <w:jc w:val="left"/>
      </w:pPr>
      <w:r>
        <w:rPr>
          <w:rFonts w:ascii="Times New Roman" w:cs="Times New Roman" w:eastAsia="Times New Roman" w:hAnsi="Times New Roman"/>
          <w:sz w:val="28"/>
          <w:szCs w:val="28"/>
        </w:rPr>
        <w:t>[45] Y. Gao et al., "Retrieval-augmented generation for large language models: A survey," 2023, arXiv:2312.10997.</w:t>
      </w:r>
    </w:p>
    <w:p>
      <w:pPr>
        <w:spacing w:after="120" w:line="300"/>
        <w:ind w:left="1134" w:hanging="1134"/>
        <w:jc w:val="left"/>
      </w:pPr>
      <w:r>
        <w:rPr>
          <w:rFonts w:ascii="Times New Roman" w:cs="Times New Roman" w:eastAsia="Times New Roman" w:hAnsi="Times New Roman"/>
          <w:sz w:val="28"/>
          <w:szCs w:val="28"/>
        </w:rPr>
        <w:t>[46] Z. Bahroun, C. Anane, V. Ahmed, and A. Zacca, "Transforming education: A comprehensive review of generative artificial intelligence in educational settings through bibliometric and content analysis," Sustainability, vol. 15, no. 17, Art. no. 12983, 2023, doi: 10.3390/su151712983.</w:t>
      </w:r>
    </w:p>
    <w:p>
      <w:pPr>
        <w:spacing w:after="120" w:line="300"/>
        <w:ind w:left="1134" w:hanging="1134"/>
        <w:jc w:val="left"/>
      </w:pPr>
      <w:r>
        <w:rPr>
          <w:rFonts w:ascii="Times New Roman" w:cs="Times New Roman" w:eastAsia="Times New Roman" w:hAnsi="Times New Roman"/>
          <w:sz w:val="28"/>
          <w:szCs w:val="28"/>
        </w:rPr>
        <w:t>[47] Z. Liu, S. X. Yin, D. H.-L. Goh, and N. F. Chen, "COGENT: A curriculum-oriented framework for generating grade-appropriate educational content," in Proc. 20th Workshop on Innovative Use of NLP for Building Educational Applications (BEA 2025), 2025, pp. 129–143, doi: 10.18653/v1/2025.bea-1.10.</w:t>
      </w:r>
    </w:p>
    <w:p>
      <w:pPr>
        <w:spacing w:after="120" w:line="300"/>
        <w:ind w:left="1134" w:hanging="1134"/>
        <w:jc w:val="left"/>
      </w:pPr>
      <w:r>
        <w:rPr>
          <w:rFonts w:ascii="Times New Roman" w:cs="Times New Roman" w:eastAsia="Times New Roman" w:hAnsi="Times New Roman"/>
          <w:sz w:val="28"/>
          <w:szCs w:val="28"/>
        </w:rPr>
        <w:t>[48] Z. Wang, S.-Y. Gong, S. Xu, and X.-E. Hu, "Elaborated feedback and learning: Examining cognitive and motivational influences," Computers &amp; Education, vol. 136, pp. 130–140, 2019, doi: 10.1016/j.compedu.2019.04.003.</w:t>
      </w:r>
    </w:p>
    <w:p>
      <w:pPr>
        <w:spacing w:after="120" w:line="300"/>
        <w:ind w:left="1134" w:hanging="1134"/>
        <w:jc w:val="left"/>
      </w:pPr>
      <w:r>
        <w:rPr>
          <w:rFonts w:ascii="Times New Roman" w:cs="Times New Roman" w:eastAsia="Times New Roman" w:hAnsi="Times New Roman"/>
          <w:sz w:val="28"/>
          <w:szCs w:val="28"/>
        </w:rPr>
        <w:t>[49] AI-Generated Content Best Practices, v1.0, 1EdTech Consortium, Lake Mary, FL, USA, 2025. [Online]. Available: https://www.imsglobal.org/resource/AI-Generated_Content_Best_Practices/v1p0</w:t>
      </w:r>
    </w:p>
    <w:p>
      <w:pPr>
        <w:spacing w:after="120" w:line="300"/>
        <w:ind w:left="1134" w:hanging="1134"/>
        <w:jc w:val="left"/>
      </w:pPr>
      <w:r>
        <w:rPr>
          <w:rFonts w:ascii="Times New Roman" w:cs="Times New Roman" w:eastAsia="Times New Roman" w:hAnsi="Times New Roman"/>
          <w:sz w:val="28"/>
          <w:szCs w:val="28"/>
        </w:rPr>
        <w:t>[50] Angular Team, "Angular versioning and releases," Angular Documentation, 2026. [Online]. Available: https://angular.dev/reference/releases</w:t>
      </w:r>
    </w:p>
    <w:p>
      <w:pPr>
        <w:spacing w:after="120" w:line="300"/>
        <w:ind w:left="1134" w:hanging="1134"/>
        <w:jc w:val="left"/>
      </w:pPr>
      <w:r>
        <w:rPr>
          <w:rFonts w:ascii="Times New Roman" w:cs="Times New Roman" w:eastAsia="Times New Roman" w:hAnsi="Times New Roman"/>
          <w:sz w:val="28"/>
          <w:szCs w:val="28"/>
        </w:rPr>
        <w:t>[51] CAST, Universal Design for Learning Guidelines, version 3.0. Lynnfield, MA, USA: CAST, 2024. [Online]. Available: https://udlguidelines.cast.org</w:t>
      </w:r>
    </w:p>
    <w:p>
      <w:pPr>
        <w:spacing w:after="120" w:line="300"/>
        <w:ind w:left="1134" w:hanging="1134"/>
        <w:jc w:val="left"/>
      </w:pPr>
      <w:r>
        <w:rPr>
          <w:rFonts w:ascii="Times New Roman" w:cs="Times New Roman" w:eastAsia="Times New Roman" w:hAnsi="Times New Roman"/>
          <w:sz w:val="28"/>
          <w:szCs w:val="28"/>
        </w:rPr>
        <w:t>[52] Quality Matters, QM Higher Education Rubric, 7th ed. Annapolis, MD, USA: Quality Matters, 2023. [Online]. Available: https://www.qualitymatters.org/qa-resources/rubric-standards/higher-ed-rubric</w:t>
      </w:r>
    </w:p>
    <w:sectPr>
      <w:footerReference w:type="default" r:id="rId7"/>
      <w:footerReference w:type="first" r:id="rId8"/>
      <w:pgSz w:w="11906" w:h="16838" w:orient="portrait"/>
      <w:pgMar w:top="850" w:right="567" w:bottom="850" w:left="1701"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360" w:before="240"/>
      <w:jc w:val="center"/>
    </w:pPr>
    <w:rPr>
      <w:rFonts w:ascii="Times New Roman" w:cs="Times New Roman" w:eastAsia="Times New Roman" w:hAnsi="Times New Roman"/>
      <w:b/>
      <w:bCs/>
      <w:sz w:val="32"/>
      <w:szCs w:val="32"/>
    </w:rPr>
  </w:style>
  <w:style w:type="paragraph" w:styleId="Heading1">
    <w:name w:val="Heading 1"/>
    <w:basedOn w:val="Normal"/>
    <w:next w:val="Normal"/>
    <w:qFormat/>
    <w:pPr>
      <w:spacing w:after="24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200" w:before="300"/>
      <w:outlineLvl w:val="1"/>
    </w:pPr>
    <w:rPr>
      <w:rFonts w:ascii="Times New Roman" w:cs="Times New Roman" w:eastAsia="Times New Roman" w:hAnsi="Times New Roman"/>
      <w:b/>
      <w:bCs/>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2026-08-27T10:12:31.740Z</dcterms:created>
  <dcterms:modified xsi:type="dcterms:W3CDTF">2026-08-27T10:12:31.740Z</dcterms:modified>
</cp:coreProperties>
</file>

<file path=docProps/custom.xml><?xml version="1.0" encoding="utf-8"?>
<Properties xmlns="http://schemas.openxmlformats.org/officeDocument/2006/custom-properties" xmlns:vt="http://schemas.openxmlformats.org/officeDocument/2006/docPropsVTypes"/>
</file>