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Clark и Mayer определят електронното обучение като обучение, доставяно чрез цифрово устройство и предназначено да подпомага ученето, като изрично отделят два негови компонента — съдържание, тоест информация, и педагогически методи, тоест техники, които помагат на човека да усвои това съдържание [37, гл. 1].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Стандартът за метаданни на учебни обекти отразява това, като включва контекста на употреба сред описателните характеристики на учебния обект [52].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Схемата за метаданни на учебни обекти по стандарта IEEE 1484.12.1 определя структура от девет категории описателни характеристики от първо ниво, сред които образователната категория включва точно признаците, разгледани по-горе: вид на ресурса, равнище на интерактивност, предназначена роля на крайния потребител и типично учебно време [52].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[49]. При най-високото равнище от същата скала обаче съдържанието се създава и публикува с минимален или никакъв човешки надзор [49].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 Това е решение на настоящата работа, а не изискване, изведено от литературата, и е операционализирано в скалата на модела в трета глава.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моделите не поддържат последователно съответстващо на класа равнище на четивност, поради което специализираните рамки за генериране на учебно съдържание управляват четивността чрез изрични ограничения върху дължината, речника и сложността на изреченията [47].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[37, гл. 13]. Експерименталното изследване на разгърнатата обратна връзка уточнява това: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[53]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[32].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[53],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[53].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[53],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[53]; педагогическата съдържателна основа е налична в доказателствено обоснованите принципи на мултимедийното учене [38]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[27].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[29].</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[30].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[31].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[26]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[27]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[28]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[29]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[30]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[31]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[32]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[37] R. C. Clark and R. E. Mayer, e-Learning and the Science of Instruction: Proven Guidelines for Consumers and Designers of Multimedia Learning, 4th ed. Hoboken, NJ, USA: Wiley, 2016.</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IMS Meta-Data Best Practice Guide for IEEE 1484.12.1-2002 Standard for Learning Object Metadata, v1.3, IMS Global Learning Consortium, 2006. [Online]. Available: https://www.imsglobal.org/metadata/mdv1p3/imsmd_bestv1p3.html</w:t>
      </w:r>
    </w:p>
    <w:p>
      <w:pPr>
        <w:spacing w:after="120" w:line="300"/>
        <w:ind w:left="1134" w:hanging="1134"/>
        <w:jc w:val="left"/>
      </w:pPr>
      <w:r>
        <w:rPr>
          <w:rFonts w:ascii="Times New Roman" w:cs="Times New Roman" w:eastAsia="Times New Roman" w:hAnsi="Times New Roman"/>
          <w:sz w:val="28"/>
          <w:szCs w:val="28"/>
        </w:rPr>
        <w:t>[53]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