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 xml:space="preserve">Александър Гръмов	(………………………………)</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[14,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[28].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[42].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[20].</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[46].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[28].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[27].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 xml:space="preserve">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[33,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[29].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[30].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според вида на материала.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рамките за генериране на учебно съдържание въвеждат изрични ограничения върху броя на думите, речника и сложността на изреченията именно защото зададеният обем не се спазва сам по себе си [51].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[42].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[14,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[52].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[52].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[41]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[50].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[36].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[19].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[19]. Прегледът на полето обхваща приложения за оценяване, за персонализирана подкрепа на обучаемите и за интелигентни системи за обучение [50].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[31].</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[19].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[31].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[26].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[50].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[19].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[18].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[17].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[51].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[26].</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[18].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[24],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[37].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[24]. Към това прегледът на полето добавя персонализираната подкрепа на обучаемите и интелигентните системи за обучение [50].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[24].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[19];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[24].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[19], както и рискът от неравен достъп: без справедлив достъп технологията може да задълбочи образователната пропаст както никоя друга преди нея [19].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[45]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[19].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[25].</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[19],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[45].</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[21].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[43].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[19].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[19].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[19].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[41], а доказателствено обоснованите принципи на мултимедийното учене предоставят емпирично проверена база, върху която такива критерии могат да стъпят [42].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[41].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[44].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[32].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[16].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[16].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[17], документираните отклонения в преценката на моделите-оценители [16]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[16].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[41],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p>
      <w:pPr>
        <w:pStyle w:val="Heading2"/>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[41]; педагогическата съдържателна основа е налична в доказателствено обоснованите принципи на мултимедийното учене [42] и в първите принципи на обучението [33];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[32],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[40].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[51],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[26].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[45].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 xml:space="preserve">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[31].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[38].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[49].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[13].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[47].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[47].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[42];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[33, с. 44–45].</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[51]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[22].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[19];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[39].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[42].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[15].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[23].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[34].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[35].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[19].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[38],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[51];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[19].</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 xml:space="preserve">ИЗВОДИ ОТ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 xml:space="preserve">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 xml:space="preserve">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[19],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 xml:space="preserve">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 xml:space="preserve">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 xml:space="preserve">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 xml:space="preserve">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 xml:space="preserve">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[13],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[13]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[14]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[15]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[16]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[17]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[18]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[19]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[20]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[21]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[22]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[23]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[24]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[25]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[26]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[27]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[28] IEEE Standard for Learning Object Metadata, IEEE Std 1484.12.1-2020, IEEE, New York, NY, USA, 2020.</w:t>
      </w:r>
    </w:p>
    <w:p>
      <w:pPr>
        <w:spacing w:after="120" w:line="300"/>
        <w:ind w:left="1134" w:hanging="1134"/>
        <w:jc w:val="left"/>
      </w:pPr>
      <w:r>
        <w:rPr>
          <w:rFonts w:ascii="Times New Roman" w:cs="Times New Roman" w:eastAsia="Times New Roman" w:hAnsi="Times New Roman"/>
          <w:sz w:val="28"/>
          <w:szCs w:val="28"/>
        </w:rPr>
        <w:t>[29]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[30]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[31]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[32]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[33]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[34]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[35]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[36]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[37]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[38]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[39]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[40]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[41] Quality Matters, QM Higher Education Rubric, 7th ed. Annapolis, MD, USA: Quality Matters, 2023. [Online]. Available: https://www.qualitymatters.org/qa-resources/rubric-standards/higher-ed-rubric</w:t>
      </w:r>
    </w:p>
    <w:p>
      <w:pPr>
        <w:spacing w:after="120" w:line="300"/>
        <w:ind w:left="1134" w:hanging="1134"/>
        <w:jc w:val="left"/>
      </w:pPr>
      <w:r>
        <w:rPr>
          <w:rFonts w:ascii="Times New Roman" w:cs="Times New Roman" w:eastAsia="Times New Roman" w:hAnsi="Times New Roman"/>
          <w:sz w:val="28"/>
          <w:szCs w:val="28"/>
        </w:rPr>
        <w:t>[42]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[43]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[44]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[45]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[46]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[47]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[48]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[49]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[50]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[51]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[52] Z. Wang, S.-Y. Gong, S. Xu, and X.-E. Hu, "Elaborated feedback and learning: Examining cognitive and motivational influences," Computers &amp; Education, vol. 136, pp. 130–140, 2019, doi: 10.1016/j.compedu.2019.04.003.</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