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26"/>
          <w:szCs w:val="26"/>
        </w:rPr>
        <w:t xml:space="preserve">УНИВЕРСИТЕТ ПО БИБЛИОТЕКОЗНАНИЕ И ИНФОРМАЦИОННИ ТЕХНОЛОГИИ</w:t>
      </w:r>
    </w:p>
    <w:p>
      <w:pPr>
        <w:spacing w:after="1800" w:before="0"/>
        <w:jc w:val="center"/>
      </w:pPr>
      <w:r>
        <w:rPr>
          <w:rFonts w:ascii="Times New Roman" w:cs="Times New Roman" w:eastAsia="Times New Roman" w:hAnsi="Times New Roman"/>
          <w:b w:val="false"/>
          <w:bCs w:val="false"/>
          <w:sz w:val="24"/>
          <w:szCs w:val="24"/>
        </w:rPr>
        <w:t xml:space="preserve">[Факултет / Катедра — попълни]</w:t>
      </w:r>
    </w:p>
    <w:p>
      <w:pPr>
        <w:spacing w:after="400" w:before="0"/>
        <w:jc w:val="center"/>
      </w:pPr>
      <w:r>
        <w:rPr>
          <w:rFonts w:ascii="Times New Roman" w:cs="Times New Roman" w:eastAsia="Times New Roman" w:hAnsi="Times New Roman"/>
          <w:b/>
          <w:bCs/>
          <w:sz w:val="36"/>
          <w:szCs w:val="36"/>
        </w:rPr>
        <w:t xml:space="preserve">НАУЧНОИЗСЛЕДОВАТЕЛСКИ ПРОЕКТ</w:t>
      </w:r>
    </w:p>
    <w:p>
      <w:pPr>
        <w:spacing w:after="120" w:before="0"/>
        <w:jc w:val="center"/>
      </w:pPr>
      <w:r>
        <w:rPr>
          <w:rFonts w:ascii="Times New Roman" w:cs="Times New Roman" w:eastAsia="Times New Roman" w:hAnsi="Times New Roman"/>
          <w:b w:val="false"/>
          <w:bCs w:val="false"/>
          <w:sz w:val="24"/>
          <w:szCs w:val="24"/>
        </w:rPr>
        <w:t xml:space="preserve">на тема:</w:t>
      </w:r>
    </w:p>
    <w:p>
      <w:pPr>
        <w:spacing w:after="2400" w:before="0"/>
        <w:jc w:val="center"/>
      </w:pPr>
      <w:r>
        <w:rPr>
          <w:rFonts w:ascii="Times New Roman" w:cs="Times New Roman" w:eastAsia="Times New Roman" w:hAnsi="Times New Roman"/>
          <w:b/>
          <w:bCs/>
          <w:sz w:val="28"/>
          <w:szCs w:val="28"/>
        </w:rPr>
        <w:t xml:space="preserve">„[Одобрената тема на научноизследователския проект — попълни]“</w:t>
      </w:r>
    </w:p>
    <w:p>
      <w:pPr>
        <w:spacing w:after="120" w:before="0"/>
        <w:jc w:val="center"/>
      </w:pPr>
      <w:r>
        <w:rPr>
          <w:rFonts w:ascii="Times New Roman" w:cs="Times New Roman" w:eastAsia="Times New Roman" w:hAnsi="Times New Roman"/>
          <w:b w:val="false"/>
          <w:bCs w:val="false"/>
          <w:sz w:val="24"/>
          <w:szCs w:val="24"/>
        </w:rPr>
        <w:t xml:space="preserve">Изготвил: Александър Гръмов, фак. № [попълни]</w:t>
      </w:r>
    </w:p>
    <w:p>
      <w:pPr>
        <w:spacing w:after="1200" w:before="0"/>
        <w:jc w:val="center"/>
      </w:pPr>
      <w:r>
        <w:rPr>
          <w:rFonts w:ascii="Times New Roman" w:cs="Times New Roman" w:eastAsia="Times New Roman" w:hAnsi="Times New Roman"/>
          <w:b w:val="false"/>
          <w:bCs w:val="false"/>
          <w:sz w:val="24"/>
          <w:szCs w:val="24"/>
        </w:rPr>
        <w:t xml:space="preserve">Научен ръководител: [титла и име]</w:t>
      </w:r>
    </w:p>
    <w:p>
      <w:pPr>
        <w:spacing w:after="120" w:before="0"/>
        <w:jc w:val="center"/>
      </w:pPr>
      <w:r>
        <w:rPr>
          <w:rFonts w:ascii="Times New Roman" w:cs="Times New Roman" w:eastAsia="Times New Roman" w:hAnsi="Times New Roman"/>
          <w:b w:val="false"/>
          <w:bCs w:val="false"/>
          <w:sz w:val="24"/>
          <w:szCs w:val="24"/>
        </w:rPr>
        <w:t xml:space="preserve">София, 2026 г.</w:t>
      </w:r>
    </w:p>
    <w:p>
      <w:r>
        <w:br w:type="page"/>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 xml:space="preserve">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Clark и Mayer дефинират електронното обучение като обучение, доставяно чрез цифрово устройство, чието предназначение е да подпомага ученето, като изрично подчертават, че определящият признак не е технологията носител, а съчетанието от учебно съдържание и педагогически методи за неговото представяне [30, гл. 1].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 xml:space="preserve">Понятието се нуждае и от разграничаване от съседни на него термини, които в практиката често се смесват. Електронното обучение обозначава формата на организация на учебния процес; електронната образователна среда — технологичната платформа, в която той протича; а електронното учебно съдържание е самият учебен материал, който средата поднася и формата организира.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 xml:space="preserve">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[12,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 xml:space="preserve">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 xml:space="preserve">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[30, гл. 4 и 9].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[17].</w:t>
      </w:r>
    </w:p>
    <w:p>
      <w:pPr>
        <w:spacing w:after="120" w:line="360"/>
        <w:ind w:firstLine="709"/>
        <w:jc w:val="both"/>
      </w:pPr>
      <w:r>
        <w:rPr>
          <w:rFonts w:ascii="Times New Roman" w:cs="Times New Roman" w:eastAsia="Times New Roman" w:hAnsi="Times New Roman"/>
          <w:sz w:val="24"/>
          <w:szCs w:val="24"/>
        </w:rPr>
        <w:t xml:space="preserve">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[34].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 xml:space="preserve">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[22].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при това по публично обявен график: широко използвани софтуерни рамки издават основни версии веднъж или два пъти годишно, а поддръжката на всяка версия е ограничена във времето [11].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 xml:space="preserve">Накрая, оста на произхода заслужава разгръщане, защото с нея е свързан и контролът на качеството. Институционално създаваното съдържание — учебници, официални курсове — по правило преминава редакционен и рецензионен процес; съдържанието, създавано от отделния преподавател, се опира на неговата експертиза и понякога на колегиален преглед; съдържанието, създавано от самите обучаеми, се използва с изрична уговорка за статута му. Генеративно създаденото съдържание е единственият масов вид, който по подразбиране не преминава през никакъв утвърден контролен механизъм: то се произвежда извън редакционни процеси, а привидната му завършеност не подсказва нужда от преглед. Тази асиметрия между произход и контрол е още една формулировка на празнината, която настоящата работа адресира.</w:t>
      </w:r>
    </w:p>
    <w:p>
      <w:pPr>
        <w:spacing w:after="120" w:line="360"/>
        <w:ind w:firstLine="709"/>
        <w:jc w:val="both"/>
      </w:pPr>
      <w:r>
        <w:rPr>
          <w:rFonts w:ascii="Times New Roman" w:cs="Times New Roman" w:eastAsia="Times New Roman" w:hAnsi="Times New Roman"/>
          <w:sz w:val="24"/>
          <w:szCs w:val="24"/>
        </w:rPr>
        <w:t xml:space="preserve">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придобила значение едва през последните години, е произходът на съдържанието: създадено изцяло от преподавател или автор, адаптирано от съществуващи ресурси, или генерирано с помощта на инструменти с изкуствен интелект [35].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както ще бъде показано в следващите части на работата,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два-три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Тези изисквания могат да бъдат групирани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 xml:space="preserve">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 включването на съдържание, което не обслужва нито една цел, е дефект, а не богатство.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[27, с. 44–45].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 xml:space="preserve">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[23].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текст само по изключение.</w:t>
      </w:r>
    </w:p>
    <w:p>
      <w:pPr>
        <w:spacing w:after="120" w:line="360"/>
        <w:ind w:firstLine="709"/>
        <w:jc w:val="both"/>
      </w:pPr>
      <w:r>
        <w:rPr>
          <w:rFonts w:ascii="Times New Roman" w:cs="Times New Roman" w:eastAsia="Times New Roman" w:hAnsi="Times New Roman"/>
          <w:sz w:val="24"/>
          <w:szCs w:val="24"/>
        </w:rPr>
        <w:t xml:space="preserve">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свързано с изграждането на трайни знания; централното ѝ предписание е външното натоварване да се минимизира, за да остане капацитетът на работната памет за същинското учене [24].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 xml:space="preserve">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 обстоятелство, което всеки модел за оценяване трябва да отчете чрез тълкуване на критериите според вида на материала, а не чрез отделни системи от критерии за всеки вид.</w:t>
      </w:r>
    </w:p>
    <w:p>
      <w:pPr>
        <w:spacing w:after="120" w:line="360"/>
        <w:ind w:firstLine="709"/>
        <w:jc w:val="both"/>
      </w:pPr>
      <w:r>
        <w:rPr>
          <w:rFonts w:ascii="Times New Roman" w:cs="Times New Roman" w:eastAsia="Times New Roman" w:hAnsi="Times New Roman"/>
          <w:sz w:val="24"/>
          <w:szCs w:val="24"/>
        </w:rPr>
        <w:t xml:space="preserve">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по две причини: моделът няма представа за учебното време, а зададеният в заявката обем се спазва приблизително.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 xml:space="preserve">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[30, гл. 13].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 xml:space="preserve">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[12, обл. 2].</w:t>
      </w:r>
    </w:p>
    <w:p>
      <w:pPr>
        <w:spacing w:after="120" w:line="360"/>
        <w:ind w:firstLine="709"/>
        <w:jc w:val="both"/>
      </w:pPr>
      <w:r>
        <w:rPr>
          <w:rFonts w:ascii="Times New Roman" w:cs="Times New Roman" w:eastAsia="Times New Roman" w:hAnsi="Times New Roman"/>
          <w:sz w:val="24"/>
          <w:szCs w:val="24"/>
        </w:rPr>
        <w:t xml:space="preserve">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 да обяснява защо отговорът е верен или грешен, а не само да констатира резултата [30, гл. 12].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 xml:space="preserve">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защо даден отговор е грешен, каква представа стои зад грешката и как тя се преодолява. В самостоятелното електронно обучение това изискване е още по-строго, тъй като обучаемият няма към кого да се обърне при затруднение — обратната връзка е единственият заместител на преподавателския отговор.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 xml:space="preserve">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[21]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 xml:space="preserve">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В литературата създаваното от тях съдържание се обозначава с обобщаващото понятие AI-генерирано съдържание (AI-generated content, AIGC), а изследванията върху приложението му в образованието нарастват рязко след масовото навлизане на диалоговите системи от типа на ChatGPT в края на 2022 г. [35].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 xml:space="preserve">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предсказва следващата единица въз основа на предходните. Втората е контекстният прозорец — ограниченият обем текст, който моделът може да отчита едновременно; при по-дълги материали началото на изложението може да влияе по-слабо върху края му, което е една от причините за наблюдаваната терминологична непоследователност в дълги генерирани текстове. Третата е вероятностният подбор при генерирането: при едни и същи входни данни моделът може да произведе различни изходи, тъй като следващата единица се избира от разпределение, а не еднозначно.</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 xml:space="preserve">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След допълнителна настройка, включително чрез обратна връзка от хора, тези модели придобиват способността да водят диалог, да следват инструкции и да произвеждат свързан, стилистично издържан текст по практически всякаква тема [16].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 xml:space="preserve">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[16]. Систематичните прегледи регистрират приложения по цялата верига на учебния процес — от планирането на курсове през създаването на съдържание до оценяването и обратната връзка [35].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 xml:space="preserve">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извличането на съдържание от външен източник преди генерирането — известно като генериране, обогатено с извличане — привързва отговора към конкретни документи и намалява дела на измислиците.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[25].</w:t>
      </w:r>
    </w:p>
    <w:p>
      <w:pPr>
        <w:spacing w:after="120" w:line="360"/>
        <w:ind w:firstLine="709"/>
        <w:jc w:val="both"/>
      </w:pPr>
      <w:r>
        <w:rPr>
          <w:rFonts w:ascii="Times New Roman" w:cs="Times New Roman" w:eastAsia="Times New Roman" w:hAnsi="Times New Roman"/>
          <w:sz w:val="24"/>
          <w:szCs w:val="24"/>
        </w:rPr>
        <w:t xml:space="preserve">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[16].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 xml:space="preserve">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[25].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 xml:space="preserve">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 xml:space="preserve">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могат да бъдат подредени на три равнища — подпомогнато създаване чрез диалог, структурирани рамкови подходи и автономни системни реализации — като систематичните прегледи регистрират приложения и на трите равнища по цялата верига на учебния процес [35].</w:t>
      </w:r>
    </w:p>
    <w:p>
      <w:pPr>
        <w:spacing w:after="120" w:line="360"/>
        <w:ind w:firstLine="709"/>
        <w:jc w:val="both"/>
      </w:pPr>
      <w:r>
        <w:rPr>
          <w:rFonts w:ascii="Times New Roman" w:cs="Times New Roman" w:eastAsia="Times New Roman" w:hAnsi="Times New Roman"/>
          <w:sz w:val="24"/>
          <w:szCs w:val="24"/>
        </w:rPr>
        <w:t xml:space="preserve">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[16].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 xml:space="preserve">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[15].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[14].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 xml:space="preserve">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адаптивен алгоритъм изгражда индивидуален профил на обучаемия, генерира клинични сценарии и тестове съобразно равнището му и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 xml:space="preserve">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[36].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различни режими на човешко участие — от одобряване на всяка стъпка до почти пълна автономност [20].</w:t>
      </w:r>
    </w:p>
    <w:p>
      <w:pPr>
        <w:spacing w:after="120" w:line="360"/>
        <w:ind w:firstLine="709"/>
        <w:jc w:val="both"/>
      </w:pPr>
      <w:r>
        <w:rPr>
          <w:rFonts w:ascii="Times New Roman" w:cs="Times New Roman" w:eastAsia="Times New Roman" w:hAnsi="Times New Roman"/>
          <w:sz w:val="24"/>
          <w:szCs w:val="24"/>
        </w:rPr>
        <w:t xml:space="preserve">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показва, че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Публикуваните описания на инструментални работни процеси в български висши училища съобщават за съкращаване на времето за подготовка на стандартни учебни материали със 75–90 на сто [6], което дава количествено измерение на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 xml:space="preserve">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 xml:space="preserve">Отделен фактор, който преминава през всички равнища, е формулирането на заявката. Практическите ръководства за преподаватели извеждат повтарящ се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 xml:space="preserve">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проследимостта е частична: процесът е документиран, но междинните стъпки често не се съхраняват.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 xml:space="preserve">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[19],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 xml:space="preserve">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[28].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 xml:space="preserve">Предимствата са концентрирани около производителността и обхвата. Генеративните инструменти съкращават многократно времето за подготовка на учебни материали, подпомагат преодоляването на творчески блокаж чрез бързо генериране на варианти и идеи и правят възможно създаването на разнообразни версии на един и същ материал — за различни равнища на подготовка, стилове на представяне и формати [19]. Систематичните прегледи добавят към това потенциала за персонализация на учебното съдържание и за подкрепа на обучаемите при самоподготовка в мащаб, непостижим за отделния преподавател [35].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 xml:space="preserve">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при по-сложни теми изложението клони към повърхностност и общи формулировки; а произведеният текст често е педагогически плосък — коректен на пръв поглед, но без осъзната дидактическа логика [19].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 xml:space="preserve">Отвъд слабостите на самите материали стоят рисковете за образователната среда. На първо място е академичната коректност: неотчетеното използване на генерирано съдържание размива границата между собствен и чужд труд — както при обучаемите, така и при преподавателите и авторите на учебни ресурси [16]. Следват рискът от прекомерна зависимост — пренасяне на съществени интелектуални операции върху инструмента, при което се атрофират точно уменията, които обучението трябва да изгради; рисковете за личните данни при работа с комерсиални платформи; и рискът от неравен достъп, при който качеството на учебните материали започва да зависи от достъпа до платени инструменти [19].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 xml:space="preserve">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преобладаващо положително отношение към образователните приложения на изкуствения интелект по трите оценъчни оси,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За настоящата работа този резултат е съществен, защото описва точно средата, в която моделът за оценяване трябва да работи —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 xml:space="preserve">Към рисковете за обучаемите българските изследвания добавят и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 xml:space="preserve">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[33]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 xml:space="preserve">Отговорът на литературата не е отказ от инструментите, а отговорно използване: ясни институционални правила, прозрачност и деклариране на употребата, запазване на човешката отговорност за крайния продукт и системна проверка на генерираното съдържание преди то да достигне до обучаемите [16].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 xml:space="preserve">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Систематичните прегледи описват този риск като част от по-широката проблематика на прекомерната зависимост [35], а предложеният в настоящата работа модел го адресира косвено: систематичната проверка на генерирания материал изисква същите професионални операции — съотнасяне с целите, проследяване на логиката, предвиждане на затрудненията — и така запазва част от професионалната стойност на процеса дори когато първоначалният текст е машинен.</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 xml:space="preserve">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отговорността за учебния материал носи изцяло човекът, който го одобрява и предоставя на обучаемите, независимо каква част от текста е генерирана [16].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 xml:space="preserve">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се управлява устойчиво тогава, когато е вградено в институционалната рамка за качество, а не е оставено на индивидуалната преценка на отделния преподавател [33].</w:t>
      </w:r>
    </w:p>
    <w:p>
      <w:pPr>
        <w:spacing w:after="120" w:line="360"/>
        <w:ind w:firstLine="709"/>
        <w:jc w:val="both"/>
      </w:pPr>
      <w:r>
        <w:rPr>
          <w:rFonts w:ascii="Times New Roman" w:cs="Times New Roman" w:eastAsia="Times New Roman" w:hAnsi="Times New Roman"/>
          <w:sz w:val="24"/>
          <w:szCs w:val="24"/>
        </w:rPr>
        <w:t xml:space="preserve">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[18].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 xml:space="preserve">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автора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 xml:space="preserve">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по отношение на съдържание, създадено или манипулирано с генеративни системи [31].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 xml:space="preserve">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 xml:space="preserve">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чрез режима за защита на личните данни, който поставя строги условия за обработването им от трети страни [16].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 xml:space="preserve">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[16].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 xml:space="preserve">Отделен и все още неустановен въпрос е авторскоправният статут на генерираното съдържание. Той има две страни: от една страна, доколко материал, произведен от модел, се ползва със закрила, и от друга — доколко създаването му не нарушава правата върху произведенията, с които моделът е обучаван.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 xml:space="preserve">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сравнителният анализ на ръководни документи за качество от различни образователни контексти показва, че те систематизират до голяма степен едни и същи изисквания за педагогическа издържаност и визуална организация [21], а доказателствено обоснованите принципи на мултимедийното учене предоставят емпирично проверена база, върху която такива критерии могат да стъпят [30, гл. 21].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 xml:space="preserve">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[29].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 xml:space="preserve">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[32].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 xml:space="preserve">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за най-силния модел съвпадението достига около 85 на сто — стойност, надхвърляща съгласуваността между самите човешки оценители, която е около 81 на сто [26]. Систематичният преглед на полето подрежда натрупаните подходи по три оси — какво се оценява, как се оценява и как се измерва самото качество на оценяването — и документира приложението им в широк кръг задачи [13].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 xml:space="preserve">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[13].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и почти навсякъде се използва единствен модел-оценител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 xml:space="preserve">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документираните отклонения в преценката на моделите-оценители и принципното съображение,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 xml:space="preserve">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проучване едва около една шеста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 xml:space="preserve">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[13].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 xml:space="preserve">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Критериалните листи по правило не съдържат проверка за фактически измислици, защото при добросъвестен човешки автор такава проверка е излишна;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ИЗВОДИ ОТ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 xml:space="preserve">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доказала приложимостта си в утвърдени инструменти за оценяване на онлайн курсове; педагогическата съдържателна основа е налична в доказателствено обоснованите принципи на мултимедийното учене и в първите принципи на обучението;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 xml:space="preserve">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[26],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като българския [10]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709" w:hanging="709"/>
        <w:jc w:val="left"/>
      </w:pPr>
      <w:r>
        <w:rPr>
          <w:rFonts w:ascii="Times New Roman" w:cs="Times New Roman" w:eastAsia="Times New Roman" w:hAnsi="Times New Roman"/>
          <w:sz w:val="24"/>
          <w:szCs w:val="24"/>
        </w:rPr>
        <w:t xml:space="preserve">[1]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709" w:hanging="709"/>
        <w:jc w:val="left"/>
      </w:pPr>
      <w:r>
        <w:rPr>
          <w:rFonts w:ascii="Times New Roman" w:cs="Times New Roman" w:eastAsia="Times New Roman" w:hAnsi="Times New Roman"/>
          <w:sz w:val="24"/>
          <w:szCs w:val="24"/>
        </w:rPr>
        <w:t xml:space="preserve">[2]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709" w:hanging="709"/>
        <w:jc w:val="left"/>
      </w:pPr>
      <w:r>
        <w:rPr>
          <w:rFonts w:ascii="Times New Roman" w:cs="Times New Roman" w:eastAsia="Times New Roman" w:hAnsi="Times New Roman"/>
          <w:sz w:val="24"/>
          <w:szCs w:val="24"/>
        </w:rPr>
        <w:t xml:space="preserve">[3]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709" w:hanging="709"/>
        <w:jc w:val="left"/>
      </w:pPr>
      <w:r>
        <w:rPr>
          <w:rFonts w:ascii="Times New Roman" w:cs="Times New Roman" w:eastAsia="Times New Roman" w:hAnsi="Times New Roman"/>
          <w:sz w:val="24"/>
          <w:szCs w:val="24"/>
        </w:rPr>
        <w:t xml:space="preserve">[4]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709" w:hanging="709"/>
        <w:jc w:val="left"/>
      </w:pPr>
      <w:r>
        <w:rPr>
          <w:rFonts w:ascii="Times New Roman" w:cs="Times New Roman" w:eastAsia="Times New Roman" w:hAnsi="Times New Roman"/>
          <w:sz w:val="24"/>
          <w:szCs w:val="24"/>
        </w:rPr>
        <w:t xml:space="preserve">[5]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709" w:hanging="709"/>
        <w:jc w:val="left"/>
      </w:pPr>
      <w:r>
        <w:rPr>
          <w:rFonts w:ascii="Times New Roman" w:cs="Times New Roman" w:eastAsia="Times New Roman" w:hAnsi="Times New Roman"/>
          <w:sz w:val="24"/>
          <w:szCs w:val="24"/>
        </w:rPr>
        <w:t xml:space="preserve">[6]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709" w:hanging="709"/>
        <w:jc w:val="left"/>
      </w:pPr>
      <w:r>
        <w:rPr>
          <w:rFonts w:ascii="Times New Roman" w:cs="Times New Roman" w:eastAsia="Times New Roman" w:hAnsi="Times New Roman"/>
          <w:sz w:val="24"/>
          <w:szCs w:val="24"/>
        </w:rPr>
        <w:t xml:space="preserve">[7]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709" w:hanging="709"/>
        <w:jc w:val="left"/>
      </w:pPr>
      <w:r>
        <w:rPr>
          <w:rFonts w:ascii="Times New Roman" w:cs="Times New Roman" w:eastAsia="Times New Roman" w:hAnsi="Times New Roman"/>
          <w:sz w:val="24"/>
          <w:szCs w:val="24"/>
        </w:rPr>
        <w:t xml:space="preserve">[8]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709" w:hanging="709"/>
        <w:jc w:val="left"/>
      </w:pPr>
      <w:r>
        <w:rPr>
          <w:rFonts w:ascii="Times New Roman" w:cs="Times New Roman" w:eastAsia="Times New Roman" w:hAnsi="Times New Roman"/>
          <w:sz w:val="24"/>
          <w:szCs w:val="24"/>
        </w:rPr>
        <w:t xml:space="preserve">[9]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709" w:hanging="709"/>
        <w:jc w:val="left"/>
      </w:pPr>
      <w:r>
        <w:rPr>
          <w:rFonts w:ascii="Times New Roman" w:cs="Times New Roman" w:eastAsia="Times New Roman" w:hAnsi="Times New Roman"/>
          <w:sz w:val="24"/>
          <w:szCs w:val="24"/>
        </w:rPr>
        <w:t xml:space="preserve">[10] "Challenges and recommendations for LLMs-as-a-judge in multilingual settings and low-resource languages," 2026, arXiv:2607.02235.</w:t>
      </w:r>
    </w:p>
    <w:p>
      <w:pPr>
        <w:spacing w:after="120" w:line="300"/>
        <w:ind w:left="709" w:hanging="709"/>
        <w:jc w:val="left"/>
      </w:pPr>
      <w:r>
        <w:rPr>
          <w:rFonts w:ascii="Times New Roman" w:cs="Times New Roman" w:eastAsia="Times New Roman" w:hAnsi="Times New Roman"/>
          <w:sz w:val="24"/>
          <w:szCs w:val="24"/>
        </w:rPr>
        <w:t xml:space="preserve">[11] Angular Team, "Angular versioning and releases," Angular Documentation, 2026. [Online]. Available: https://angular.dev/reference/releases</w:t>
      </w:r>
    </w:p>
    <w:p>
      <w:pPr>
        <w:spacing w:after="120" w:line="300"/>
        <w:ind w:left="709" w:hanging="709"/>
        <w:jc w:val="left"/>
      </w:pPr>
      <w:r>
        <w:rPr>
          <w:rFonts w:ascii="Times New Roman" w:cs="Times New Roman" w:eastAsia="Times New Roman" w:hAnsi="Times New Roman"/>
          <w:sz w:val="24"/>
          <w:szCs w:val="24"/>
        </w:rPr>
        <w:t xml:space="preserve">[12] C. Redecker, European Framework for the Digital Competence of Educators: DigCompEdu, Y. Punie, Ed. Luxembourg: Publications Office of the European Union, 2017, JRC107466.</w:t>
      </w:r>
    </w:p>
    <w:p>
      <w:pPr>
        <w:spacing w:after="120" w:line="300"/>
        <w:ind w:left="709" w:hanging="709"/>
        <w:jc w:val="left"/>
      </w:pPr>
      <w:r>
        <w:rPr>
          <w:rFonts w:ascii="Times New Roman" w:cs="Times New Roman" w:eastAsia="Times New Roman" w:hAnsi="Times New Roman"/>
          <w:sz w:val="24"/>
          <w:szCs w:val="24"/>
        </w:rPr>
        <w:t xml:space="preserve">[13] D. Li et al., "From generation to judgment: Opportunities and challenges of LLM-as-a-judge," in Proc. 2025 Conference on Empirical Methods in Natural Language Processing (EMNLP), 2025. [Online]. Available: https://arxiv.org/abs/2411.16594</w:t>
      </w:r>
    </w:p>
    <w:p>
      <w:pPr>
        <w:spacing w:after="120" w:line="300"/>
        <w:ind w:left="709" w:hanging="709"/>
        <w:jc w:val="left"/>
      </w:pPr>
      <w:r>
        <w:rPr>
          <w:rFonts w:ascii="Times New Roman" w:cs="Times New Roman" w:eastAsia="Times New Roman" w:hAnsi="Times New Roman"/>
          <w:sz w:val="24"/>
          <w:szCs w:val="24"/>
        </w:rPr>
        <w:t xml:space="preserve">[14] D. S. Chai, H. S. Kim, K. N. Kim, Y. Ha, S. S. H. Shin, and S. W. Yoon, "Generative artificial intelligence in instructional system design," Human Resource Development Review, 2025, doi: 10.1177/15344843251320256.</w:t>
      </w:r>
    </w:p>
    <w:p>
      <w:pPr>
        <w:spacing w:after="120" w:line="300"/>
        <w:ind w:left="709" w:hanging="709"/>
        <w:jc w:val="left"/>
      </w:pPr>
      <w:r>
        <w:rPr>
          <w:rFonts w:ascii="Times New Roman" w:cs="Times New Roman" w:eastAsia="Times New Roman" w:hAnsi="Times New Roman"/>
          <w:sz w:val="24"/>
          <w:szCs w:val="24"/>
        </w:rPr>
        <w:t xml:space="preserve">[15] E. Dickey and A. Bejarano, "GAIDE: A framework for using generative AI to assist in course content development," in Proc. 2024 IEEE Frontiers in Education Conference (FIE), 2024, pp. 1–9, doi: 10.1109/FIE61694.2024.10893132.</w:t>
      </w:r>
    </w:p>
    <w:p>
      <w:pPr>
        <w:spacing w:after="120" w:line="300"/>
        <w:ind w:left="709" w:hanging="709"/>
        <w:jc w:val="left"/>
      </w:pPr>
      <w:r>
        <w:rPr>
          <w:rFonts w:ascii="Times New Roman" w:cs="Times New Roman" w:eastAsia="Times New Roman" w:hAnsi="Times New Roman"/>
          <w:sz w:val="24"/>
          <w:szCs w:val="24"/>
        </w:rPr>
        <w:t xml:space="preserve">[16] E. Kasneci et al., "ChatGPT for good? On opportunities and challenges of large language models for education," Learning and Individual Differences, vol. 103, Art. no. 102274, 2023, doi: 10.1016/j.lindif.2023.102274.</w:t>
      </w:r>
    </w:p>
    <w:p>
      <w:pPr>
        <w:spacing w:after="120" w:line="300"/>
        <w:ind w:left="709" w:hanging="709"/>
        <w:jc w:val="left"/>
      </w:pPr>
      <w:r>
        <w:rPr>
          <w:rFonts w:ascii="Times New Roman" w:cs="Times New Roman" w:eastAsia="Times New Roman" w:hAnsi="Times New Roman"/>
          <w:sz w:val="24"/>
          <w:szCs w:val="24"/>
        </w:rPr>
        <w:t xml:space="preserve">[17] E. Staneviciene and G. Žekienė, "The use of multimedia in the teaching and learning process of higher education: A systematic review," Sustainability, vol. 17, no. 19, Art. no. 8859, 2025, doi: 10.3390/su17198859.</w:t>
      </w:r>
    </w:p>
    <w:p>
      <w:pPr>
        <w:spacing w:after="120" w:line="300"/>
        <w:ind w:left="709" w:hanging="709"/>
        <w:jc w:val="left"/>
      </w:pPr>
      <w:r>
        <w:rPr>
          <w:rFonts w:ascii="Times New Roman" w:cs="Times New Roman" w:eastAsia="Times New Roman" w:hAnsi="Times New Roman"/>
          <w:sz w:val="24"/>
          <w:szCs w:val="24"/>
        </w:rPr>
        <w:t xml:space="preserve">[18] F. Miao and W. Holmes, Guidance for Generative AI in Education and Research. Paris, France: UNESCO, 2023. [Online]. Available: https://www.unesco.org/en/articles/guidance-generative-ai-education-and-research</w:t>
      </w:r>
    </w:p>
    <w:p>
      <w:pPr>
        <w:spacing w:after="120" w:line="300"/>
        <w:ind w:left="709" w:hanging="709"/>
        <w:jc w:val="left"/>
      </w:pPr>
      <w:r>
        <w:rPr>
          <w:rFonts w:ascii="Times New Roman" w:cs="Times New Roman" w:eastAsia="Times New Roman" w:hAnsi="Times New Roman"/>
          <w:sz w:val="24"/>
          <w:szCs w:val="24"/>
        </w:rPr>
        <w:t xml:space="preserve">[19] G. W. Choi, S. H. Kim, D. Lee, and J. Moon, "Utilizing generative AI for instructional design: Exploring strengths, weaknesses, opportunities, and threats," TechTrends, vol. 68, no. 4, pp. 832–844, 2024, doi: 10.1007/s11528-024-00967-w.</w:t>
      </w:r>
    </w:p>
    <w:p>
      <w:pPr>
        <w:spacing w:after="120" w:line="300"/>
        <w:ind w:left="709" w:hanging="709"/>
        <w:jc w:val="left"/>
      </w:pPr>
      <w:r>
        <w:rPr>
          <w:rFonts w:ascii="Times New Roman" w:cs="Times New Roman" w:eastAsia="Times New Roman" w:hAnsi="Times New Roman"/>
          <w:sz w:val="24"/>
          <w:szCs w:val="24"/>
        </w:rPr>
        <w:t xml:space="preserve">[20] H. Yao, W. Xu, J. Turnau, N. Kellam, and H. Wei, "Instructional agents: Reducing teaching faculty workload through multi-agent instructional design," in Proc. EACL 2026, vol. 1, 2026, pp. 4087–4109.</w:t>
      </w:r>
    </w:p>
    <w:p>
      <w:pPr>
        <w:spacing w:after="120" w:line="300"/>
        <w:ind w:left="709" w:hanging="709"/>
        <w:jc w:val="left"/>
      </w:pPr>
      <w:r>
        <w:rPr>
          <w:rFonts w:ascii="Times New Roman" w:cs="Times New Roman" w:eastAsia="Times New Roman" w:hAnsi="Times New Roman"/>
          <w:sz w:val="24"/>
          <w:szCs w:val="24"/>
        </w:rPr>
        <w:t xml:space="preserve">[21] I. du Preez and L. Jacobs, "Pedagogical and visual design principles for online learning material: Insights from quality guiding documents in diverse educational contexts," Interactive Learning Environments, pp. 1435–1451, 2025, doi: 10.1080/10494820.2025.2523390.</w:t>
      </w:r>
    </w:p>
    <w:p>
      <w:pPr>
        <w:spacing w:after="120" w:line="300"/>
        <w:ind w:left="709" w:hanging="709"/>
        <w:jc w:val="left"/>
      </w:pPr>
      <w:r>
        <w:rPr>
          <w:rFonts w:ascii="Times New Roman" w:cs="Times New Roman" w:eastAsia="Times New Roman" w:hAnsi="Times New Roman"/>
          <w:sz w:val="24"/>
          <w:szCs w:val="24"/>
        </w:rPr>
        <w:t xml:space="preserve">[22] IEEE Standard for Learning Object Metadata, IEEE Std 1484.12.1-2020, IEEE, New York, NY, USA, 2020.</w:t>
      </w:r>
    </w:p>
    <w:p>
      <w:pPr>
        <w:spacing w:after="120" w:line="300"/>
        <w:ind w:left="709" w:hanging="709"/>
        <w:jc w:val="left"/>
      </w:pPr>
      <w:r>
        <w:rPr>
          <w:rFonts w:ascii="Times New Roman" w:cs="Times New Roman" w:eastAsia="Times New Roman" w:hAnsi="Times New Roman"/>
          <w:sz w:val="24"/>
          <w:szCs w:val="24"/>
        </w:rPr>
        <w:t xml:space="preserve">[23] J. Biggs, C. Tang, and G. Kennedy, Teaching for Quality Learning at University, 5th ed. London, U.K.: Open University Press, 2022.</w:t>
      </w:r>
    </w:p>
    <w:p>
      <w:pPr>
        <w:spacing w:after="120" w:line="300"/>
        <w:ind w:left="709" w:hanging="709"/>
        <w:jc w:val="left"/>
      </w:pPr>
      <w:r>
        <w:rPr>
          <w:rFonts w:ascii="Times New Roman" w:cs="Times New Roman" w:eastAsia="Times New Roman" w:hAnsi="Times New Roman"/>
          <w:sz w:val="24"/>
          <w:szCs w:val="24"/>
        </w:rPr>
        <w:t xml:space="preserve">[24] J. Sweller, J. J. G. van Merriënboer, and F. Paas, "Cognitive architecture and instructional design: 20 years later," Educational Psychology Review, vol. 31, no. 2, pp. 261–292, 2019, doi: 10.1007/s10648-019-09465-5.</w:t>
      </w:r>
    </w:p>
    <w:p>
      <w:pPr>
        <w:spacing w:after="120" w:line="300"/>
        <w:ind w:left="709" w:hanging="709"/>
        <w:jc w:val="left"/>
      </w:pPr>
      <w:r>
        <w:rPr>
          <w:rFonts w:ascii="Times New Roman" w:cs="Times New Roman" w:eastAsia="Times New Roman" w:hAnsi="Times New Roman"/>
          <w:sz w:val="24"/>
          <w:szCs w:val="24"/>
        </w:rPr>
        <w:t xml:space="preserve">[25] L. Huang et al., "A survey on hallucination in large language models: Principles, taxonomy, challenges, and open questions," ACM Transactions on Information Systems, vol. 43, no. 2, pp. 1–55, 2025, doi: 10.1145/3703155.</w:t>
      </w:r>
    </w:p>
    <w:p>
      <w:pPr>
        <w:spacing w:after="120" w:line="300"/>
        <w:ind w:left="709" w:hanging="709"/>
        <w:jc w:val="left"/>
      </w:pPr>
      <w:r>
        <w:rPr>
          <w:rFonts w:ascii="Times New Roman" w:cs="Times New Roman" w:eastAsia="Times New Roman" w:hAnsi="Times New Roman"/>
          <w:sz w:val="24"/>
          <w:szCs w:val="24"/>
        </w:rPr>
        <w:t xml:space="preserve">[26] L. Zheng et al., "Judging LLM-as-a-judge with MT-Bench and Chatbot Arena," in Advances in Neural Information Processing Systems 36 (NeurIPS 2023), Datasets and Benchmarks Track, 2023. [Online]. Available: https://arxiv.org/abs/2306.05685</w:t>
      </w:r>
    </w:p>
    <w:p>
      <w:pPr>
        <w:spacing w:after="120" w:line="300"/>
        <w:ind w:left="709" w:hanging="709"/>
        <w:jc w:val="left"/>
      </w:pPr>
      <w:r>
        <w:rPr>
          <w:rFonts w:ascii="Times New Roman" w:cs="Times New Roman" w:eastAsia="Times New Roman" w:hAnsi="Times New Roman"/>
          <w:sz w:val="24"/>
          <w:szCs w:val="24"/>
        </w:rPr>
        <w:t xml:space="preserve">[27] M. D. Merrill, "First principles of instruction," Educational Technology Research and Development, vol. 50, no. 3, pp. 43–59, 2002, doi: 10.1007/BF02505024.</w:t>
      </w:r>
    </w:p>
    <w:p>
      <w:pPr>
        <w:spacing w:after="120" w:line="300"/>
        <w:ind w:left="709" w:hanging="709"/>
        <w:jc w:val="left"/>
      </w:pPr>
      <w:r>
        <w:rPr>
          <w:rFonts w:ascii="Times New Roman" w:cs="Times New Roman" w:eastAsia="Times New Roman" w:hAnsi="Times New Roman"/>
          <w:sz w:val="24"/>
          <w:szCs w:val="24"/>
        </w:rPr>
        <w:t xml:space="preserve">[28]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709" w:hanging="709"/>
        <w:jc w:val="left"/>
      </w:pPr>
      <w:r>
        <w:rPr>
          <w:rFonts w:ascii="Times New Roman" w:cs="Times New Roman" w:eastAsia="Times New Roman" w:hAnsi="Times New Roman"/>
          <w:sz w:val="24"/>
          <w:szCs w:val="24"/>
        </w:rPr>
        <w:t xml:space="preserve">[29] Quality Matters, QM Higher Education Rubric, 7th ed. Annapolis, MD, USA: Quality Matters, 2023. [Online]. Available: https://www.qualitymatters.org/qa-resources/rubric-standards/higher-ed-rubric</w:t>
      </w:r>
    </w:p>
    <w:p>
      <w:pPr>
        <w:spacing w:after="120" w:line="300"/>
        <w:ind w:left="709" w:hanging="709"/>
        <w:jc w:val="left"/>
      </w:pPr>
      <w:r>
        <w:rPr>
          <w:rFonts w:ascii="Times New Roman" w:cs="Times New Roman" w:eastAsia="Times New Roman" w:hAnsi="Times New Roman"/>
          <w:sz w:val="24"/>
          <w:szCs w:val="24"/>
        </w:rPr>
        <w:t xml:space="preserve">[30] R. C. Clark and R. E. Mayer, e-Learning and the Science of Instruction: Proven Guidelines for Consumers and Designers of Multimedia Learning, 5th ed. Hoboken, NJ, USA: Wiley, 2024.</w:t>
      </w:r>
    </w:p>
    <w:p>
      <w:pPr>
        <w:spacing w:after="120" w:line="300"/>
        <w:ind w:left="709" w:hanging="709"/>
        <w:jc w:val="left"/>
      </w:pPr>
      <w:r>
        <w:rPr>
          <w:rFonts w:ascii="Times New Roman" w:cs="Times New Roman" w:eastAsia="Times New Roman" w:hAnsi="Times New Roman"/>
          <w:sz w:val="24"/>
          <w:szCs w:val="24"/>
        </w:rPr>
        <w:t xml:space="preserve">[31]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709" w:hanging="709"/>
        <w:jc w:val="left"/>
      </w:pPr>
      <w:r>
        <w:rPr>
          <w:rFonts w:ascii="Times New Roman" w:cs="Times New Roman" w:eastAsia="Times New Roman" w:hAnsi="Times New Roman"/>
          <w:sz w:val="24"/>
          <w:szCs w:val="24"/>
        </w:rPr>
        <w:t xml:space="preserve">[32]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709" w:hanging="709"/>
        <w:jc w:val="left"/>
      </w:pPr>
      <w:r>
        <w:rPr>
          <w:rFonts w:ascii="Times New Roman" w:cs="Times New Roman" w:eastAsia="Times New Roman" w:hAnsi="Times New Roman"/>
          <w:sz w:val="24"/>
          <w:szCs w:val="24"/>
        </w:rPr>
        <w:t xml:space="preserve">[33] S. J. Warren, E. Boston Vogt, B. Tincher, and J. Yang, "Enhancing quality assurance through strategic artificial intelligence integration: A framework for higher education digital transformation," Quality Assurance in Education, vol. 34, no. 2, pp. 205–222, 2026.</w:t>
      </w:r>
    </w:p>
    <w:p>
      <w:pPr>
        <w:spacing w:after="120" w:line="300"/>
        <w:ind w:left="709" w:hanging="709"/>
        <w:jc w:val="left"/>
      </w:pPr>
      <w:r>
        <w:rPr>
          <w:rFonts w:ascii="Times New Roman" w:cs="Times New Roman" w:eastAsia="Times New Roman" w:hAnsi="Times New Roman"/>
          <w:sz w:val="24"/>
          <w:szCs w:val="24"/>
        </w:rPr>
        <w:t xml:space="preserve">[34] UNESCO, Recommendation on Open Educational Resources (OER). Paris, France: UNESCO, 2019. [Online]. Available: https://unesdoc.unesco.org/ark:/48223/pf0000383205</w:t>
      </w:r>
    </w:p>
    <w:p>
      <w:pPr>
        <w:spacing w:after="120" w:line="300"/>
        <w:ind w:left="709" w:hanging="709"/>
        <w:jc w:val="left"/>
      </w:pPr>
      <w:r>
        <w:rPr>
          <w:rFonts w:ascii="Times New Roman" w:cs="Times New Roman" w:eastAsia="Times New Roman" w:hAnsi="Times New Roman"/>
          <w:sz w:val="24"/>
          <w:szCs w:val="24"/>
        </w:rPr>
        <w:t xml:space="preserve">[35] X. Chen, Z. Hu, and C. Wang, "Empowering education development through AIGC: A systematic literature review," Education and Information Technologies, vol. 29, no. 13, pp. 17485–17537, 2024, doi: 10.1007/s10639-024-12549-7.</w:t>
      </w:r>
    </w:p>
    <w:p>
      <w:pPr>
        <w:spacing w:after="120" w:line="300"/>
        <w:ind w:left="709" w:hanging="709"/>
        <w:jc w:val="left"/>
      </w:pPr>
      <w:r>
        <w:rPr>
          <w:rFonts w:ascii="Times New Roman" w:cs="Times New Roman" w:eastAsia="Times New Roman" w:hAnsi="Times New Roman"/>
          <w:sz w:val="24"/>
          <w:szCs w:val="24"/>
        </w:rPr>
        <w:t xml:space="preserve">[36] Z. Liu, S. X. Yin, D. H.-L. Goh, and N. F. Chen, "COGENT: A curriculum-oriented framework for generating grade-appropriate educational content," in Proc. 20th Workshop on Innovative Use of NLP for Building Educational Applications (BEA 2025), 2025.</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2026-08-27T17:12:33.883Z</dcterms:created>
  <dcterms:modified xsi:type="dcterms:W3CDTF">2026-08-27T17:12:33.883Z</dcterms:modified>
</cp:coreProperties>
</file>

<file path=docProps/custom.xml><?xml version="1.0" encoding="utf-8"?>
<Properties xmlns="http://schemas.openxmlformats.org/officeDocument/2006/custom-properties" xmlns:vt="http://schemas.openxmlformats.org/officeDocument/2006/docPropsVTypes"/>
</file>