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26"/>
          <w:szCs w:val="26"/>
        </w:rPr>
        <w:t xml:space="preserve">УНИВЕРСИТЕТ ПО БИБЛИОТЕКОЗНАНИЕ И ИНФОРМАЦИОННИ ТЕХНОЛОГИИ</w:t>
      </w:r>
    </w:p>
    <w:p>
      <w:pPr>
        <w:spacing w:after="1800" w:before="0"/>
        <w:jc w:val="center"/>
      </w:pPr>
      <w:r>
        <w:rPr>
          <w:rFonts w:ascii="Times New Roman" w:cs="Times New Roman" w:eastAsia="Times New Roman" w:hAnsi="Times New Roman"/>
          <w:b w:val="false"/>
          <w:bCs w:val="false"/>
          <w:sz w:val="24"/>
          <w:szCs w:val="24"/>
        </w:rPr>
        <w:t xml:space="preserve">[Факултет / Катедра — попълни]</w:t>
      </w:r>
    </w:p>
    <w:p>
      <w:pPr>
        <w:spacing w:after="400" w:before="0"/>
        <w:jc w:val="center"/>
      </w:pPr>
      <w:r>
        <w:rPr>
          <w:rFonts w:ascii="Times New Roman" w:cs="Times New Roman" w:eastAsia="Times New Roman" w:hAnsi="Times New Roman"/>
          <w:b/>
          <w:bCs/>
          <w:sz w:val="36"/>
          <w:szCs w:val="36"/>
        </w:rPr>
        <w:t xml:space="preserve">НАУЧНОИЗСЛЕДОВАТЕЛСКИ ПРОЕКТ</w:t>
      </w:r>
    </w:p>
    <w:p>
      <w:pPr>
        <w:spacing w:after="120" w:before="0"/>
        <w:jc w:val="center"/>
      </w:pPr>
      <w:r>
        <w:rPr>
          <w:rFonts w:ascii="Times New Roman" w:cs="Times New Roman" w:eastAsia="Times New Roman" w:hAnsi="Times New Roman"/>
          <w:b w:val="false"/>
          <w:bCs w:val="false"/>
          <w:sz w:val="24"/>
          <w:szCs w:val="24"/>
        </w:rPr>
        <w:t xml:space="preserve">на тема:</w:t>
      </w:r>
    </w:p>
    <w:p>
      <w:pPr>
        <w:spacing w:after="2400" w:before="0"/>
        <w:jc w:val="center"/>
      </w:pPr>
      <w:r>
        <w:rPr>
          <w:rFonts w:ascii="Times New Roman" w:cs="Times New Roman" w:eastAsia="Times New Roman" w:hAnsi="Times New Roman"/>
          <w:b/>
          <w:bCs/>
          <w:sz w:val="28"/>
          <w:szCs w:val="28"/>
        </w:rPr>
        <w:t xml:space="preserve">„[Одобрената тема на научноизследователския проект — попълни]“</w:t>
      </w:r>
    </w:p>
    <w:p>
      <w:pPr>
        <w:spacing w:after="120" w:before="0"/>
        <w:jc w:val="center"/>
      </w:pPr>
      <w:r>
        <w:rPr>
          <w:rFonts w:ascii="Times New Roman" w:cs="Times New Roman" w:eastAsia="Times New Roman" w:hAnsi="Times New Roman"/>
          <w:b w:val="false"/>
          <w:bCs w:val="false"/>
          <w:sz w:val="24"/>
          <w:szCs w:val="24"/>
        </w:rPr>
        <w:t xml:space="preserve">Изготвил: Александър Гръмов, фак. № [попълни]</w:t>
      </w:r>
    </w:p>
    <w:p>
      <w:pPr>
        <w:spacing w:after="1200" w:before="0"/>
        <w:jc w:val="center"/>
      </w:pPr>
      <w:r>
        <w:rPr>
          <w:rFonts w:ascii="Times New Roman" w:cs="Times New Roman" w:eastAsia="Times New Roman" w:hAnsi="Times New Roman"/>
          <w:b w:val="false"/>
          <w:bCs w:val="false"/>
          <w:sz w:val="24"/>
          <w:szCs w:val="24"/>
        </w:rPr>
        <w:t xml:space="preserve">Научен ръководител: [титла и име]</w:t>
      </w:r>
    </w:p>
    <w:p>
      <w:pPr>
        <w:spacing w:after="120" w:before="0"/>
        <w:jc w:val="center"/>
      </w:pPr>
      <w:r>
        <w:rPr>
          <w:rFonts w:ascii="Times New Roman" w:cs="Times New Roman" w:eastAsia="Times New Roman" w:hAnsi="Times New Roman"/>
          <w:b w:val="false"/>
          <w:bCs w:val="false"/>
          <w:sz w:val="24"/>
          <w:szCs w:val="24"/>
        </w:rPr>
        <w:t xml:space="preserve">София, 2026 г.</w:t>
      </w:r>
    </w:p>
    <w:p>
      <w:r>
        <w:br w:type="page"/>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[13,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Международният стандарт за метаданни отразява това, като включва контекста на употреба сред описателните характеристики на учебния обект [24].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[33].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[18].</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[37].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[24].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[23].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[12].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Накрая, оста на произхода заслужава разгръщане, защото с нея е пряко свързан контролът на качеството. Ръководството на 1EdTech обвързва равнището на човешко участие с равнището на необходимата проверка и формулира изрично изискване: генерираното съдържание подлежи на човешка валидация за точност, издържаност и съответствие със стандартите и не може да бъде използвано в непроменен вид в учебно значими контексти без проверка от специалист по предметната област, който да провери фактите, да прецени материала за пристрастност и да съобрази изискванията за достъпност [12]. При най-високото равнище от същата скала обаче съдържанието се създава и публикува с минимален или никакъв човешки надзор [12]. Настоящата работа тръгва именно от това разминаване между изискваната проверка и възможността тя да отсъства: задачата е изискването да бъде операционализирано в система от области, критерии и показатели, приложима към конкретен учебен материал.</w:t>
      </w:r>
    </w:p>
    <w:p>
      <w:pPr>
        <w:spacing w:after="120" w:line="360"/>
        <w:ind w:firstLine="709"/>
        <w:jc w:val="both"/>
      </w:pPr>
      <w:r>
        <w:rPr>
          <w:rFonts w:ascii="Times New Roman" w:cs="Times New Roman" w:eastAsia="Times New Roman" w:hAnsi="Times New Roman"/>
          <w:sz w:val="24"/>
          <w:szCs w:val="24"/>
        </w:rPr>
        <w:t>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съдържание, което не обслужва нито една формулирана цел, няма учебно основание да присъства.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[29].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[25].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 само когато това е изрично изискано от него.</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[26].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не се прилагат с еднаква тежест към всеки вид съдържание, а част от тях просто нямат предмет при даден материал: изискванията към обратната връзка са безпредметни при справочен текст без задачи, а изискванията към последователността на изложението — при отделен тестов въпрос. Затова оценяването трябва да предвижда изрична стойност „неприложимо“, вместо да отчита като дефект липсата на нещо, което видът на материала не предполага. Това е решение на настоящата разработка, а не изискване, изведено от литературата.</w:t>
      </w:r>
    </w:p>
    <w:p>
      <w:pPr>
        <w:spacing w:after="120" w:line="360"/>
        <w:ind w:firstLine="709"/>
        <w:jc w:val="both"/>
      </w:pPr>
      <w:r>
        <w:rPr>
          <w:rFonts w:ascii="Times New Roman" w:cs="Times New Roman" w:eastAsia="Times New Roman" w:hAnsi="Times New Roman"/>
          <w:sz w:val="24"/>
          <w:szCs w:val="24"/>
        </w:rPr>
        <w:t>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моделите не поддържат последователно съответстващо на класа равнище на четивност, поради което специализираните рамки за генериране на учебно съдържание управляват четивността чрез изрични ограничения върху дължината, речника и сложността на изреченията [41].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[33].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[13,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Експерименталното изследване на разгърнатата обратна връзка обаче показва, че ефектът ѝ е условен: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[42].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[32]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[40].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[38].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[30].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[38].</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[17].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[17]. Прегледът на полето обхваща приложения за оценяване, за персонализирана подкрепа на обучаемите и за интелигентни системи за обучение [40].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[39].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[27].</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[17].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[27].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[22].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[40].</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[17].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[16].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[15].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[41].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[22].</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[16].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[20],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[31].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[20]. Към това прегледът на полето добавя персонализираната подкрепа на обучаемите и интелигентните системи за обучение [40].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[20].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[17];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[20].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[17], както и рискът от неравен достъп: без справедлив достъп технологията може да задълбочи образователната пропаст както никоя друга преди нея [17].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[36]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[17].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[21].</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[17],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[36].</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[19].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[34].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 xml:space="preserve">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[17].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[17].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[17].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[32], а доказателствено обоснованите принципи на мултимедийното учене предоставят емпирично проверена база, върху която такива критерии могат да стъпят [33].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[32].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[35].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[28].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[14].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[14].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[15], документираните отклонения в преценката на моделите-оценители [14]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[14].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[32],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ИЗВОДИ ОТ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[32]; педагогическата съдържателна основа е налична в доказателствено обоснованите принципи на мултимедийното учене [33] и в първите принципи на обучението [29];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[28],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709" w:hanging="709"/>
        <w:jc w:val="left"/>
      </w:pPr>
      <w:r>
        <w:rPr>
          <w:rFonts w:ascii="Times New Roman" w:cs="Times New Roman" w:eastAsia="Times New Roman" w:hAnsi="Times New Roman"/>
          <w:sz w:val="24"/>
          <w:szCs w:val="24"/>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709" w:hanging="709"/>
        <w:jc w:val="left"/>
      </w:pPr>
      <w:r>
        <w:rPr>
          <w:rFonts w:ascii="Times New Roman" w:cs="Times New Roman" w:eastAsia="Times New Roman" w:hAnsi="Times New Roman"/>
          <w:sz w:val="24"/>
          <w:szCs w:val="24"/>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709" w:hanging="709"/>
        <w:jc w:val="left"/>
      </w:pPr>
      <w:r>
        <w:rPr>
          <w:rFonts w:ascii="Times New Roman" w:cs="Times New Roman" w:eastAsia="Times New Roman" w:hAnsi="Times New Roman"/>
          <w:sz w:val="24"/>
          <w:szCs w:val="24"/>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709" w:hanging="709"/>
        <w:jc w:val="left"/>
      </w:pPr>
      <w:r>
        <w:rPr>
          <w:rFonts w:ascii="Times New Roman" w:cs="Times New Roman" w:eastAsia="Times New Roman" w:hAnsi="Times New Roman"/>
          <w:sz w:val="24"/>
          <w:szCs w:val="24"/>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709" w:hanging="709"/>
        <w:jc w:val="left"/>
      </w:pPr>
      <w:r>
        <w:rPr>
          <w:rFonts w:ascii="Times New Roman" w:cs="Times New Roman" w:eastAsia="Times New Roman" w:hAnsi="Times New Roman"/>
          <w:sz w:val="24"/>
          <w:szCs w:val="24"/>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709" w:hanging="709"/>
        <w:jc w:val="left"/>
      </w:pPr>
      <w:r>
        <w:rPr>
          <w:rFonts w:ascii="Times New Roman" w:cs="Times New Roman" w:eastAsia="Times New Roman" w:hAnsi="Times New Roman"/>
          <w:sz w:val="24"/>
          <w:szCs w:val="24"/>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709" w:hanging="709"/>
        <w:jc w:val="left"/>
      </w:pPr>
      <w:r>
        <w:rPr>
          <w:rFonts w:ascii="Times New Roman" w:cs="Times New Roman" w:eastAsia="Times New Roman" w:hAnsi="Times New Roman"/>
          <w:sz w:val="24"/>
          <w:szCs w:val="24"/>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709" w:hanging="709"/>
        <w:jc w:val="left"/>
      </w:pPr>
      <w:r>
        <w:rPr>
          <w:rFonts w:ascii="Times New Roman" w:cs="Times New Roman" w:eastAsia="Times New Roman" w:hAnsi="Times New Roman"/>
          <w:sz w:val="24"/>
          <w:szCs w:val="24"/>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709" w:hanging="709"/>
        <w:jc w:val="left"/>
      </w:pPr>
      <w:r>
        <w:rPr>
          <w:rFonts w:ascii="Times New Roman" w:cs="Times New Roman" w:eastAsia="Times New Roman" w:hAnsi="Times New Roman"/>
          <w:sz w:val="24"/>
          <w:szCs w:val="24"/>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709" w:hanging="709"/>
        <w:jc w:val="left"/>
      </w:pPr>
      <w:r>
        <w:rPr>
          <w:rFonts w:ascii="Times New Roman" w:cs="Times New Roman" w:eastAsia="Times New Roman" w:hAnsi="Times New Roman"/>
          <w:sz w:val="24"/>
          <w:szCs w:val="24"/>
        </w:rPr>
        <w:t>[10] A. S. Doğruöz et al., "Challenges and recommendations for LLMs-as-a-judge in multilingual settings and low-resource languages," 2026, arXiv:2607.02235.</w:t>
      </w:r>
    </w:p>
    <w:p>
      <w:pPr>
        <w:spacing w:after="120" w:line="300"/>
        <w:ind w:left="709" w:hanging="709"/>
        <w:jc w:val="left"/>
      </w:pPr>
      <w:r>
        <w:rPr>
          <w:rFonts w:ascii="Times New Roman" w:cs="Times New Roman" w:eastAsia="Times New Roman" w:hAnsi="Times New Roman"/>
          <w:sz w:val="24"/>
          <w:szCs w:val="24"/>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709" w:hanging="709"/>
        <w:jc w:val="left"/>
      </w:pPr>
      <w:r>
        <w:rPr>
          <w:rFonts w:ascii="Times New Roman" w:cs="Times New Roman" w:eastAsia="Times New Roman" w:hAnsi="Times New Roman"/>
          <w:sz w:val="24"/>
          <w:szCs w:val="24"/>
        </w:rPr>
        <w:t>[12] AI-Generated Content Best Practices, v1.0, 1EdTech Consortium, Lake Mary, FL, USA, 2025. [Online]. Available: https://www.imsglobal.org/resource/AI-Generated_Content_Best_Practices/v1p0</w:t>
      </w:r>
    </w:p>
    <w:p>
      <w:pPr>
        <w:spacing w:after="120" w:line="300"/>
        <w:ind w:left="709" w:hanging="709"/>
        <w:jc w:val="left"/>
      </w:pPr>
      <w:r>
        <w:rPr>
          <w:rFonts w:ascii="Times New Roman" w:cs="Times New Roman" w:eastAsia="Times New Roman" w:hAnsi="Times New Roman"/>
          <w:sz w:val="24"/>
          <w:szCs w:val="24"/>
        </w:rPr>
        <w:t>[13] C. Redecker, European Framework for the Digital Competence of Educators: DigCompEdu, Y. Punie, Ed. Luxembourg: Publications Office of the European Union, 2017, JRC107466.</w:t>
      </w:r>
    </w:p>
    <w:p>
      <w:pPr>
        <w:spacing w:after="120" w:line="300"/>
        <w:ind w:left="709" w:hanging="709"/>
        <w:jc w:val="left"/>
      </w:pPr>
      <w:r>
        <w:rPr>
          <w:rFonts w:ascii="Times New Roman" w:cs="Times New Roman" w:eastAsia="Times New Roman" w:hAnsi="Times New Roman"/>
          <w:sz w:val="24"/>
          <w:szCs w:val="24"/>
        </w:rPr>
        <w:t>[14] D. Li et al., "From generation to judgment: Opportunities and challenges of LLM-as-a-judge," in Proc. 2025 Conference on Empirical Methods in Natural Language Processing (EMNLP), 2025, pp. 2757–2791, doi: 10.18653/v1/2025.emnlp-main.138.</w:t>
      </w:r>
    </w:p>
    <w:p>
      <w:pPr>
        <w:spacing w:after="120" w:line="300"/>
        <w:ind w:left="709" w:hanging="709"/>
        <w:jc w:val="left"/>
      </w:pPr>
      <w:r>
        <w:rPr>
          <w:rFonts w:ascii="Times New Roman" w:cs="Times New Roman" w:eastAsia="Times New Roman" w:hAnsi="Times New Roman"/>
          <w:sz w:val="24"/>
          <w:szCs w:val="24"/>
        </w:rPr>
        <w:t>[15] D. S. Chai, H. S. Kim, K. N. Kim, Y. Ha, S. S. H. Shin, and S. W. Yoon, "Generative artificial intelligence in instructional system design," Human Resource Development Review, vol. 24, no. 4, pp. 388–417, 2025, doi: 10.1177/15344843251320256.</w:t>
      </w:r>
    </w:p>
    <w:p>
      <w:pPr>
        <w:spacing w:after="120" w:line="300"/>
        <w:ind w:left="709" w:hanging="709"/>
        <w:jc w:val="left"/>
      </w:pPr>
      <w:r>
        <w:rPr>
          <w:rFonts w:ascii="Times New Roman" w:cs="Times New Roman" w:eastAsia="Times New Roman" w:hAnsi="Times New Roman"/>
          <w:sz w:val="24"/>
          <w:szCs w:val="24"/>
        </w:rPr>
        <w:t>[16] E. Dickey and A. Bejarano, "GAIDE: A framework for using generative AI to assist in course content development," in Proc. 2024 IEEE Frontiers in Education Conference (FIE), 2024, pp. 1–9, doi: 10.1109/FIE61694.2024.10893132.</w:t>
      </w:r>
    </w:p>
    <w:p>
      <w:pPr>
        <w:spacing w:after="120" w:line="300"/>
        <w:ind w:left="709" w:hanging="709"/>
        <w:jc w:val="left"/>
      </w:pPr>
      <w:r>
        <w:rPr>
          <w:rFonts w:ascii="Times New Roman" w:cs="Times New Roman" w:eastAsia="Times New Roman" w:hAnsi="Times New Roman"/>
          <w:sz w:val="24"/>
          <w:szCs w:val="24"/>
        </w:rPr>
        <w:t>[17] E. Kasneci et al., "ChatGPT for good? On opportunities and challenges of large language models for education," Learning and Individual Differences, vol. 103, Art. no. 102274, 2023, doi: 10.1016/j.lindif.2023.102274.</w:t>
      </w:r>
    </w:p>
    <w:p>
      <w:pPr>
        <w:spacing w:after="120" w:line="300"/>
        <w:ind w:left="709" w:hanging="709"/>
        <w:jc w:val="left"/>
      </w:pPr>
      <w:r>
        <w:rPr>
          <w:rFonts w:ascii="Times New Roman" w:cs="Times New Roman" w:eastAsia="Times New Roman" w:hAnsi="Times New Roman"/>
          <w:sz w:val="24"/>
          <w:szCs w:val="24"/>
        </w:rPr>
        <w:t>[18] E. Staneviciene and G. Žekienė, "The use of multimedia in the teaching and learning process of higher education: A systematic review," Sustainability, vol. 17, no. 19, Art. no. 8859, 2025, doi: 10.3390/su17198859.</w:t>
      </w:r>
    </w:p>
    <w:p>
      <w:pPr>
        <w:spacing w:after="120" w:line="300"/>
        <w:ind w:left="709" w:hanging="709"/>
        <w:jc w:val="left"/>
      </w:pPr>
      <w:r>
        <w:rPr>
          <w:rFonts w:ascii="Times New Roman" w:cs="Times New Roman" w:eastAsia="Times New Roman" w:hAnsi="Times New Roman"/>
          <w:sz w:val="24"/>
          <w:szCs w:val="24"/>
        </w:rPr>
        <w:t>[19] F. Miao and W. Holmes, Guidance for Generative AI in Education and Research. Paris, France: UNESCO, 2023. [Online]. Available: https://www.unesco.org/en/articles/guidance-generative-ai-education-and-research</w:t>
      </w:r>
    </w:p>
    <w:p>
      <w:pPr>
        <w:spacing w:after="120" w:line="300"/>
        <w:ind w:left="709" w:hanging="709"/>
        <w:jc w:val="left"/>
      </w:pPr>
      <w:r>
        <w:rPr>
          <w:rFonts w:ascii="Times New Roman" w:cs="Times New Roman" w:eastAsia="Times New Roman" w:hAnsi="Times New Roman"/>
          <w:sz w:val="24"/>
          <w:szCs w:val="24"/>
        </w:rPr>
        <w:t>[20] G. W. Choi, S. H. Kim, D. Lee, and J. Moon, "Utilizing generative AI for instructional design: Exploring strengths, weaknesses, opportunities, and threats," TechTrends, vol. 68, no. 4, pp. 832–844, 2024, doi: 10.1007/s11528-024-00967-w.</w:t>
      </w:r>
    </w:p>
    <w:p>
      <w:pPr>
        <w:spacing w:after="120" w:line="300"/>
        <w:ind w:left="709" w:hanging="709"/>
        <w:jc w:val="left"/>
      </w:pPr>
      <w:r>
        <w:rPr>
          <w:rFonts w:ascii="Times New Roman" w:cs="Times New Roman" w:eastAsia="Times New Roman" w:hAnsi="Times New Roman"/>
          <w:sz w:val="24"/>
          <w:szCs w:val="24"/>
        </w:rPr>
        <w:t>[21] H. Wu, Z. Wang, and X. Wen, "Examining interactive AI-supported learning environments: The mediating role of AI metacognition and the moderating role of cognitive flexibility," Acta Psychologica, vol. 266, Art. no. 106874, 2026.</w:t>
      </w:r>
    </w:p>
    <w:p>
      <w:pPr>
        <w:spacing w:after="120" w:line="300"/>
        <w:ind w:left="709" w:hanging="709"/>
        <w:jc w:val="left"/>
      </w:pPr>
      <w:r>
        <w:rPr>
          <w:rFonts w:ascii="Times New Roman" w:cs="Times New Roman" w:eastAsia="Times New Roman" w:hAnsi="Times New Roman"/>
          <w:sz w:val="24"/>
          <w:szCs w:val="24"/>
        </w:rPr>
        <w:t>[22] H. Yao, W. Xu, J. Turnau, N. Kellam, and H. Wei, "Instructional agents: Reducing teaching faculty workload through multi-agent instructional design," in Proc. EACL 2026, vol. 1, 2026, pp. 4087–4109, doi: 10.18653/v1/2026.eacl-long.191.</w:t>
      </w:r>
    </w:p>
    <w:p>
      <w:pPr>
        <w:spacing w:after="120" w:line="300"/>
        <w:ind w:left="709" w:hanging="709"/>
        <w:jc w:val="left"/>
      </w:pPr>
      <w:r>
        <w:rPr>
          <w:rFonts w:ascii="Times New Roman" w:cs="Times New Roman" w:eastAsia="Times New Roman" w:hAnsi="Times New Roman"/>
          <w:sz w:val="24"/>
          <w:szCs w:val="24"/>
        </w:rPr>
        <w:t>[23] H. Zhang, S. Wang, T.-H. Chen, Y. Zou, and A. E. Hassan, "An empirical study of obsolete answers on Stack Overflow," IEEE Transactions on Software Engineering, vol. 47, no. 4, pp. 850–862, 2021, doi: 10.1109/TSE.2019.2906315.</w:t>
      </w:r>
    </w:p>
    <w:p>
      <w:pPr>
        <w:spacing w:after="120" w:line="300"/>
        <w:ind w:left="709" w:hanging="709"/>
        <w:jc w:val="left"/>
      </w:pPr>
      <w:r>
        <w:rPr>
          <w:rFonts w:ascii="Times New Roman" w:cs="Times New Roman" w:eastAsia="Times New Roman" w:hAnsi="Times New Roman"/>
          <w:sz w:val="24"/>
          <w:szCs w:val="24"/>
        </w:rPr>
        <w:t>[24] IEEE Standard for Learning Object Metadata, IEEE Std 1484.12.1-2020, IEEE, New York, NY, USA, 2020.</w:t>
      </w:r>
    </w:p>
    <w:p>
      <w:pPr>
        <w:spacing w:after="120" w:line="300"/>
        <w:ind w:left="709" w:hanging="709"/>
        <w:jc w:val="left"/>
      </w:pPr>
      <w:r>
        <w:rPr>
          <w:rFonts w:ascii="Times New Roman" w:cs="Times New Roman" w:eastAsia="Times New Roman" w:hAnsi="Times New Roman"/>
          <w:sz w:val="24"/>
          <w:szCs w:val="24"/>
        </w:rPr>
        <w:t>[25] J. Biggs, "Enhancing teaching through constructive alignment," Higher Education, vol. 32, no. 3, pp. 347–364, 1996, doi: 10.1007/BF00138871.</w:t>
      </w:r>
    </w:p>
    <w:p>
      <w:pPr>
        <w:spacing w:after="120" w:line="300"/>
        <w:ind w:left="709" w:hanging="709"/>
        <w:jc w:val="left"/>
      </w:pPr>
      <w:r>
        <w:rPr>
          <w:rFonts w:ascii="Times New Roman" w:cs="Times New Roman" w:eastAsia="Times New Roman" w:hAnsi="Times New Roman"/>
          <w:sz w:val="24"/>
          <w:szCs w:val="24"/>
        </w:rPr>
        <w:t>[26] J. Sweller, J. J. G. van Merriënboer, and F. Paas, "Cognitive architecture and instructional design: 20 years later," Educational Psychology Review, vol. 31, no. 2, pp. 261–292, 2019, doi: 10.1007/s10648-019-09465-5.</w:t>
      </w:r>
    </w:p>
    <w:p>
      <w:pPr>
        <w:spacing w:after="120" w:line="300"/>
        <w:ind w:left="709" w:hanging="709"/>
        <w:jc w:val="left"/>
      </w:pPr>
      <w:r>
        <w:rPr>
          <w:rFonts w:ascii="Times New Roman" w:cs="Times New Roman" w:eastAsia="Times New Roman" w:hAnsi="Times New Roman"/>
          <w:sz w:val="24"/>
          <w:szCs w:val="24"/>
        </w:rPr>
        <w:t>[27] L. Huang et al., "A survey on hallucination in large language models: Principles, taxonomy, challenges, and open questions," ACM Transactions on Information Systems, vol. 43, no. 2, pp. 1–55, 2025, doi: 10.1145/3703155.</w:t>
      </w:r>
    </w:p>
    <w:p>
      <w:pPr>
        <w:spacing w:after="120" w:line="300"/>
        <w:ind w:left="709" w:hanging="709"/>
        <w:jc w:val="left"/>
      </w:pPr>
      <w:r>
        <w:rPr>
          <w:rFonts w:ascii="Times New Roman" w:cs="Times New Roman" w:eastAsia="Times New Roman" w:hAnsi="Times New Roman"/>
          <w:sz w:val="24"/>
          <w:szCs w:val="24"/>
        </w:rPr>
        <w:t>[28] L. Zheng et al., "Judging LLM-as-a-judge with MT-Bench and Chatbot Arena," in Advances in Neural Information Processing Systems 36 (NeurIPS 2023), Datasets and Benchmarks Track, 2023. [Online]. Available: https://arxiv.org/abs/2306.05685</w:t>
      </w:r>
    </w:p>
    <w:p>
      <w:pPr>
        <w:spacing w:after="120" w:line="300"/>
        <w:ind w:left="709" w:hanging="709"/>
        <w:jc w:val="left"/>
      </w:pPr>
      <w:r>
        <w:rPr>
          <w:rFonts w:ascii="Times New Roman" w:cs="Times New Roman" w:eastAsia="Times New Roman" w:hAnsi="Times New Roman"/>
          <w:sz w:val="24"/>
          <w:szCs w:val="24"/>
        </w:rPr>
        <w:t>[29] M. D. Merrill, "First principles of instruction," Educational Technology Research and Development, vol. 50, no. 3, pp. 43–59, 2002, doi: 10.1007/BF02505024.</w:t>
      </w:r>
    </w:p>
    <w:p>
      <w:pPr>
        <w:spacing w:after="120" w:line="300"/>
        <w:ind w:left="709" w:hanging="709"/>
        <w:jc w:val="left"/>
      </w:pPr>
      <w:r>
        <w:rPr>
          <w:rFonts w:ascii="Times New Roman" w:cs="Times New Roman" w:eastAsia="Times New Roman" w:hAnsi="Times New Roman"/>
          <w:sz w:val="24"/>
          <w:szCs w:val="24"/>
        </w:rPr>
        <w:t>[30] N. F. Liu et al., "Lost in the middle: How language models use long contexts," Transactions of the Association for Computational Linguistics, vol. 12, pp. 157–173, 2024, doi: 10.1162/tacl_a_00638.</w:t>
      </w:r>
    </w:p>
    <w:p>
      <w:pPr>
        <w:spacing w:after="120" w:line="300"/>
        <w:ind w:left="709" w:hanging="709"/>
        <w:jc w:val="left"/>
      </w:pPr>
      <w:r>
        <w:rPr>
          <w:rFonts w:ascii="Times New Roman" w:cs="Times New Roman" w:eastAsia="Times New Roman" w:hAnsi="Times New Roman"/>
          <w:sz w:val="24"/>
          <w:szCs w:val="24"/>
        </w:rPr>
        <w:t>[31]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709" w:hanging="709"/>
        <w:jc w:val="left"/>
      </w:pPr>
      <w:r>
        <w:rPr>
          <w:rFonts w:ascii="Times New Roman" w:cs="Times New Roman" w:eastAsia="Times New Roman" w:hAnsi="Times New Roman"/>
          <w:sz w:val="24"/>
          <w:szCs w:val="24"/>
        </w:rPr>
        <w:t>[32] Quality Matters, QM Higher Education Rubric, 7th ed. Annapolis, MD, USA: Quality Matters, 2023. [Online]. Available: https://www.qualitymatters.org/qa-resources/rubric-standards/higher-ed-rubric</w:t>
      </w:r>
    </w:p>
    <w:p>
      <w:pPr>
        <w:spacing w:after="120" w:line="300"/>
        <w:ind w:left="709" w:hanging="709"/>
        <w:jc w:val="left"/>
      </w:pPr>
      <w:r>
        <w:rPr>
          <w:rFonts w:ascii="Times New Roman" w:cs="Times New Roman" w:eastAsia="Times New Roman" w:hAnsi="Times New Roman"/>
          <w:sz w:val="24"/>
          <w:szCs w:val="24"/>
        </w:rPr>
        <w:t>[33] R. E. Mayer, "Evidence-based principles for how to design effective instructional videos," Journal of Applied Research in Memory and Cognition, vol. 10, no. 2, pp. 229–240, 2021, doi: 10.1016/j.jarmac.2021.03.007.</w:t>
      </w:r>
    </w:p>
    <w:p>
      <w:pPr>
        <w:spacing w:after="120" w:line="300"/>
        <w:ind w:left="709" w:hanging="709"/>
        <w:jc w:val="left"/>
      </w:pPr>
      <w:r>
        <w:rPr>
          <w:rFonts w:ascii="Times New Roman" w:cs="Times New Roman" w:eastAsia="Times New Roman" w:hAnsi="Times New Roman"/>
          <w:sz w:val="24"/>
          <w:szCs w:val="24"/>
        </w:rPr>
        <w:t>[34]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709" w:hanging="709"/>
        <w:jc w:val="left"/>
      </w:pPr>
      <w:r>
        <w:rPr>
          <w:rFonts w:ascii="Times New Roman" w:cs="Times New Roman" w:eastAsia="Times New Roman" w:hAnsi="Times New Roman"/>
          <w:sz w:val="24"/>
          <w:szCs w:val="24"/>
        </w:rPr>
        <w:t>[35]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709" w:hanging="709"/>
        <w:jc w:val="left"/>
      </w:pPr>
      <w:r>
        <w:rPr>
          <w:rFonts w:ascii="Times New Roman" w:cs="Times New Roman" w:eastAsia="Times New Roman" w:hAnsi="Times New Roman"/>
          <w:sz w:val="24"/>
          <w:szCs w:val="24"/>
        </w:rPr>
        <w:t>[36]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709" w:hanging="709"/>
        <w:jc w:val="left"/>
      </w:pPr>
      <w:r>
        <w:rPr>
          <w:rFonts w:ascii="Times New Roman" w:cs="Times New Roman" w:eastAsia="Times New Roman" w:hAnsi="Times New Roman"/>
          <w:sz w:val="24"/>
          <w:szCs w:val="24"/>
        </w:rPr>
        <w:t>[37] UNESCO, Recommendation on Open Educational Resources (OER). Paris, France: UNESCO, 2019. [Online]. Available: https://unesdoc.unesco.org/ark:/48223/pf0000383205</w:t>
      </w:r>
    </w:p>
    <w:p>
      <w:pPr>
        <w:spacing w:after="120" w:line="300"/>
        <w:ind w:left="709" w:hanging="709"/>
        <w:jc w:val="left"/>
      </w:pPr>
      <w:r>
        <w:rPr>
          <w:rFonts w:ascii="Times New Roman" w:cs="Times New Roman" w:eastAsia="Times New Roman" w:hAnsi="Times New Roman"/>
          <w:sz w:val="24"/>
          <w:szCs w:val="24"/>
        </w:rPr>
        <w:t>[38] W. X. Zhao et al., "A survey of large language models," 2023, arXiv:2303.18223.</w:t>
      </w:r>
    </w:p>
    <w:p>
      <w:pPr>
        <w:spacing w:after="120" w:line="300"/>
        <w:ind w:left="709" w:hanging="709"/>
        <w:jc w:val="left"/>
      </w:pPr>
      <w:r>
        <w:rPr>
          <w:rFonts w:ascii="Times New Roman" w:cs="Times New Roman" w:eastAsia="Times New Roman" w:hAnsi="Times New Roman"/>
          <w:sz w:val="24"/>
          <w:szCs w:val="24"/>
        </w:rPr>
        <w:t>[39] Y. Gao et al., "Retrieval-augmented generation for large language models: A survey," 2023, arXiv:2312.10997.</w:t>
      </w:r>
    </w:p>
    <w:p>
      <w:pPr>
        <w:spacing w:after="120" w:line="300"/>
        <w:ind w:left="709" w:hanging="709"/>
        <w:jc w:val="left"/>
      </w:pPr>
      <w:r>
        <w:rPr>
          <w:rFonts w:ascii="Times New Roman" w:cs="Times New Roman" w:eastAsia="Times New Roman" w:hAnsi="Times New Roman"/>
          <w:sz w:val="24"/>
          <w:szCs w:val="24"/>
        </w:rPr>
        <w:t>[40]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709" w:hanging="709"/>
        <w:jc w:val="left"/>
      </w:pPr>
      <w:r>
        <w:rPr>
          <w:rFonts w:ascii="Times New Roman" w:cs="Times New Roman" w:eastAsia="Times New Roman" w:hAnsi="Times New Roman"/>
          <w:sz w:val="24"/>
          <w:szCs w:val="24"/>
        </w:rPr>
        <w:t>[41]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709" w:hanging="709"/>
        <w:jc w:val="left"/>
      </w:pPr>
      <w:r>
        <w:rPr>
          <w:rFonts w:ascii="Times New Roman" w:cs="Times New Roman" w:eastAsia="Times New Roman" w:hAnsi="Times New Roman"/>
          <w:sz w:val="24"/>
          <w:szCs w:val="24"/>
        </w:rPr>
        <w:t>[42] Z. Wang, S.-Y. Gong, S. Xu, and X.-E. Hu, "Elaborated feedback and learning: Examining cognitive and motivational influences," Computers &amp; Education, vol. 136, pp. 130–140, 2019, doi: 10.1016/j.compedu.2019.04.003.</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2026-08-27T17:12:33.883Z</dcterms:created>
  <dcterms:modified xsi:type="dcterms:W3CDTF">2026-08-27T17:12:33.883Z</dcterms:modified>
</cp:coreProperties>
</file>

<file path=docProps/custom.xml><?xml version="1.0" encoding="utf-8"?>
<Properties xmlns="http://schemas.openxmlformats.org/officeDocument/2006/custom-properties" xmlns:vt="http://schemas.openxmlformats.org/officeDocument/2006/docPropsVTypes"/>
</file>