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Гръмов,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[13,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Международният стандарт за метаданни отразява това, като включва контекста на употреба сред описателните характеристики на учебния обект [24].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[33].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[18].</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[37].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[24].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[23].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[12].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Накрая, оста на произхода заслужава разгръщане, защото с нея е пряко свързан контролът на качеството. Ръководството на 1EdTech обвързва равнището на човешко участие с равнището на необходимата проверка и формулира изрично изискване: генерираното съдържание подлежи на човешка валидация за точност, издържаност и съответствие със стандартите и не може да бъде използвано в непроменен вид в учебно значими контексти без проверка от специалист по предметната област, който да провери фактите, да прецени материала за пристрастност и да съобрази изискванията за достъпност [12]. При най-високото равнище от същата скала обаче съдържанието се създава и публикува с минимален или никакъв човешки надзор [12]. Настоящата работа тръгва именно от това разминаване между изискваната проверка и възможността тя да отсъства: задачата е изискването да бъде операционализирано в система от области, критерии и показатели, приложима към конкретен учебен материал.</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съдържание, което не обслужва нито една формулирана цел, няма учебно основание да присъства.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 само когато това е изрично изискано от него.</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не се прилагат с еднаква тежест към всеки вид съдържание, а част от тях просто нямат предмет при даден материал: изискванията към обратната връзка са безпредметни при справочен текст без задачи, а изискванията към последователността на изложението — при отделен тестов въпрос. Затова оценяването трябва да предвижда изрична стойност „неприложимо“, вместо да отчита като дефект липсата на нещо, което видът на материала не предполага. Това е решение на настоящата разработка, а не изискване, изведено от литературата.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Съответствието между обем, сложност и разполагаемо време затова влиза сред проверимите показатели — като методологическо решение на настоящата работа, а не като изведено от литературата изискване: контролът върху количествените характеристики на генерираното съдържание се разработва в източниците през равнището на езика — дължина, речник и сложност на изреченията [41], — а не през съотнасянето на обема с отделеното учебно време.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[13,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Експерименталното изследване на разгърнатата обратна връзка обаче показва, че ефектът ѝ е условен: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[42].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[32]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[40].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[38].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[30].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[38].</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[17].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[17]. Прегледът на полето обхваща приложения за оценяване, за персонализирана подкрепа на обучаемите и за интелигентни системи за обучение [40].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[39].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[17].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[22].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[40].</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[17].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[16].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[15].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[41].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[22].</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[16].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[20],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[31].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[20]. Към това прегледът на полето добавя персонализираната подкрепа на обучаемите и интелигентните системи за обучение [40].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[20].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[17];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[20].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[17], както и рискът от неравен достъп: без справедлив достъп технологията може да задълбочи образователната пропаст както никоя друга преди нея [17].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[36]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[17].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[21].</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[17],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[36].</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[19].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[34].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[17].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[17].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[17].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[32], а доказателствено обоснованите принципи на мултимедийното учене предоставят емпирично проверена база, върху която такива критерии могат да стъпят [33].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[32].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[35].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[14].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[14].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[15], документираните отклонения в преценката на моделите-оценители [14]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[14].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[32],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[32]; педагогическата съдържателна основа е налична в доказателствено обоснованите принципи на мултимедийното учене [33]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[10] A. S. Doğruöz et al.,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709" w:hanging="709"/>
        <w:jc w:val="left"/>
      </w:pPr>
      <w:r>
        <w:rPr>
          <w:rFonts w:ascii="Times New Roman" w:cs="Times New Roman" w:eastAsia="Times New Roman" w:hAnsi="Times New Roman"/>
          <w:sz w:val="24"/>
          <w:szCs w:val="24"/>
        </w:rPr>
        <w:t>[12] AI-Generated Content Best Practices, v1.0, 1EdTech Consortium, Lake Mary, FL, USA, 2025. [Online]. Available: https://www.imsglobal.org/resource/AI-Generated_Content_Best_Practices/v1p0</w:t>
      </w:r>
    </w:p>
    <w:p>
      <w:pPr>
        <w:spacing w:after="120" w:line="300"/>
        <w:ind w:left="709" w:hanging="709"/>
        <w:jc w:val="left"/>
      </w:pPr>
      <w:r>
        <w:rPr>
          <w:rFonts w:ascii="Times New Roman" w:cs="Times New Roman" w:eastAsia="Times New Roman" w:hAnsi="Times New Roman"/>
          <w:sz w:val="24"/>
          <w:szCs w:val="24"/>
        </w:rPr>
        <w:t>[13]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[14] D. Li et al., "From generation to judgment: Opportunities and challenges of LLM-as-a-judge," in Proc. 2025 Conference on Empirical Methods in Natural Language Processing (EMNLP), 2025, pp. 2757–2791, doi: 10.18653/v1/2025.emnlp-main.138.</w:t>
      </w:r>
    </w:p>
    <w:p>
      <w:pPr>
        <w:spacing w:after="120" w:line="300"/>
        <w:ind w:left="709" w:hanging="709"/>
        <w:jc w:val="left"/>
      </w:pPr>
      <w:r>
        <w:rPr>
          <w:rFonts w:ascii="Times New Roman" w:cs="Times New Roman" w:eastAsia="Times New Roman" w:hAnsi="Times New Roman"/>
          <w:sz w:val="24"/>
          <w:szCs w:val="24"/>
        </w:rPr>
        <w:t>[15] D. S. Chai, H. S. Kim, K. N. Kim, Y. Ha, S. S. H. Shin, and S. W. Yoon, "Generative artificial intelligence in instructional system design," Human Resource Development Review, vol. 24, no. 4, pp. 388–417, 2025, doi: 10.1177/15344843251320256.</w:t>
      </w:r>
    </w:p>
    <w:p>
      <w:pPr>
        <w:spacing w:after="120" w:line="300"/>
        <w:ind w:left="709" w:hanging="709"/>
        <w:jc w:val="left"/>
      </w:pPr>
      <w:r>
        <w:rPr>
          <w:rFonts w:ascii="Times New Roman" w:cs="Times New Roman" w:eastAsia="Times New Roman" w:hAnsi="Times New Roman"/>
          <w:sz w:val="24"/>
          <w:szCs w:val="24"/>
        </w:rPr>
        <w:t>[16]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[17]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[18]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[19]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[20]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[21] H. Wu, Z. Wang, and X. Wen, "Examining interactive AI-supported learning environments: The mediating role of AI metacognition and the moderating role of cognitive flexibility," Acta Psychologica, vol. 266, Art. no. 106874, 2026.</w:t>
      </w:r>
    </w:p>
    <w:p>
      <w:pPr>
        <w:spacing w:after="120" w:line="300"/>
        <w:ind w:left="709" w:hanging="709"/>
        <w:jc w:val="left"/>
      </w:pPr>
      <w:r>
        <w:rPr>
          <w:rFonts w:ascii="Times New Roman" w:cs="Times New Roman" w:eastAsia="Times New Roman" w:hAnsi="Times New Roman"/>
          <w:sz w:val="24"/>
          <w:szCs w:val="24"/>
        </w:rPr>
        <w:t>[22] H. Yao, W. Xu, J. Turnau, N. Kellam, and H. Wei, "Instructional agents: Reducing teaching faculty workload through multi-agent instructional design," in Proc. EACL 2026, vol. 1, 2026, pp. 4087–4109, doi: 10.18653/v1/2026.eacl-long.191.</w:t>
      </w:r>
    </w:p>
    <w:p>
      <w:pPr>
        <w:spacing w:after="120" w:line="300"/>
        <w:ind w:left="709" w:hanging="709"/>
        <w:jc w:val="left"/>
      </w:pPr>
      <w:r>
        <w:rPr>
          <w:rFonts w:ascii="Times New Roman" w:cs="Times New Roman" w:eastAsia="Times New Roman" w:hAnsi="Times New Roman"/>
          <w:sz w:val="24"/>
          <w:szCs w:val="24"/>
        </w:rPr>
        <w:t>[23] H. Zhang, S. Wang, T.-H. Chen, Y. Zou, and A. E. Hassan, "An empirical study of obsolete answers on Stack Overflow," IEEE Transactions on Software Engineering, vol. 47, no. 4, pp. 850–862, 2021, doi: 10.1109/TSE.2019.2906315.</w:t>
      </w:r>
    </w:p>
    <w:p>
      <w:pPr>
        <w:spacing w:after="120" w:line="300"/>
        <w:ind w:left="709" w:hanging="709"/>
        <w:jc w:val="left"/>
      </w:pPr>
      <w:r>
        <w:rPr>
          <w:rFonts w:ascii="Times New Roman" w:cs="Times New Roman" w:eastAsia="Times New Roman" w:hAnsi="Times New Roman"/>
          <w:sz w:val="24"/>
          <w:szCs w:val="24"/>
        </w:rPr>
        <w:t>[24]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[25] J. Biggs, "Enhancing teaching through constructive alignment," Higher Education, vol. 32, no. 3, pp. 347–364, 1996, doi: 10.1007/BF00138871.</w:t>
      </w:r>
    </w:p>
    <w:p>
      <w:pPr>
        <w:spacing w:after="120" w:line="300"/>
        <w:ind w:left="709" w:hanging="709"/>
        <w:jc w:val="left"/>
      </w:pPr>
      <w:r>
        <w:rPr>
          <w:rFonts w:ascii="Times New Roman" w:cs="Times New Roman" w:eastAsia="Times New Roman" w:hAnsi="Times New Roman"/>
          <w:sz w:val="24"/>
          <w:szCs w:val="24"/>
        </w:rPr>
        <w:t>[26]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[27]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[28]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[29]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[30] N. F. Liu et al., "Lost in the middle: How language models use long contexts," Transactions of the Association for Computational Linguistics, vol. 12, pp. 157–173, 2024, doi: 10.1162/tacl_a_00638.</w:t>
      </w:r>
    </w:p>
    <w:p>
      <w:pPr>
        <w:spacing w:after="120" w:line="300"/>
        <w:ind w:left="709" w:hanging="709"/>
        <w:jc w:val="left"/>
      </w:pPr>
      <w:r>
        <w:rPr>
          <w:rFonts w:ascii="Times New Roman" w:cs="Times New Roman" w:eastAsia="Times New Roman" w:hAnsi="Times New Roman"/>
          <w:sz w:val="24"/>
          <w:szCs w:val="24"/>
        </w:rPr>
        <w:t>[31]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[32]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[33] R. E. Mayer, "Evidence-based principles for how to design effective instructional videos," Journal of Applied Research in Memory and Cognition, vol. 10, no. 2, pp. 229–240, 2021, doi: 10.1016/j.jarmac.2021.03.007.</w:t>
      </w:r>
    </w:p>
    <w:p>
      <w:pPr>
        <w:spacing w:after="120" w:line="300"/>
        <w:ind w:left="709" w:hanging="709"/>
        <w:jc w:val="left"/>
      </w:pPr>
      <w:r>
        <w:rPr>
          <w:rFonts w:ascii="Times New Roman" w:cs="Times New Roman" w:eastAsia="Times New Roman" w:hAnsi="Times New Roman"/>
          <w:sz w:val="24"/>
          <w:szCs w:val="24"/>
        </w:rPr>
        <w:t>[34]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[35]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[36]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709" w:hanging="709"/>
        <w:jc w:val="left"/>
      </w:pPr>
      <w:r>
        <w:rPr>
          <w:rFonts w:ascii="Times New Roman" w:cs="Times New Roman" w:eastAsia="Times New Roman" w:hAnsi="Times New Roman"/>
          <w:sz w:val="24"/>
          <w:szCs w:val="24"/>
        </w:rPr>
        <w:t>[37]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[38] W. X. Zhao et al., "A survey of large language models," 2023, arXiv:2303.18223.</w:t>
      </w:r>
    </w:p>
    <w:p>
      <w:pPr>
        <w:spacing w:after="120" w:line="300"/>
        <w:ind w:left="709" w:hanging="709"/>
        <w:jc w:val="left"/>
      </w:pPr>
      <w:r>
        <w:rPr>
          <w:rFonts w:ascii="Times New Roman" w:cs="Times New Roman" w:eastAsia="Times New Roman" w:hAnsi="Times New Roman"/>
          <w:sz w:val="24"/>
          <w:szCs w:val="24"/>
        </w:rPr>
        <w:t>[39] Y. Gao et al., "Retrieval-augmented generation for large language models: A survey," 2023, arXiv:2312.10997.</w:t>
      </w:r>
    </w:p>
    <w:p>
      <w:pPr>
        <w:spacing w:after="120" w:line="300"/>
        <w:ind w:left="709" w:hanging="709"/>
        <w:jc w:val="left"/>
      </w:pPr>
      <w:r>
        <w:rPr>
          <w:rFonts w:ascii="Times New Roman" w:cs="Times New Roman" w:eastAsia="Times New Roman" w:hAnsi="Times New Roman"/>
          <w:sz w:val="24"/>
          <w:szCs w:val="24"/>
        </w:rPr>
        <w:t>[40]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709" w:hanging="709"/>
        <w:jc w:val="left"/>
      </w:pPr>
      <w:r>
        <w:rPr>
          <w:rFonts w:ascii="Times New Roman" w:cs="Times New Roman" w:eastAsia="Times New Roman" w:hAnsi="Times New Roman"/>
          <w:sz w:val="24"/>
          <w:szCs w:val="24"/>
        </w:rPr>
        <w:t>[41]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709" w:hanging="709"/>
        <w:jc w:val="left"/>
      </w:pPr>
      <w:r>
        <w:rPr>
          <w:rFonts w:ascii="Times New Roman" w:cs="Times New Roman" w:eastAsia="Times New Roman" w:hAnsi="Times New Roman"/>
          <w:sz w:val="24"/>
          <w:szCs w:val="24"/>
        </w:rPr>
        <w:t>[42] Z. Wang, S.-Y. Gong, S. Xu, and X.-E. Hu, "Elaborated feedback and learning: Examining cognitive and motivational influences," Computers &amp; Education, vol. 136, pp. 130–140, 2019, doi: 10.1016/j.compedu.2019.04.003.</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2026-08-27T17:12:33.883Z</dcterms:created>
  <dcterms:modified xsi:type="dcterms:W3CDTF">2026-08-27T17:12:33.883Z</dcterms:modified>
</cp:coreProperties>
</file>

<file path=docProps/custom.xml><?xml version="1.0" encoding="utf-8"?>
<Properties xmlns="http://schemas.openxmlformats.org/officeDocument/2006/custom-properties" xmlns:vt="http://schemas.openxmlformats.org/officeDocument/2006/docPropsVTypes"/>
</file>