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jc w:val="center"/>
      </w:pPr>
      <w:r>
        <w:rPr>
          <w:rFonts w:ascii="Times New Roman" w:cs="Times New Roman" w:eastAsia="Times New Roman" w:hAnsi="Times New Roman"/>
          <w:b/>
          <w:bCs/>
          <w:sz w:val="26"/>
          <w:szCs w:val="26"/>
        </w:rPr>
        <w:t xml:space="preserve">УНИВЕРСИТЕТ ПО БИБЛИОТЕКОЗНАНИЕ И ИНФОРМАЦИОННИ ТЕХНОЛОГИИ</w:t>
      </w:r>
    </w:p>
    <w:p>
      <w:pPr>
        <w:spacing w:after="1800" w:before="0"/>
        <w:jc w:val="center"/>
      </w:pPr>
      <w:r>
        <w:rPr>
          <w:rFonts w:ascii="Times New Roman" w:cs="Times New Roman" w:eastAsia="Times New Roman" w:hAnsi="Times New Roman"/>
          <w:b w:val="false"/>
          <w:bCs w:val="false"/>
          <w:sz w:val="24"/>
          <w:szCs w:val="24"/>
        </w:rPr>
        <w:t xml:space="preserve">[Факултет / Катедра — попълни]</w:t>
      </w:r>
    </w:p>
    <w:p>
      <w:pPr>
        <w:spacing w:after="400" w:before="0"/>
        <w:jc w:val="center"/>
      </w:pPr>
      <w:r>
        <w:rPr>
          <w:rFonts w:ascii="Times New Roman" w:cs="Times New Roman" w:eastAsia="Times New Roman" w:hAnsi="Times New Roman"/>
          <w:b/>
          <w:bCs/>
          <w:sz w:val="36"/>
          <w:szCs w:val="36"/>
        </w:rPr>
        <w:t xml:space="preserve">НАУЧНОИЗСЛЕДОВАТЕЛСКИ ПРОЕКТ</w:t>
      </w:r>
    </w:p>
    <w:p>
      <w:pPr>
        <w:spacing w:after="120" w:before="0"/>
        <w:jc w:val="center"/>
      </w:pPr>
      <w:r>
        <w:rPr>
          <w:rFonts w:ascii="Times New Roman" w:cs="Times New Roman" w:eastAsia="Times New Roman" w:hAnsi="Times New Roman"/>
          <w:b w:val="false"/>
          <w:bCs w:val="false"/>
          <w:sz w:val="24"/>
          <w:szCs w:val="24"/>
        </w:rPr>
        <w:t xml:space="preserve">на тема:</w:t>
      </w:r>
    </w:p>
    <w:p>
      <w:pPr>
        <w:spacing w:after="2400" w:before="0"/>
        <w:jc w:val="center"/>
      </w:pPr>
      <w:r>
        <w:rPr>
          <w:rFonts w:ascii="Times New Roman" w:cs="Times New Roman" w:eastAsia="Times New Roman" w:hAnsi="Times New Roman"/>
          <w:b/>
          <w:bCs/>
          <w:sz w:val="28"/>
          <w:szCs w:val="28"/>
        </w:rPr>
        <w:t xml:space="preserve">„[Одобрената тема на научноизследователския проект — попълни]“</w:t>
      </w:r>
    </w:p>
    <w:p>
      <w:pPr>
        <w:spacing w:after="120" w:before="0"/>
        <w:jc w:val="center"/>
      </w:pPr>
      <w:r>
        <w:rPr>
          <w:rFonts w:ascii="Times New Roman" w:cs="Times New Roman" w:eastAsia="Times New Roman" w:hAnsi="Times New Roman"/>
          <w:b w:val="false"/>
          <w:bCs w:val="false"/>
          <w:sz w:val="24"/>
          <w:szCs w:val="24"/>
        </w:rPr>
        <w:t xml:space="preserve">Изготвил: Александър Гръмов, фак. № [попълни]</w:t>
      </w:r>
    </w:p>
    <w:p>
      <w:pPr>
        <w:spacing w:after="1200" w:before="0"/>
        <w:jc w:val="center"/>
      </w:pPr>
      <w:r>
        <w:rPr>
          <w:rFonts w:ascii="Times New Roman" w:cs="Times New Roman" w:eastAsia="Times New Roman" w:hAnsi="Times New Roman"/>
          <w:b w:val="false"/>
          <w:bCs w:val="false"/>
          <w:sz w:val="24"/>
          <w:szCs w:val="24"/>
        </w:rPr>
        <w:t xml:space="preserve">Научен ръководител: [титла и име]</w:t>
      </w:r>
    </w:p>
    <w:p>
      <w:pPr>
        <w:spacing w:after="120" w:before="0"/>
        <w:jc w:val="center"/>
      </w:pPr>
      <w:r>
        <w:rPr>
          <w:rFonts w:ascii="Times New Roman" w:cs="Times New Roman" w:eastAsia="Times New Roman" w:hAnsi="Times New Roman"/>
          <w:b w:val="false"/>
          <w:bCs w:val="false"/>
          <w:sz w:val="24"/>
          <w:szCs w:val="24"/>
        </w:rPr>
        <w:t xml:space="preserve">София, 2026 г.</w:t>
      </w:r>
    </w:p>
    <w:p>
      <w:r>
        <w:br w:type="page"/>
      </w:r>
    </w:p>
    <w:p>
      <w:pPr>
        <w:pStyle w:val="Heading1"/>
      </w:pPr>
      <w:r>
        <w:rPr>
          <w:rFonts w:ascii="Times New Roman" w:cs="Times New Roman" w:eastAsia="Times New Roman" w:hAnsi="Times New Roman"/>
          <w:b/>
          <w:bCs/>
          <w:sz w:val="28"/>
          <w:szCs w:val="28"/>
        </w:rPr>
        <w:t xml:space="preserve">ГЛАВА ПЪРВА. Теоретични основи на електронното учебно съдържание и приложението на генеративни инструменти с изкуствен интелект</w:t>
      </w:r>
    </w:p>
    <w:p>
      <w:pPr>
        <w:pStyle w:val="Heading2"/>
      </w:pPr>
      <w:r>
        <w:rPr>
          <w:rFonts w:ascii="Times New Roman" w:cs="Times New Roman" w:eastAsia="Times New Roman" w:hAnsi="Times New Roman"/>
          <w:b/>
          <w:bCs/>
          <w:sz w:val="26"/>
          <w:szCs w:val="26"/>
        </w:rPr>
        <w:t xml:space="preserve">1.1. Същност и видове електронно учебно съдържание</w:t>
      </w:r>
    </w:p>
    <w:p>
      <w:pPr>
        <w:spacing w:after="120" w:line="360"/>
        <w:ind w:firstLine="709"/>
        <w:jc w:val="both"/>
      </w:pPr>
      <w:r>
        <w:rPr>
          <w:rFonts w:ascii="Times New Roman" w:cs="Times New Roman" w:eastAsia="Times New Roman" w:hAnsi="Times New Roman"/>
          <w:sz w:val="24"/>
          <w:szCs w:val="24"/>
        </w:rPr>
        <w:t xml:space="preserve">Първа глава изгражда теоретичната основа, върху която стъпва цялото изследване, и следва логика от общото към частното. Първите две точки установяват какво представлява електронното учебно съдържание и на какви педагогически изисквания трябва да отговаря то — независимо от начина, по който е създадено. Следващите три насочват вниманието към генеративните инструменти: тяхната същност и принцип на действие, начините на използването им при разработване на учебни материали и произтичащите от това предимства и рискове за образователната практика. Шестата точка очертава нормативната рамка — етичните, правните и академичните изисквания, а седмата разглежда съществуващите подходи за оценяване на качеството и установява защо те са недостатъчни за съдържанието, създадено с генеративни инструменти. Изводите обобщават установеното и извеждат изследователската празнина, която определя предмета на следващите глави.</w:t>
      </w:r>
    </w:p>
    <w:p>
      <w:pPr>
        <w:spacing w:after="120" w:line="360"/>
        <w:ind w:firstLine="709"/>
        <w:jc w:val="both"/>
      </w:pPr>
      <w:r>
        <w:rPr>
          <w:rFonts w:ascii="Times New Roman" w:cs="Times New Roman" w:eastAsia="Times New Roman" w:hAnsi="Times New Roman"/>
          <w:sz w:val="24"/>
          <w:szCs w:val="24"/>
        </w:rPr>
        <w:t>В научната литература електронното учебно съдържание се определя най-общо като съвкупност от учебни материали в цифров формат, предназначени да подпомогнат постигането на предварително формулирани учебни цели и достъпни за обучаемия чрез електронно устройство. Консенсусната дефиниция, изведена чрез международно експертно проучване, определя електронното обучение като подход към преподаването и ученето, който представя изцяло или отчасти прилагания образователен модел и се основава на използването на електронни средства и устройства като инструменти за подобряване на достъпа до обучение, комуникацията и взаимодействието [11]. Определящият признак следователно е образователният модел, а електронните средства са инструменти в него. Върху тази основа в настоящата разработка се възприема работната позиция, че електронното учебно съдържание следва да се дефинира чрез функциите, които изпълнява в учебния процес, и чрез формите на представяне на информацията, а не чрез конкретния технологичен носител — носителите се променят бързо, докато функциите и формите остават относително устойчиви и именно те подлежат на оценяване на качеството.</w:t>
      </w:r>
    </w:p>
    <w:p>
      <w:pPr>
        <w:spacing w:after="120" w:line="360"/>
        <w:ind w:firstLine="709"/>
        <w:jc w:val="both"/>
      </w:pPr>
      <w:r>
        <w:rPr>
          <w:rFonts w:ascii="Times New Roman" w:cs="Times New Roman" w:eastAsia="Times New Roman" w:hAnsi="Times New Roman"/>
          <w:sz w:val="24"/>
          <w:szCs w:val="24"/>
        </w:rPr>
        <w:t xml:space="preserve">Понятието се нуждае и от разграничаване от съседни на него термини, които в практиката често се смесват. Електронното обучение обозначава формата на организация на учебния процес; електронната образователна среда — технологичната платформа, в която той протича; а електронното учебно съдържание е самият учебен материал, който средата поднася и формата организира. Разграничението не е схоластично: то определя обекта на оценяване. Може да бъде оценявана средата — по използваемост и надеждност; може да бъде оценявана формата на обучение — по учебни резултати; настоящата работа оценява третото — конкретния материал, отделен както от платформата, през която се доставя, така и от курса, в който се вписва.</w:t>
      </w:r>
    </w:p>
    <w:p>
      <w:pPr>
        <w:spacing w:after="120" w:line="360"/>
        <w:ind w:firstLine="709"/>
        <w:jc w:val="both"/>
      </w:pPr>
      <w:r>
        <w:rPr>
          <w:rFonts w:ascii="Times New Roman" w:cs="Times New Roman" w:eastAsia="Times New Roman" w:hAnsi="Times New Roman"/>
          <w:sz w:val="24"/>
          <w:szCs w:val="24"/>
        </w:rPr>
        <w:t>От тази дефиниция произтичат и основните характеристики на електронното учебно съдържание. На първо място стои цифровият формат, който позволява мултимодалност — едновременно използване на текст, изображение, звук и видео в един учебен ресурс. Следват модулността и повторната използваемост: съдържанието може да бъде разделяно на самостоятелни единици, комбинирани в различни учебни курсове и контексти. Трета характеристика е интерактивността — възможността обучаемият да взаимодейства със съдържанието, а не само да го възприема. Към тях се добавят независимостта от време и място на достъпа, възможността за адаптиране към индивидуалните потребности на обучаемия и проследимостта — цифровата среда регистрира кога и как съдържанието се използва, което създава предпоставки за обратна връзка и усъвършенстване. Значимостта на работата с дигитални ресурси за съвременния преподавател е призната и на рамково равнище: в европейската рамка за дигитална компетентност на преподавателите DigCompEdu подборът, създаването, модифицирането и управлението на дигитални ресурси са обособени като самостоятелна компетентностна област [13, обл. 2].</w:t>
      </w:r>
    </w:p>
    <w:p>
      <w:pPr>
        <w:spacing w:after="120" w:line="360"/>
        <w:ind w:firstLine="709"/>
        <w:jc w:val="both"/>
      </w:pPr>
      <w:r>
        <w:rPr>
          <w:rFonts w:ascii="Times New Roman" w:cs="Times New Roman" w:eastAsia="Times New Roman" w:hAnsi="Times New Roman"/>
          <w:sz w:val="24"/>
          <w:szCs w:val="24"/>
        </w:rPr>
        <w:t xml:space="preserve">По отношение на функциите електронното учебно съдържание обслужва няколко основни дидактически задачи: представяне на ново учебно знание; илюстриране и конкретизиране чрез примери и визуализации; упражняване и затвърдяване на усвоеното; проверка и оценяване с обратна връзка към обучаемия; организиране и насочване на самоподготовката. Един и същ електронен ресурс често комбинира няколко от тези функции — например електронният урок съчетава представяне, илюстриране и елементи на самопроверка — поради което функционалната характеристика описва тежестта на отделните функции в ресурса, а не взаимно изключващи се категории.</w:t>
      </w:r>
    </w:p>
    <w:p>
      <w:pPr>
        <w:spacing w:after="120" w:line="360"/>
        <w:ind w:firstLine="709"/>
        <w:jc w:val="both"/>
      </w:pPr>
      <w:r>
        <w:rPr>
          <w:rFonts w:ascii="Times New Roman" w:cs="Times New Roman" w:eastAsia="Times New Roman" w:hAnsi="Times New Roman"/>
          <w:sz w:val="24"/>
          <w:szCs w:val="24"/>
        </w:rPr>
        <w:t xml:space="preserve">Съществено за по-нататъшното изложение е и разграничението между съдържание и учебен ресурс. Един и същ текст може да бъде използван като справочен материал, като основа за урок или като част от изпитен комплект; учебната му функция се определя не само от съдържанието, но и от начина, по който е поставен в учебния процес. Затова оценяването на качеството винаги предполага деклариран контекст — за кого е предназначен материалът и каква цел обслужва. Без този контекст част от критериите губят смисъл: не може да се прецени дали изложението е прекалено сложно, ако не е известно за кого е писано. Това изискване по-късно се превръща в изрична нулева стъпка на процедурата за оценяване.</w:t>
      </w:r>
    </w:p>
    <w:p>
      <w:pPr>
        <w:spacing w:after="120" w:line="360"/>
        <w:ind w:firstLine="709"/>
        <w:jc w:val="both"/>
      </w:pPr>
      <w:r>
        <w:rPr>
          <w:rFonts w:ascii="Times New Roman" w:cs="Times New Roman" w:eastAsia="Times New Roman" w:hAnsi="Times New Roman"/>
          <w:sz w:val="24"/>
          <w:szCs w:val="24"/>
        </w:rPr>
        <w:t>По форма на представяне електронното учебно съдържание обхваща текстови материали, статични визуални елементи (изображения, схеми, графики), аудио- и видеоматериали, анимации, интерактивни компоненти (симулации, упражнения с обратна връзка) и тестови форми. Изследванията върху мултимедийното учене показват, че комбинирането на словесна и визуална информация по правило води до по-добри учебни резултати от представянето само на текст, но единствено при спазване на установени принципи на дизайна — например съгласуваност между текст и изображение и изключване на несъщественото съдържание; в противен случай мултимедията може да затрудни, а не да подпомогне ученето [33]. Систематичните прегледи на използването на мултимедия във висшето образование потвърждават както широкото ѝ навлизане, така и зависимостта на ефектите от качеството на дидактическия дизайн [18].</w:t>
      </w:r>
    </w:p>
    <w:p>
      <w:pPr>
        <w:spacing w:after="120" w:line="360"/>
        <w:ind w:firstLine="709"/>
        <w:jc w:val="both"/>
      </w:pPr>
      <w:r>
        <w:rPr>
          <w:rFonts w:ascii="Times New Roman" w:cs="Times New Roman" w:eastAsia="Times New Roman" w:hAnsi="Times New Roman"/>
          <w:sz w:val="24"/>
          <w:szCs w:val="24"/>
        </w:rPr>
        <w:t>Особено измерение на видовото разнообразие е режимът на достъп и повторно използване. Част от електронното учебно съдържание се разпространява като отворени образователни ресурси — материали под отворен лиценз, който позволява безплатен достъп, повторно използване, адаптиране и разпространение. Значението на този режим е признато на международно равнище с препоръката на ЮНЕСКО за отворените образователни ресурси, която обвързва отвореното лицензиране с достъпа до качествено образование и с изграждането на капацитет за създаване, адаптиране и споделяне на такива ресурси [37]. За настоящата работа това измерение е съществено по две причини: първо, повторното използване и адаптирането предполагат оценима изходна стойност на материала — адаптира се това, което си струва; и второ, генерираното съдържание усложнява именно въпросите, които отвореното лицензиране урежда — произход, авторство и право на преработка.</w:t>
      </w:r>
    </w:p>
    <w:p>
      <w:pPr>
        <w:spacing w:after="120" w:line="360"/>
        <w:ind w:firstLine="709"/>
        <w:jc w:val="both"/>
      </w:pPr>
      <w:r>
        <w:rPr>
          <w:rFonts w:ascii="Times New Roman" w:cs="Times New Roman" w:eastAsia="Times New Roman" w:hAnsi="Times New Roman"/>
          <w:sz w:val="24"/>
          <w:szCs w:val="24"/>
        </w:rPr>
        <w:t>Систематизацията на видовете има и утвърдена стандартизационна основа. В литературата и в стандартите отделната единица електронно съдържание се описва чрез понятието учебен обект — всяка единица, цифрова или не, използвана за учене, образование или обучение. Международният стандарт за метаданни на учебни обекти определя структура от девет категории описателни характеристики, сред които образователната категория включва точно признаците, разгледани по-горе: вид на ресурса, равнище на интерактивност, целева аудитория и типично учебно време [24]. Съществуването на такъв стандарт показва, че модулността, повторната използваемост и описуемостта на електронното съдържание не са пожелателни качества, а отдавна формализирани характеристики на полето. Същевременно стандартът очертава и границата, която настоящата работа преминава: метаданните описват материала отвън — какъв е, за кого е, колко време изисква — но не се произнасят за качеството му отвътре; описателният стандарт и оценъчният модел са допълващи се, а не конкурентни инструменти.</w:t>
      </w:r>
    </w:p>
    <w:p>
      <w:pPr>
        <w:spacing w:after="120" w:line="360"/>
        <w:ind w:firstLine="709"/>
        <w:jc w:val="both"/>
      </w:pPr>
      <w:r>
        <w:rPr>
          <w:rFonts w:ascii="Times New Roman" w:cs="Times New Roman" w:eastAsia="Times New Roman" w:hAnsi="Times New Roman"/>
          <w:sz w:val="24"/>
          <w:szCs w:val="24"/>
        </w:rPr>
        <w:t xml:space="preserve">Видовото разнообразие следва да се разглежда и през жизнения цикъл на електронното съдържание. Един учебен ресурс преминава през създаване, преглед и одобряване, публикуване в учебна среда, използване, поддръжка и актуализиране, и накрая архивиране или замяна. Оценяването на качеството има място на два възела от този цикъл: на входа, преди материалът да достигне до обучаеми, и при поддръжката, когато съдържанието трябва да бъде проверявано за актуалност спрямо развитието на предметната област. Генеративните инструменти скъсяват драстично първата фаза — създаването — без да променят нито един от останалите етапи; точно това разместване прави входният контрол по-важен, а не по-маловажен: колкото по-евтино е създаването, толкова повече материали достигат до прегледа и толкова по-систематичен трябва да бъде той.</w:t>
      </w:r>
    </w:p>
    <w:p>
      <w:pPr>
        <w:spacing w:after="120" w:line="360"/>
        <w:ind w:firstLine="709"/>
        <w:jc w:val="both"/>
      </w:pPr>
      <w:r>
        <w:rPr>
          <w:rFonts w:ascii="Times New Roman" w:cs="Times New Roman" w:eastAsia="Times New Roman" w:hAnsi="Times New Roman"/>
          <w:sz w:val="24"/>
          <w:szCs w:val="24"/>
        </w:rPr>
        <w:t>Отделно внимание заслужава темпото, с което съдържанието остарява, тъй като то се различава драстично между предметните области и определя честотата на необходимата проверка. В областите с бавно развиващо се фундаментално знание учебният материал може да остане валиден десетилетия; в бързо развиващите се технологични области — например разработката на софтуер — препоръчаните практики, версиите на инструментите и дори терминологията се променят в рамките на месеци, а натрупаното техническо съдържание остарява по-бързо, отколкото се обновява. Емпиричното изследване на остарелите отговори в най-голямата платформа за програмистки въпроси установява, че над половината от тях (58,4 на сто) са били остарели още при публикуването си, а едва една пета (20,5 на сто) някога биват обновени [23]. За настоящата работа това има двойно значение: то обяснява защо критерият за актуалност е обособен самостоятелно, а не включен в общата фактическа коректност, и защо апробирането е насочено именно към бързо развиваща се област — там несъответствието между времето на обучителните данни и настоящия момент се проявява най-отчетливо.</w:t>
      </w:r>
    </w:p>
    <w:p>
      <w:pPr>
        <w:spacing w:after="120" w:line="360"/>
        <w:ind w:firstLine="709"/>
        <w:jc w:val="both"/>
      </w:pPr>
      <w:r>
        <w:rPr>
          <w:rFonts w:ascii="Times New Roman" w:cs="Times New Roman" w:eastAsia="Times New Roman" w:hAnsi="Times New Roman"/>
          <w:sz w:val="24"/>
          <w:szCs w:val="24"/>
        </w:rPr>
        <w:t>Върху тази основа видовете електронно учебно съдържание могат да бъдат систематизирани по четири класификационни оси. Първата е формата на представяне, разгледана по-горе. Втората е доминиращата дидактическа функция, по която се разграничават електронен урок или учебен модул, електронна презентация, тестови въпроси и задачи, указания и обобщения за самоподготовка, справочни и допълнителни материали. Третата ос е степента на интерактивност — от рецептивно съдържание, предназначено само за възприемане, през интерактивно, изискващо действия от обучаемия, до адаптивно, което се променя според неговото поведение. Четвъртата ос е произходът на съдържанието. Ръководството на 1EdTech за съдържание, създадено с генеративен изкуствен интелект, степенува този признак в пет равнища — от съдържание, създадено от човек с минимална машинна помощ, през водено от човека и обогатено машинно, съвместно създадено под човешко ръководство и машинно доминирано с човешки надзор, до изцяло машинно генерирано с минимален или никакъв човешки контрол [12]. Съществено е, че генеративно създаденото съдържание не представлява нов вид по форма или функция — то възпроизвежда познатите видове електронни ресурси, но с принципно различен процес на създаване и с различен профил на рисковете за качеството.</w:t>
      </w:r>
    </w:p>
    <w:p>
      <w:pPr>
        <w:spacing w:after="120" w:line="360"/>
        <w:ind w:firstLine="709"/>
        <w:jc w:val="both"/>
      </w:pPr>
      <w:r>
        <w:rPr>
          <w:rFonts w:ascii="Times New Roman" w:cs="Times New Roman" w:eastAsia="Times New Roman" w:hAnsi="Times New Roman"/>
          <w:sz w:val="24"/>
          <w:szCs w:val="24"/>
        </w:rPr>
        <w:t xml:space="preserve">Накрая, оста на произхода заслужава разгръщане, защото с нея е свързан и контролът на качеството. Институционално създаваното съдържание — учебници, официални курсове — по правило преминава редакционен и рецензионен процес; съдържанието, създавано от отделния преподавател, се опира на неговата експертиза и понякога на колегиален преглед; съдържанието, създавано от самите обучаеми, се използва с изрична уговорка за статута му. Генеративно създаденото съдържание е единственият масов вид, който по подразбиране не преминава през никакъв утвърден контролен механизъм: то се произвежда извън редакционни процеси, а привидната му завършеност не подсказва нужда от преглед. Тази асиметрия между произход и контрол е още една формулировка на празнината, която настоящата работа адресира.</w:t>
      </w:r>
    </w:p>
    <w:p>
      <w:pPr>
        <w:spacing w:after="120" w:line="360"/>
        <w:ind w:firstLine="709"/>
        <w:jc w:val="both"/>
      </w:pPr>
      <w:r>
        <w:rPr>
          <w:rFonts w:ascii="Times New Roman" w:cs="Times New Roman" w:eastAsia="Times New Roman" w:hAnsi="Times New Roman"/>
          <w:sz w:val="24"/>
          <w:szCs w:val="24"/>
        </w:rPr>
        <w:t xml:space="preserve">За целите на настоящата разработка, и в съответствие с препоръчителното ограничение на обхвата, апробирането на предложения модел ще се съсредоточи върху два-три вида електронно учебно съдържание — електронен урок или учебен модул, тестови въпроси и кратки указания или обобщения за самоподготовка. Този подбор покрива трите основни функции на електронното съдържание (представяне на знание, оценяване, организиране на самоподготовката) и същевременно съответства на видовете, които най-често се създават с генеративни инструменти. След като са изяснени същността, функциите и видовете на електронното учебно съдържание, следващият логичен въпрос е на какви педагогически изисквания трябва да отговаря то, за да изпълнява ефективно предназначението си — предмет на следващата точка.</w:t>
      </w:r>
    </w:p>
    <w:p>
      <w:pPr>
        <w:spacing w:after="120" w:before="200"/>
        <w:jc w:val="center"/>
      </w:pPr>
      <w:r>
        <w:rPr>
          <w:rFonts w:ascii="Times New Roman" w:cs="Times New Roman" w:eastAsia="Times New Roman" w:hAnsi="Times New Roman"/>
          <w:i/>
          <w:iCs/>
          <w:sz w:val="20"/>
          <w:szCs w:val="20"/>
        </w:rPr>
        <w:t xml:space="preserve">Таблица 1. Класификационни оси на електронното учебно съдържание</w:t>
      </w:r>
    </w:p>
    <w:tbl>
      <w:tblPr>
        <w:tblW w:type="dxa" w:w="8765"/>
        <w:tblBorders>
          <w:top w:val="single" w:color="auto" w:sz="4"/>
          <w:left w:val="single" w:color="auto" w:sz="4"/>
          <w:bottom w:val="single" w:color="auto" w:sz="4"/>
          <w:right w:val="single" w:color="auto" w:sz="4"/>
          <w:insideH w:val="single" w:color="auto" w:sz="4"/>
          <w:insideV w:val="single" w:color="auto" w:sz="4"/>
        </w:tblBorders>
      </w:tblPr>
      <w:tblGrid>
        <w:gridCol w:w="1700"/>
        <w:gridCol w:w="3400"/>
        <w:gridCol w:w="3665"/>
      </w:tblGrid>
      <w:tr>
        <w:tc>
          <w:tcPr>
            <w:tcW w:type="dxa" w:w="17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Класификационна ос</w:t>
            </w:r>
          </w:p>
        </w:tc>
        <w:tc>
          <w:tcPr>
            <w:tcW w:type="dxa" w:w="34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Основни категории</w:t>
            </w:r>
          </w:p>
        </w:tc>
        <w:tc>
          <w:tcPr>
            <w:tcW w:type="dxa" w:w="3665"/>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Значение за оценяването</w:t>
            </w:r>
          </w:p>
        </w:tc>
      </w:tr>
      <w:tr>
        <w:tc>
          <w:tcPr>
            <w:tcW w:type="dxa" w:w="17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Форма на представяне</w:t>
            </w:r>
          </w:p>
        </w:tc>
        <w:tc>
          <w:tcPr>
            <w:tcW w:type="dxa" w:w="3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текст; статични визуални елементи; аудио и видео; анимации; интерактивни компоненти; тестови форми</w:t>
            </w:r>
          </w:p>
        </w:tc>
        <w:tc>
          <w:tcPr>
            <w:tcW w:type="dxa" w:w="366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определя кои показатели за организация и достъпност са приложими</w:t>
            </w:r>
          </w:p>
        </w:tc>
      </w:tr>
      <w:tr>
        <w:tc>
          <w:tcPr>
            <w:tcW w:type="dxa" w:w="17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Дидактическа функция</w:t>
            </w:r>
          </w:p>
        </w:tc>
        <w:tc>
          <w:tcPr>
            <w:tcW w:type="dxa" w:w="3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урок/модул; презентация; тестови въпроси; указания и обобщения; справочни материали</w:t>
            </w:r>
          </w:p>
        </w:tc>
        <w:tc>
          <w:tcPr>
            <w:tcW w:type="dxa" w:w="366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определя тежестта на отделните критерии в дидактическата област</w:t>
            </w:r>
          </w:p>
        </w:tc>
      </w:tr>
      <w:tr>
        <w:tc>
          <w:tcPr>
            <w:tcW w:type="dxa" w:w="17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Степен на интерактивност</w:t>
            </w:r>
          </w:p>
        </w:tc>
        <w:tc>
          <w:tcPr>
            <w:tcW w:type="dxa" w:w="3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рецептивно; интерактивно; адаптивно</w:t>
            </w:r>
          </w:p>
        </w:tc>
        <w:tc>
          <w:tcPr>
            <w:tcW w:type="dxa" w:w="366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определя приложимостта на показателите за активно учене и обратна връзка</w:t>
            </w:r>
          </w:p>
        </w:tc>
      </w:tr>
      <w:tr>
        <w:tc>
          <w:tcPr>
            <w:tcW w:type="dxa" w:w="17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Произход</w:t>
            </w:r>
          </w:p>
        </w:tc>
        <w:tc>
          <w:tcPr>
            <w:tcW w:type="dxa" w:w="3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авторско; адаптирано; генерирано с AI</w:t>
            </w:r>
          </w:p>
        </w:tc>
        <w:tc>
          <w:tcPr>
            <w:tcW w:type="dxa" w:w="366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определя профила на рисковете и необходимостта от специфични проверки</w:t>
            </w:r>
          </w:p>
        </w:tc>
      </w:tr>
    </w:tbl>
    <w:p>
      <w:pPr>
        <w:pStyle w:val="Heading2"/>
      </w:pPr>
      <w:r>
        <w:rPr>
          <w:rFonts w:ascii="Times New Roman" w:cs="Times New Roman" w:eastAsia="Times New Roman" w:hAnsi="Times New Roman"/>
          <w:b/>
          <w:bCs/>
          <w:sz w:val="26"/>
          <w:szCs w:val="26"/>
        </w:rPr>
        <w:t xml:space="preserve">1.2. Педагогически изисквания към електронното учебно съдържание</w:t>
      </w:r>
    </w:p>
    <w:p>
      <w:pPr>
        <w:spacing w:after="120" w:line="360"/>
        <w:ind w:firstLine="709"/>
        <w:jc w:val="both"/>
      </w:pPr>
      <w:r>
        <w:rPr>
          <w:rFonts w:ascii="Times New Roman" w:cs="Times New Roman" w:eastAsia="Times New Roman" w:hAnsi="Times New Roman"/>
          <w:sz w:val="24"/>
          <w:szCs w:val="24"/>
        </w:rPr>
        <w:t xml:space="preserve">Цифровият формат сам по себе си не придава учебна стойност на съдържанието: един и същ материал може да бъде дидактически издържан или напълно негоден в зависимост от това как е замислен и организиран. Затова към електронното учебно съдържание се предявяват педагогически изисквания, които произтичат не от технологията, а от учебните цели и от закономерностите на човешкото учене. Тези изисквания могат да бъдат групирани в пет области: съответствие с учебните цели, структура и организация на изложението, достъпност, интерактивност и пригодност за самостоятелно електронно обучение.</w:t>
      </w:r>
    </w:p>
    <w:p>
      <w:pPr>
        <w:spacing w:after="120" w:line="360"/>
        <w:ind w:firstLine="709"/>
        <w:jc w:val="both"/>
      </w:pPr>
      <w:r>
        <w:rPr>
          <w:rFonts w:ascii="Times New Roman" w:cs="Times New Roman" w:eastAsia="Times New Roman" w:hAnsi="Times New Roman"/>
          <w:sz w:val="24"/>
          <w:szCs w:val="24"/>
        </w:rPr>
        <w:t>Изходната точка са учебните цели. Съдържанието се създава, за да бъдат постигнати предварително формулирани цели, и затова подборът на материала, учебните дейности и средствата за проверка трябва да са съгласувани с тях — включването на съдържание, което не обслужва нито една цел, е дефект, а не богатство. Като обобщение на общоприетите дидактически постановки Merrill извежда пет първи принципа на обучението: ученето се улеснява, когато обучаемият е въвлечен в решаването на реални задачи; когато наличното му знание се активира като основа за новото; когато новото знание му се демонстрира; когато той го прилага самостоятелно; и когато го интегрира в собствената си практика [29, с. 44–45]. Принципите са формулирани независимо от конкретната технология и затова са пригодни като изисквания към всякакво учебно съдържание — те описват какво съдържанието трябва да прави за обучаемия, а не как е произведено. Последното е съществено за настоящата работа: същите изисквания важат в еднаква степен за съдържание, създадено от преподавател, и за съдържание, генерирано с AI инструменти.</w:t>
      </w:r>
    </w:p>
    <w:p>
      <w:pPr>
        <w:spacing w:after="120" w:line="360"/>
        <w:ind w:firstLine="709"/>
        <w:jc w:val="both"/>
      </w:pPr>
      <w:r>
        <w:rPr>
          <w:rFonts w:ascii="Times New Roman" w:cs="Times New Roman" w:eastAsia="Times New Roman" w:hAnsi="Times New Roman"/>
          <w:sz w:val="24"/>
          <w:szCs w:val="24"/>
        </w:rPr>
        <w:t>Изискването за съответствие с целите има и утвърдена конструктивна рамка: принципът на конструктивното съгласуване, при който учебните цели, учебните дейности и средствата за оценяване се проектират като едно свързано цяло — тръгва се от намерените учебни резултати и от тях се извеждат както дейностите, така и проверката [25]. Приложен към електронното учебно съдържание, принципът дава прост и строг тест: за всеки елемент от материала трябва да може да се посочи целта, която той обслужва, и мястото, където постигането ѝ се проверява. Материал, който не издържа този тест, може да бъде информативен, но не е учебен в точния смисъл на думата — разграничение, което при генерираното съдържание придобива особена тежест, защото генериращият модел произвежда информативен текст без усилие, а учебен текст само по изключение.</w:t>
      </w:r>
    </w:p>
    <w:p>
      <w:pPr>
        <w:spacing w:after="120" w:line="360"/>
        <w:ind w:firstLine="709"/>
        <w:jc w:val="both"/>
      </w:pPr>
      <w:r>
        <w:rPr>
          <w:rFonts w:ascii="Times New Roman" w:cs="Times New Roman" w:eastAsia="Times New Roman" w:hAnsi="Times New Roman"/>
          <w:sz w:val="24"/>
          <w:szCs w:val="24"/>
        </w:rPr>
        <w:t>Зад изискванията за структура и обем стои и обща теоретична основа — теорията за когнитивното натоварване. Тя разграничава вътрешно натоварване, произтичащо от сложността на самия учебен материал, външно натоварване, породено от начина на представяне, и полезно натоварване, което в ревизираната формулировка на авторите не се добавя към общото натоварване, а преразпределя ресурсите на работната памет от външното към вътрешното; централното предписание е обработката, несъществена за ученето, да се сведе до минимум, а съществената за него — да се оптимизира [26]. Двадесетгодишното развитие на теорията е дало серия от емпирично проверени ефекти — за разработените примери, за разделеното внимание, за излишъка — които стоят в основата и на мултимедийните принципи. За изискванията към електронното съдържание следствията са преки: изложението да се сегментира според сложността, несъщественото да отпада, а новите умения да се въвеждат с работени примери преди самостоятелните задачи.</w:t>
      </w:r>
    </w:p>
    <w:p>
      <w:pPr>
        <w:spacing w:after="120" w:line="360"/>
        <w:ind w:firstLine="709"/>
        <w:jc w:val="both"/>
      </w:pPr>
      <w:r>
        <w:rPr>
          <w:rFonts w:ascii="Times New Roman" w:cs="Times New Roman" w:eastAsia="Times New Roman" w:hAnsi="Times New Roman"/>
          <w:sz w:val="24"/>
          <w:szCs w:val="24"/>
        </w:rPr>
        <w:t xml:space="preserve">Теорията за когнитивното натоварване има и специфично значение за генерираното съдържание. Езиковият модел не разполага с представа за работната памет на обучаемия и не управлява натоварването съзнателно: склонността му към многословие и към изчерпателност на всяка цена увеличава точно външното натоварване, което дидактически издържаният материал би минимизирал. Затова изискването за икономия на изложението не е стилистична препоръка, а когнитивно обосновано условие — всяко излишно изречение се конкурира за ограничен ресурс с ученето. Проверимото следствие, което по-късно влиза в модела, е двойно: материалът да не съдържа части без учебна функция и да въвежда сложността постепенно, а не наведнъж.</w:t>
      </w:r>
    </w:p>
    <w:p>
      <w:pPr>
        <w:spacing w:after="120" w:line="360"/>
        <w:ind w:firstLine="709"/>
        <w:jc w:val="both"/>
      </w:pPr>
      <w:r>
        <w:rPr>
          <w:rFonts w:ascii="Times New Roman" w:cs="Times New Roman" w:eastAsia="Times New Roman" w:hAnsi="Times New Roman"/>
          <w:sz w:val="24"/>
          <w:szCs w:val="24"/>
        </w:rPr>
        <w:t xml:space="preserve">Петте области изисквания се проявяват различно при различните видове съдържание, което има значение за оценяването. При електронния урок водещи са последователността, управлението на натоварването и активното учене; при тестовите въпроси — съответствието с целите, еднозначността на верния отговор и качеството на обратната връзка към всеки отговор; при указанията за самоподготовка — пълнотата и изпълнимостта на стъпките и предвиждането на типичните затруднения. Общата рамка остава една и съща, но тежестта на отделните изисквания се мести — обстоятелство, което всеки модел за оценяване трябва да отчете чрез тълкуване на критериите според вида на материала, а не чрез отделни системи от критерии за всеки вид.</w:t>
      </w:r>
    </w:p>
    <w:p>
      <w:pPr>
        <w:spacing w:after="120" w:line="360"/>
        <w:ind w:firstLine="709"/>
        <w:jc w:val="both"/>
      </w:pPr>
      <w:r>
        <w:rPr>
          <w:rFonts w:ascii="Times New Roman" w:cs="Times New Roman" w:eastAsia="Times New Roman" w:hAnsi="Times New Roman"/>
          <w:sz w:val="24"/>
          <w:szCs w:val="24"/>
        </w:rPr>
        <w:t xml:space="preserve">Изискванията към структурата имат и количествено измерение, което рядко се формулира изрично, но е съществено при оценяване: обемът на материала спрямо отделеното за него учебно време. Материал, замислен за едно занятие, но написан с обем за три, не е по-добър от по-краткия — той е неизползваем в предвидената форма и принуждава преподавателя или да го съкращава, или да пренарежда курса. Генерираното съдържание е особено податливо на този дефект по две причини: моделът няма представа за учебното време, а зададеният в заявката обем се спазва приблизително. Затова съответствието между обем, сложност и разполагаемо време влиза сред проверимите показатели, а не се приема за подразбиращо се.</w:t>
      </w:r>
    </w:p>
    <w:p>
      <w:pPr>
        <w:spacing w:after="120" w:line="360"/>
        <w:ind w:firstLine="709"/>
        <w:jc w:val="both"/>
      </w:pPr>
      <w:r>
        <w:rPr>
          <w:rFonts w:ascii="Times New Roman" w:cs="Times New Roman" w:eastAsia="Times New Roman" w:hAnsi="Times New Roman"/>
          <w:sz w:val="24"/>
          <w:szCs w:val="24"/>
        </w:rPr>
        <w:t>По отношение на структурата електронното учебно съдържание трябва да следва логическа последователност, съответстваща на учебната логика на дисциплината; да бъде разделено на по-малки смислови единици, които се усвояват стъпка по стъпка; и да въвежда ключовите понятия преди по-сложното изложение, което се опира на тях. Изследванията върху мултимедийното учене потвърждават ползата от сегментирането на съдържанието и от предварителната подготовка с основните понятия [33]. Към структурните изисквания спада и ясната навигация: обучаемият следва по всяко време да може да установи къде се намира в учебния материал, какво е усвоил и какво предстои.</w:t>
      </w:r>
    </w:p>
    <w:p>
      <w:pPr>
        <w:spacing w:after="120" w:line="360"/>
        <w:ind w:firstLine="709"/>
        <w:jc w:val="both"/>
      </w:pPr>
      <w:r>
        <w:rPr>
          <w:rFonts w:ascii="Times New Roman" w:cs="Times New Roman" w:eastAsia="Times New Roman" w:hAnsi="Times New Roman"/>
          <w:sz w:val="24"/>
          <w:szCs w:val="24"/>
        </w:rPr>
        <w:t>Изискването за достъпност има двоен смисъл. В технически смисъл съдържанието трябва да бъде използваемо на различни устройства и от обучаеми с различни възможности, включително от хора с увреждания. В когнитивен смисъл достъпността означава език, стил и начин на представяне, съобразени с предварителните знания, възрастта и особеностите на конкретната аудитория — съдържание, което е фактически вярно, но написано над равнището на обучаемите, не изпълнява предназначението си. В европейската рамка DigCompEdu изборът и създаването на дигитални ресурси изрично се обвързват с отчитането на конкретната учебна цел, контекста и характеристиките на обучаемите [13, обл. 2].</w:t>
      </w:r>
    </w:p>
    <w:p>
      <w:pPr>
        <w:spacing w:after="120" w:line="360"/>
        <w:ind w:firstLine="709"/>
        <w:jc w:val="both"/>
      </w:pPr>
      <w:r>
        <w:rPr>
          <w:rFonts w:ascii="Times New Roman" w:cs="Times New Roman" w:eastAsia="Times New Roman" w:hAnsi="Times New Roman"/>
          <w:sz w:val="24"/>
          <w:szCs w:val="24"/>
        </w:rPr>
        <w:t>Интерактивността е педагогически ценна само когато поражда учебна активност, а не механично взаимодействие с интерфейса. Изискванията към упражненията и проверката са няколко: взаимодействията да са достатъчно на брой за постигане на целта; задачите да отразяват реалните дейности, за които обучаемият се подготвя; и обратната връзка да бъде съдържателна. Експерименталното изследване на разгърнатата обратна връзка обаче показва, че ефектът ѝ е условен: подробното обяснение подобрява възприемането на обратната връзка и преноса на наученото при задачи със свободен отговор, но не и при въпроси с множествен избор [42]. Тези изисквания кореспондират пряко с принципа за прилагане на новото знание у Merrill: без упражнения с обратна връзка електронното съдържание остава само представяне на информация.</w:t>
      </w:r>
    </w:p>
    <w:p>
      <w:pPr>
        <w:spacing w:after="120" w:line="360"/>
        <w:ind w:firstLine="709"/>
        <w:jc w:val="both"/>
      </w:pPr>
      <w:r>
        <w:rPr>
          <w:rFonts w:ascii="Times New Roman" w:cs="Times New Roman" w:eastAsia="Times New Roman" w:hAnsi="Times New Roman"/>
          <w:sz w:val="24"/>
          <w:szCs w:val="24"/>
        </w:rPr>
        <w:t xml:space="preserve">Обратната връзка заслужава отделно внимание, защото е елементът, който най-често отсъства в генерираните материали. Педагогическата ѝ стойност не е в потвърждаването на верния отговор, а в обяснението: защо даден отговор е грешен, каква представа стои зад грешката и как тя се преодолява. В самостоятелното електронно обучение това изискване е още по-строго, тъй като обучаемият няма към кого да се обърне при затруднение — обратната връзка е единственият заместител на преподавателския отговор. Проверимият показател следователно засяга не наличието на верен отговор, а наличието и съдържателността на обяснението към него.</w:t>
      </w:r>
    </w:p>
    <w:p>
      <w:pPr>
        <w:spacing w:after="120" w:line="360"/>
        <w:ind w:firstLine="709"/>
        <w:jc w:val="both"/>
      </w:pPr>
      <w:r>
        <w:rPr>
          <w:rFonts w:ascii="Times New Roman" w:cs="Times New Roman" w:eastAsia="Times New Roman" w:hAnsi="Times New Roman"/>
          <w:sz w:val="24"/>
          <w:szCs w:val="24"/>
        </w:rPr>
        <w:t xml:space="preserve">Достъпността има и трето, организационно измерение, което често се пренебрегва: наличието на алтернативни пътища през съдържанието. Обучаемият, който вече владее част от материала, следва да може да я подмине; онзи, който се затруднява, следва да намери допълнително обяснение или пример. При печатните материали това се постига трудно; електронната среда го прави технически възможно, но само ако съдържанието е предвидено и структурирано за него. Генерираните материали по правило са линейни — те следват един път през темата, защото заявката е поискала текст, а не структура от възможни пътища. Това не е дефект в тесния смисъл, а ограничение, което проверяващият следва да отчита, когато преценява доколко материалът е готов за самостоятелно използване.</w:t>
      </w:r>
    </w:p>
    <w:p>
      <w:pPr>
        <w:spacing w:after="120" w:line="360"/>
        <w:ind w:firstLine="709"/>
        <w:jc w:val="both"/>
      </w:pPr>
      <w:r>
        <w:rPr>
          <w:rFonts w:ascii="Times New Roman" w:cs="Times New Roman" w:eastAsia="Times New Roman" w:hAnsi="Times New Roman"/>
          <w:sz w:val="24"/>
          <w:szCs w:val="24"/>
        </w:rPr>
        <w:t>Накрая, пригодността за електронно обучение обобщава спецификата на средата: за разлика от учебните материали, използвани в присъствено обучение, електронното съдържание често функционира без постоянното присъствие на преподавател. Оттук произтичат изисквания за пълнота и яснота на указанията, за самодостатъчност на изложението и за вградени възможности за самопроверка. Сравнителният анализ на ръководни документи за качество на онлайн учебни материали от различни образователни контексти показва, че описаните дотук педагогически и визуални изисквания се систематизират в проверими насоки за дизайн и оценяване: рубриката на Quality Matters за висшето образование ги подрежда в осем общи и четиридесет и четири конкретни ревизионни стандарта [32] — което подготвя прехода от изисквания към критерии, предмет на следващия етап от изследването. Преди това обаче е необходимо да се изясни какво представляват генеративните инструменти с изкуствен интелект, чието съдържание ще бъде обект на оценяване — задача на точка 1.3.</w:t>
      </w:r>
    </w:p>
    <w:p>
      <w:pPr>
        <w:spacing w:after="120" w:line="360"/>
        <w:ind w:firstLine="709"/>
        <w:jc w:val="both"/>
      </w:pPr>
      <w:r>
        <w:rPr>
          <w:rFonts w:ascii="Times New Roman" w:cs="Times New Roman" w:eastAsia="Times New Roman" w:hAnsi="Times New Roman"/>
          <w:sz w:val="24"/>
          <w:szCs w:val="24"/>
        </w:rPr>
        <w:t xml:space="preserve">Обобщено, петте области изисквания — съответствие с целите, структура, достъпност, интерактивност и пригодност за самостоятелно обучение — образуват съдържателната основа, върху която ще бъдат изградени критериите за качество. Тяхната стойност за настоящата работа е в това, че са формулирани независимо от начина на създаване на съдържанието: те не питат кой е написал материала, а какво материалът прави за обучаемия. Именно затова могат да бъдат приложени без изменение и към генерираното съдържание — с уточнението, направено по-горе, че при него вероятността да бъдат нарушени е систематично по-висока и че формата на изложението не е доказателство за тяхното изпълнение.</w:t>
      </w:r>
    </w:p>
    <w:p>
      <w:pPr>
        <w:pStyle w:val="Heading2"/>
      </w:pPr>
      <w:r>
        <w:rPr>
          <w:rFonts w:ascii="Times New Roman" w:cs="Times New Roman" w:eastAsia="Times New Roman" w:hAnsi="Times New Roman"/>
          <w:b/>
          <w:bCs/>
          <w:sz w:val="26"/>
          <w:szCs w:val="26"/>
        </w:rPr>
        <w:t xml:space="preserve">1.3. Същност и основни характеристики на генеративните инструменти с изкуствен интелект</w:t>
      </w:r>
    </w:p>
    <w:p>
      <w:pPr>
        <w:spacing w:after="120" w:line="360"/>
        <w:ind w:firstLine="709"/>
        <w:jc w:val="both"/>
      </w:pPr>
      <w:r>
        <w:rPr>
          <w:rFonts w:ascii="Times New Roman" w:cs="Times New Roman" w:eastAsia="Times New Roman" w:hAnsi="Times New Roman"/>
          <w:sz w:val="24"/>
          <w:szCs w:val="24"/>
        </w:rPr>
        <w:t>Под генеративни инструменти с изкуствен интелект в настоящата работа се разбират софтуерни системи, които създават ново съдържание — текст, изображения, аудио или програмен код — въз основа на заявка, формулирана от потребителя на естествен език. Изследванията върху приложението на генеративния изкуствен интелект в образованието нарастват рязко след пускането на ChatGPT през ноември 2022 г.: библиометричният анализ на полето отчита значителен и експоненциален ръст на публикациите през 2023 г. [40]. За целите на настоящото изследване интерес представляват преди всичко текстово-генериращите инструменти, тъй като именно те се използват за създаване на учебни текстове, тестови въпроси и указания — видовете съдържание, върху които ще бъде апробиран предложеният модел.</w:t>
      </w:r>
    </w:p>
    <w:p>
      <w:pPr>
        <w:spacing w:after="120" w:line="360"/>
        <w:ind w:firstLine="709"/>
        <w:jc w:val="both"/>
      </w:pPr>
      <w:r>
        <w:rPr>
          <w:rFonts w:ascii="Times New Roman" w:cs="Times New Roman" w:eastAsia="Times New Roman" w:hAnsi="Times New Roman"/>
          <w:sz w:val="24"/>
          <w:szCs w:val="24"/>
        </w:rPr>
        <w:t>За целите на оценяването е полезно да се уточнят три работни характеристики на тези модели. Първата е начинът на обработка на текста: моделът не работи с думи, а с по-малки единици, наречени токени, и на всяка стъпка избира следващата единица въз основа на вече генерираните [38]. Втората е контекстният прозорец — ограниченият обем текст, който моделът може да отчита едновременно. Емпиричните изследвания показват, че подадената информация не се използва еднакво надеждно по цялата си дължина: представянето се влошава осезаемо, когато същественото е разположено в средата на дълъг контекст, а не в началото или края му [30]. Третата е вероятностният подбор при генерирането: методите, основани на извадка, избират следващата единица от вероятностно разпределение, като запазват възможността да бъде избрана и всяка от останалите, поради което при едни и същи входни данни моделът може да произведе различни изходи [38].</w:t>
      </w:r>
    </w:p>
    <w:p>
      <w:pPr>
        <w:spacing w:after="120" w:line="360"/>
        <w:ind w:firstLine="709"/>
        <w:jc w:val="both"/>
      </w:pPr>
      <w:r>
        <w:rPr>
          <w:rFonts w:ascii="Times New Roman" w:cs="Times New Roman" w:eastAsia="Times New Roman" w:hAnsi="Times New Roman"/>
          <w:sz w:val="24"/>
          <w:szCs w:val="24"/>
        </w:rPr>
        <w:t xml:space="preserve">Третата характеристика има съществено методологическо следствие, което засяга пряко всяко апробиране: генерирането не е възпроизводимо в строгия смисъл. Две последователни заявки с идентичен текст могат да дадат материали с различно качество, а обновяването на модела от доставчика променя поведението му без предизвестие. Оттук следва, че оценката на конкретен генериран материал не е оценка на инструмента, който го е произвел — заключение, което ограничава обхвата на всяко апробиране, включително и на предстоящото, и подлежи на изрично деклариране.</w:t>
      </w:r>
    </w:p>
    <w:p>
      <w:pPr>
        <w:spacing w:after="120" w:line="360"/>
        <w:ind w:firstLine="709"/>
        <w:jc w:val="both"/>
      </w:pPr>
      <w:r>
        <w:rPr>
          <w:rFonts w:ascii="Times New Roman" w:cs="Times New Roman" w:eastAsia="Times New Roman" w:hAnsi="Times New Roman"/>
          <w:sz w:val="24"/>
          <w:szCs w:val="24"/>
        </w:rPr>
        <w:t>В основата на съвременните текстово-генериращи инструменти стоят големите езикови модели — невронни мрежи, обучени върху огромни текстови масиви да предсказват най-вероятното продължение на даден текст. Архитектурно те стъпват на трансформера и на механизма на самовнимание, а обучението им протича на два етапа — предварително обучение върху голям корпус и последваща настройка за конкретна задача, след която моделът произвежда свързан, стилистично издържан текст по практически всякаква тема [17]. Принципът на действие обаче остава вероятностен: моделът не извлича проверени факти от база знания, а генерира текст, който е статистически правдоподобен спрямо обучителните данни. От това следва основополагащо за настоящата работа разграничение — плавността и убедителността на изказа не са показател за неговата вярност. Езиковият модел може да формулира еднакво уверено както точно, така и невярно твърдение, защото механизмът на генериране не съдържа вътрешна проверка за истинност.</w:t>
      </w:r>
    </w:p>
    <w:p>
      <w:pPr>
        <w:spacing w:after="120" w:line="360"/>
        <w:ind w:firstLine="709"/>
        <w:jc w:val="both"/>
      </w:pPr>
      <w:r>
        <w:rPr>
          <w:rFonts w:ascii="Times New Roman" w:cs="Times New Roman" w:eastAsia="Times New Roman" w:hAnsi="Times New Roman"/>
          <w:sz w:val="24"/>
          <w:szCs w:val="24"/>
        </w:rPr>
        <w:t>Възможностите, които тези инструменти предлагат на образованието, са документирани в бързо растяща литература. За преподавателите те могат да подпомагат подготовката на учебни текстове, резюмета, примери, тестови въпроси и материали с различна степен на сложност, съобразени с конкретна аудитория; за обучаемите — да предоставят обяснения, отговори на въпроси и персонализирана подкрепа при самоподготовка [17]. Прегледът на полето обхваща приложения за оценяване, за персонализирана подкрепа на обучаемите и за интелигентни системи за обучение [40]. Общият знаменател на тези възможности е рязкото снижаване на разходите на време и усилия за създаване на учебни материали — дейност, която традиционно е сред най-трудоемките в преподавателската работа.</w:t>
      </w:r>
    </w:p>
    <w:p>
      <w:pPr>
        <w:spacing w:after="120" w:line="360"/>
        <w:ind w:firstLine="709"/>
        <w:jc w:val="both"/>
      </w:pPr>
      <w:r>
        <w:rPr>
          <w:rFonts w:ascii="Times New Roman" w:cs="Times New Roman" w:eastAsia="Times New Roman" w:hAnsi="Times New Roman"/>
          <w:sz w:val="24"/>
          <w:szCs w:val="24"/>
        </w:rPr>
        <w:t>Съществуват и технически подходи за ограничаване на описаните дефицити, които заслужават споменаване, защото очертават границите на постижимото. Допълнителното обучение върху специализирани данни може да приближи изхода до определен предметен или стилов профил, а генерирането, обогатено с извличане, привлича знание от външни бази данни и според систематичния преглед на подхода повишава точността и достоверността на изхода, като същевременно позволява непрекъснато обновяване на знанието и включване на предметно специфична информация [39]. И двата подхода обаче изместват проблема, вместо да го премахнат: качеството на изхода става зависимо от качеството и актуалността на подадените данни, а проверката остава необходима, защото моделът продължава да преформулира извлеченото със собствени думи. Систематизациите на халюцинациите достигат до същия извод — надеждното им отстраняване на равнище модел остава открит проблем [27].</w:t>
      </w:r>
    </w:p>
    <w:p>
      <w:pPr>
        <w:spacing w:after="120" w:line="360"/>
        <w:ind w:firstLine="709"/>
        <w:jc w:val="both"/>
      </w:pPr>
      <w:r>
        <w:rPr>
          <w:rFonts w:ascii="Times New Roman" w:cs="Times New Roman" w:eastAsia="Times New Roman" w:hAnsi="Times New Roman"/>
          <w:sz w:val="24"/>
          <w:szCs w:val="24"/>
        </w:rPr>
        <w:t>Срещу тези възможности стоят ограничения, които имат пряко отношение към качеството на генерираното учебно съдържание. Най-същественото от тях са т.нар. халюцинации — фактически неверни твърдения, измислени източници или несъществуващи данни, поднесени с езикова увереност, неразличима от тази на верните твърдения. Към тях се добавят зависимостта от обучителните данни, която ограничава актуалността на информацията и възпроизвежда съдържащите се в данните пристрастия и неравномерно покритие на отделни области и езици; склонността към шаблонни, повърхностни формулировки при по-сложни теми; и липсата на действително разбиране на предметната област и на педагогически замисъл — моделът имитира формата на учебния текст, без да носи отговорност за неговата дидактическа логика [17]. Тези ограничения не са дефекти на отделни продукти, които предстои да бъдат отстранени с следваща версия, а следствия от самия принцип на действие.</w:t>
      </w:r>
    </w:p>
    <w:p>
      <w:pPr>
        <w:spacing w:after="120" w:line="360"/>
        <w:ind w:firstLine="709"/>
        <w:jc w:val="both"/>
      </w:pPr>
      <w:r>
        <w:rPr>
          <w:rFonts w:ascii="Times New Roman" w:cs="Times New Roman" w:eastAsia="Times New Roman" w:hAnsi="Times New Roman"/>
          <w:sz w:val="24"/>
          <w:szCs w:val="24"/>
        </w:rPr>
        <w:t>Сред изброените ограничения халюцинациите заслужават отделно внимание, защото около тях се е обособило самостоятелно изследователско поле. Систематизациите разграничават фактологични халюцинации — противоречие с установими факти — и халюцинации на верността, при които генерираният текст се отклонява от подадения контекст или инструкция; проследяват причините им по цялата верига от обучителните данни през обучението до самото генериране; и стигат до отрезвяващ извод: надеждното откриване и отстраняване на халюцинациите на равнище модел остава открит изследователски проблем [27]. За настоящата работа този извод има пряко следствие — щом самите създатели на моделите не могат да гарантират отсъствие на халюцинации, проверката на изхода не е временна предпазна мярка до следващата, по-добра версия, а постоянен елемент от отговорната употреба.</w:t>
      </w:r>
    </w:p>
    <w:p>
      <w:pPr>
        <w:spacing w:after="120" w:line="360"/>
        <w:ind w:firstLine="709"/>
        <w:jc w:val="both"/>
      </w:pPr>
      <w:r>
        <w:rPr>
          <w:rFonts w:ascii="Times New Roman" w:cs="Times New Roman" w:eastAsia="Times New Roman" w:hAnsi="Times New Roman"/>
          <w:sz w:val="24"/>
          <w:szCs w:val="24"/>
        </w:rPr>
        <w:t xml:space="preserve">Отвъд текста стои и мултимодалното генериране, което разширява обхвата на разглежданите инструменти. Съвременните системи произвеждат изображения по текстово описание, преобразуват текст в реч и обратно, а най-новите поколения създават кратки видеопоследователности. За електронното учебно съдържание това означава възможност за автоматично изготвяне на илюстрации, схеми, аудиоверсии на учебни текстове и субтитри — тоест на точно тези елементи, които правят материала мултимодален и по-достъпен. Рисковете обаче се пренасят и в новите модалности, при това с нови форми: генерираното изображение може да съдържа фактически невярна схема, неправилно означени елементи или неразбираем текст в самата графика, а синтезираната реч може да поставя погрешно ударение върху термини. Настоящата работа съзнателно ограничава обхвата си до текстово съдържание, тъй като оценяването на визуални и звукови материали изисква отделна система от критерии; разширяването в тази посока е посочено сред насоките за бъдещо развитие.</w:t>
      </w:r>
    </w:p>
    <w:p>
      <w:pPr>
        <w:spacing w:after="120" w:line="360"/>
        <w:ind w:firstLine="709"/>
        <w:jc w:val="both"/>
      </w:pPr>
      <w:r>
        <w:rPr>
          <w:rFonts w:ascii="Times New Roman" w:cs="Times New Roman" w:eastAsia="Times New Roman" w:hAnsi="Times New Roman"/>
          <w:sz w:val="24"/>
          <w:szCs w:val="24"/>
        </w:rPr>
        <w:t xml:space="preserve">Полезно е да се очертаят и режимите на човешко участие, тъй като те определят къде в процеса може да бъде вграден контролът. При първия режим човекът одобрява всяка стъпка: заявка, резултат, корекция, следваща заявка. При втория човекът задава рамката и одобрява крайния резултат, без да следи междинните стъпки. При третия системата работи автономно, а човекът се намесва само при сигнал за проблем. Съотношението между тези режими и необходимата проверка е обратно пропорционално: колкото по-малко е междинното участие, толкова по-обстойна трябва да бъде крайната проверка. Масовата практика днес се разполага между първия и втория режим, което определя и предназначението на модела за оценяване — той е инструмент за крайната проверка, приложим и в двата случая.</w:t>
      </w:r>
    </w:p>
    <w:p>
      <w:pPr>
        <w:spacing w:after="120" w:line="360"/>
        <w:ind w:firstLine="709"/>
        <w:jc w:val="both"/>
      </w:pPr>
      <w:r>
        <w:rPr>
          <w:rFonts w:ascii="Times New Roman" w:cs="Times New Roman" w:eastAsia="Times New Roman" w:hAnsi="Times New Roman"/>
          <w:sz w:val="24"/>
          <w:szCs w:val="24"/>
        </w:rPr>
        <w:t xml:space="preserve">Оттук произтича и централният за настоящата работа извод: възможностите и ограниченията на генеративните инструменти имат общ корен — вероятностния механизъм на генериране. Същото свойство, което прави инструмента продуктивен и гъвкав, прави изхода му структурно негарантиран по отношение на вярност, дидактическа пригодност и оригиналност. На равнището на самия инструмент не съществува вградена гаранция за качество; тя може да бъде осигурена единствено чрез външна, систематична проверка, извършена от човек с предметна и педагогическа компетентност. Именно това обстоятелство обосновава необходимостта от модел за оценяване на качеството на AI-генерирано учебно съдържание — какъвто настоящата работа си поставя за цел да разработи.</w:t>
      </w:r>
    </w:p>
    <w:p>
      <w:pPr>
        <w:spacing w:after="120" w:line="360"/>
        <w:ind w:firstLine="709"/>
        <w:jc w:val="both"/>
      </w:pPr>
      <w:r>
        <w:rPr>
          <w:rFonts w:ascii="Times New Roman" w:cs="Times New Roman" w:eastAsia="Times New Roman" w:hAnsi="Times New Roman"/>
          <w:sz w:val="24"/>
          <w:szCs w:val="24"/>
        </w:rPr>
        <w:t xml:space="preserve">Обобщено, характеристиките на генеративните инструменти, разгледани в настоящата точка, могат да бъдат сведени до четири положения, съществени за по-нататъшния анализ. Първо, изходът е вероятностен, следователно невъзпроизводим и структурно негарантиран по вярност. Второ, плавността на изказа е свойство на механизма и не носи информация за качеството на съдържанието. Трето, знанието на модела е фиксирано към минал момент и не се обновява, което поражда системен риск от неактуалност в бързо развиващи се области. Четвърто, отстраняването на тези ограничения на равнище модел остава нерешен изследователски проблем, поради което външната проверка не е временна мярка, а постоянен елемент от отговорната употреба. Тези четири положения се използват на много места в следващите точки и в основата на критериите за качество.</w:t>
      </w:r>
    </w:p>
    <w:p>
      <w:pPr>
        <w:spacing w:after="120" w:line="360"/>
        <w:ind w:firstLine="709"/>
        <w:jc w:val="both"/>
      </w:pPr>
      <w:r>
        <w:rPr>
          <w:rFonts w:ascii="Times New Roman" w:cs="Times New Roman" w:eastAsia="Times New Roman" w:hAnsi="Times New Roman"/>
          <w:sz w:val="24"/>
          <w:szCs w:val="24"/>
        </w:rPr>
        <w:t xml:space="preserve">След като са изяснени принципът на действие и границите на генеративните инструменти, следващата стъпка е да се разгледа конкретно как те се използват при разработването на учебни материали — какви подходи, работни процеси и равнища на автоматизация се обособяват в практиката и в литературата. Това е предмет на точка 1.4.</w:t>
      </w:r>
    </w:p>
    <w:p>
      <w:pPr>
        <w:pStyle w:val="Heading2"/>
      </w:pPr>
      <w:r>
        <w:rPr>
          <w:rFonts w:ascii="Times New Roman" w:cs="Times New Roman" w:eastAsia="Times New Roman" w:hAnsi="Times New Roman"/>
          <w:b/>
          <w:bCs/>
          <w:sz w:val="26"/>
          <w:szCs w:val="26"/>
        </w:rPr>
        <w:t xml:space="preserve">1.4. Възможности за използване на генеративни AI инструменти при разработване на учебни материали</w:t>
      </w:r>
    </w:p>
    <w:p>
      <w:pPr>
        <w:spacing w:after="120" w:line="360"/>
        <w:ind w:firstLine="709"/>
        <w:jc w:val="both"/>
      </w:pPr>
      <w:r>
        <w:rPr>
          <w:rFonts w:ascii="Times New Roman" w:cs="Times New Roman" w:eastAsia="Times New Roman" w:hAnsi="Times New Roman"/>
          <w:sz w:val="24"/>
          <w:szCs w:val="24"/>
        </w:rPr>
        <w:t>Установените в предходната точка възможности на генеративните инструменти се реализират при разработването на учебни материали по твърде различни начини. Прегледът на литературата показва, че приложенията не са еднородни: те се различават по степента на автоматизация и по мястото, което заема човекът в процеса на създаване. За целите на анализа те са подредени тук на три равнища — подпомогнато създаване чрез диалог, структурирани рамкови подходи и автономни системни реализации. Прегледът на полето обхваща приложения в целия учебен процес, без да предлага такава степенувана класификация [40].</w:t>
      </w:r>
    </w:p>
    <w:p>
      <w:pPr>
        <w:spacing w:after="120" w:line="360"/>
        <w:ind w:firstLine="709"/>
        <w:jc w:val="both"/>
      </w:pPr>
      <w:r>
        <w:rPr>
          <w:rFonts w:ascii="Times New Roman" w:cs="Times New Roman" w:eastAsia="Times New Roman" w:hAnsi="Times New Roman"/>
          <w:sz w:val="24"/>
          <w:szCs w:val="24"/>
        </w:rPr>
        <w:t>Първото и най-разпространено равнище е подпомогнатото създаване: преподавателят взаимодейства с инструмента чрез диалогов интерфейс и възлага отделни, ясно очертани задачи — изготвяне на учебни текстове по зададена тема и за определена аудитория, резюмета на по-обемни материали, примери и казуси, тестови въпроси от различни типове, указания за самостоятелна работа [17]. Тук авторството остава изцяло у преподавателя: инструментът произвежда чернови, които той подбира, коригира и одобрява. Качеството на резултата зависи както от умението да се формулират заявки, така и — решаващо — от предметната и педагогическата компетентност на проверяващия, тъй като всяка генерирана чернова подлежи на преценка още в хода на диалога.</w:t>
      </w:r>
    </w:p>
    <w:p>
      <w:pPr>
        <w:spacing w:after="120" w:line="360"/>
        <w:ind w:firstLine="709"/>
        <w:jc w:val="both"/>
      </w:pPr>
      <w:r>
        <w:rPr>
          <w:rFonts w:ascii="Times New Roman" w:cs="Times New Roman" w:eastAsia="Times New Roman" w:hAnsi="Times New Roman"/>
          <w:sz w:val="24"/>
          <w:szCs w:val="24"/>
        </w:rPr>
        <w:t>Второто равнище са рамковите подходи, които се стремят да дисциплинират това взаимодействие. Рамката GAIDE предлага систематизиран процес за използване на генеративни инструменти при разработване на курсово съдържание — от структурирането на заявките през итеративното усъвършенстване на резултатите до тяхната проверка и вграждане в курса [16]. По-широк поглед дава интегративният преглед на Chai и колектив върху 71 публикации, който картографира приложенията на генеративния изкуствен интелект по петте фази на класическия модел за инструкционен дизайн ADDIE — анализ, проектиране, разработване, внедряване и оценяване — и показва, че инструментите навлизат не само във фазата на разработване на съдържание, но по цялата верига на дизайнерския процес [15]. Общото между тези подходи е, че те вграждат проверката на качеството като изричен етап в работния процес, вместо да я оставят на преценката на момента.</w:t>
      </w:r>
    </w:p>
    <w:p>
      <w:pPr>
        <w:spacing w:after="120" w:line="360"/>
        <w:ind w:firstLine="709"/>
        <w:jc w:val="both"/>
      </w:pPr>
      <w:r>
        <w:rPr>
          <w:rFonts w:ascii="Times New Roman" w:cs="Times New Roman" w:eastAsia="Times New Roman" w:hAnsi="Times New Roman"/>
          <w:sz w:val="24"/>
          <w:szCs w:val="24"/>
        </w:rPr>
        <w:t>Между рамковите подходи и напълно автономните системи се разполага и трето, приложно направление — специализираните образователни платформи, проектирани за конкретна предметна област. Показателен пример от българската практика е концептуалният дизайн на платформа за обучение по дентална анатомия, в която се предвижда адаптивен алгоритъм да изгражда индивидуален профил на обучаемия, да генерира клинични сценарии и тестове съобразно равнището му и да анализира допуснатите грешки [3]. Такива решения показват накъде води логиката на вграждания контрол: колкото по-специализирана е платформата, толкова по-плътно педагогическите ограничения се вграждат в самото генериране. Същевременно те остават недостъпни за преподавателя, който работи с общодостъпен диалогов инструмент — а именно тази масова практика е предмет на настоящата работа.</w:t>
      </w:r>
    </w:p>
    <w:p>
      <w:pPr>
        <w:spacing w:after="120" w:line="360"/>
        <w:ind w:firstLine="709"/>
        <w:jc w:val="both"/>
      </w:pPr>
      <w:r>
        <w:rPr>
          <w:rFonts w:ascii="Times New Roman" w:cs="Times New Roman" w:eastAsia="Times New Roman" w:hAnsi="Times New Roman"/>
          <w:sz w:val="24"/>
          <w:szCs w:val="24"/>
        </w:rPr>
        <w:t>Третото равнище са системните реализации, при които генерирането е поверено на специализирана система, а не на диалог между преподавател и модел. Рамката COGENT генерира образователно съдържание, съобразено с учебната програма и с равнището на обучаемите, като вгражда педагогически ограничения — съответствие с програмата и контрол върху сложността на езика — направо в процеса на генериране [41]. Още по-далеч отива системата Instructional Agents — мулти-агентна архитектура, в която езикови модели изпълняват ролите на екип по инструкционен дизайн и създават от край до край комплект курсови материали, включително учебна програма, презентации и средства за оценяване, с изрично заявената цел да се намали натоварването на преподавателския състав; системата предвижда четири режима на човешко участие — автономен, направляван по каталог, направляван чрез обратна връзка и режим на пълно съвместно управление, което позволява гъвкав контрол върху степента на човешка намеса [22].</w:t>
      </w:r>
    </w:p>
    <w:p>
      <w:pPr>
        <w:spacing w:after="120" w:line="360"/>
        <w:ind w:firstLine="709"/>
        <w:jc w:val="both"/>
      </w:pPr>
      <w:r>
        <w:rPr>
          <w:rFonts w:ascii="Times New Roman" w:cs="Times New Roman" w:eastAsia="Times New Roman" w:hAnsi="Times New Roman"/>
          <w:sz w:val="24"/>
          <w:szCs w:val="24"/>
        </w:rPr>
        <w:t>Описаните равнища намират потвърждение и в българската практика. Прегледът на около 130 източника за приложението на изкуствения интелект в обучението по програмиране обобщава публикувани данни, според които генеративните инструменти вече се използват от преподаватели за съставяне на планове на занятия, генериране на задачи и на въпроси с множествен избор, като студентите не разпознават машинния произход на задачите и ги възприемат като подходящи по трудност [8]. Този резултат е показателен в две посоки: потвърждава практическата приложимост на инструментите и едновременно с това илюстрира централния проблем на работата — че възприеманото качество не е свидетелство за действителното. Публикувано описание на инструментален работен процес в българско висше училище посочва значително съкращаване на времето за подготовка на стандартни учебни материали [6], което илюстрира стимула за масово навлизане на тези практики.</w:t>
      </w:r>
    </w:p>
    <w:p>
      <w:pPr>
        <w:spacing w:after="120" w:line="360"/>
        <w:ind w:firstLine="709"/>
        <w:jc w:val="both"/>
      </w:pPr>
      <w:r>
        <w:rPr>
          <w:rFonts w:ascii="Times New Roman" w:cs="Times New Roman" w:eastAsia="Times New Roman" w:hAnsi="Times New Roman"/>
          <w:sz w:val="24"/>
          <w:szCs w:val="24"/>
        </w:rPr>
        <w:t xml:space="preserve">Най-подробно документираният български опит с генериране на тестови въпроси илюстрира и трите равнища едновременно. Разработена в морско висше училище система обработва над 656 000 знака учебен текст на български и английски език и генерира 553 въпроса с множествен избор, като работният процес в осем стъпки задължително включва одобрение от преподавателя преди записване на всеки въпрос [2]. Съобщеният дял на въпросите, годни за пряка употреба, е между 95 и 99 на сто — резултат, който на пръв поглед поставя под въпрос необходимостта от систематична проверка. По-внимателният прочит обаче показва обратното: този дял е постигнат именно защото проверката е вградена като задължителна стъпка, а не защото инструментът произвежда годно съдържание сам по себе си. Показателно е и че наблюдаваната склонност на модела да формулира въпроси по тесен детайл вместо по водещото понятие е наложила въвеждането на отделна стъпка за задаване на концептуалната дълбочина — тоест дидактически дефицит е бил компенсиран с процедурно средство.</w:t>
      </w:r>
    </w:p>
    <w:p>
      <w:pPr>
        <w:spacing w:after="120" w:line="360"/>
        <w:ind w:firstLine="709"/>
        <w:jc w:val="both"/>
      </w:pPr>
      <w:r>
        <w:rPr>
          <w:rFonts w:ascii="Times New Roman" w:cs="Times New Roman" w:eastAsia="Times New Roman" w:hAnsi="Times New Roman"/>
          <w:sz w:val="24"/>
          <w:szCs w:val="24"/>
        </w:rPr>
        <w:t>Отделен фактор, който преминава през всички равнища, е формулирането на заявката. Практическо ръководство за преподаватели извежда набор от правила — определяне на роля, предоставяне на контекст за аудиторията и предварителните ѝ знания, конкретност на задачата, работа на стъпки и съчетаване на генерирания резултат със собствена експертиза [6]. Значението на този фактор за настоящата работа е двойствено. От една страна, добре формулираната заявка действително подобрява изхода и е първата линия на контрол върху качеството. От друга страна, тя не е гаранция: заявката определя какво е поискано, но не и дали полученото е вярно, а точно проверката на второто е предмет на модела. Затова и апробирането използва умерено структурирани заявки — такива, каквито реален преподавател би написал — а не максимално оптимизирани, тъй като предмет на изследването е типичната, а не идеалната практика.</w:t>
      </w:r>
    </w:p>
    <w:p>
      <w:pPr>
        <w:spacing w:after="120" w:line="360"/>
        <w:ind w:firstLine="709"/>
        <w:jc w:val="both"/>
      </w:pPr>
      <w:r>
        <w:rPr>
          <w:rFonts w:ascii="Times New Roman" w:cs="Times New Roman" w:eastAsia="Times New Roman" w:hAnsi="Times New Roman"/>
          <w:sz w:val="24"/>
          <w:szCs w:val="24"/>
        </w:rPr>
        <w:t xml:space="preserve">Съпоставката на трите равнища откроява закономерност с пряко значение за настоящата работа: колкото по-високо е равнището на автоматизация, толкова по-малко човешка проверка съпровожда отделните стъпки на създаването — и толкова по-голяма тежест пада върху проверката на крайния продукт. При подпомогнатото създаване контролът е вплетен в самия диалог; при рамковите подходи той е обособен етап от процеса; при системните реализации проверка на всяка стъпка на практика не съществува и единствената гаранция за качество остава систематичното оценяване на готовия материал. С други думи, моделът за оценяване, който настоящата работа си поставя за цел да разработи, е приложим и полезен на всяко от трите равнища, но с нарастването на автоматизацията той се превръща от помощно средство в единствен механизъм за гаранция на качеството.</w:t>
      </w:r>
    </w:p>
    <w:p>
      <w:pPr>
        <w:spacing w:after="120" w:line="360"/>
        <w:ind w:firstLine="709"/>
        <w:jc w:val="both"/>
      </w:pPr>
      <w:r>
        <w:rPr>
          <w:rFonts w:ascii="Times New Roman" w:cs="Times New Roman" w:eastAsia="Times New Roman" w:hAnsi="Times New Roman"/>
          <w:sz w:val="24"/>
          <w:szCs w:val="24"/>
        </w:rPr>
        <w:t xml:space="preserve">За апробирането е избрано първото равнище — създаване на материали чрез диалог с широкодостъпен генеративен инструмент — тъй като то отговаря на масовата практика на преподавателя, който няма достъп до специализирани системи. Очертаните дотук възможности обаче вървят ръка за ръка с предимства, ограничения и рискове, чиято систематизация в образователен контекст е необходима, преди да се премине към критериите за качество — задача на следващата точка.</w:t>
      </w:r>
    </w:p>
    <w:p>
      <w:pPr>
        <w:spacing w:after="120" w:line="360"/>
        <w:ind w:firstLine="709"/>
        <w:jc w:val="both"/>
      </w:pPr>
      <w:r>
        <w:rPr>
          <w:rFonts w:ascii="Times New Roman" w:cs="Times New Roman" w:eastAsia="Times New Roman" w:hAnsi="Times New Roman"/>
          <w:sz w:val="24"/>
          <w:szCs w:val="24"/>
        </w:rPr>
        <w:t xml:space="preserve">Трите равнища се различават и по един аспект, който рядко се обсъжда, но е съществен за оценяването — проследимостта на процеса. При диалоговото създаване преподавателят разполага с пълна история на заявките и отговорите и може да възстанови как е възникнал материалът. При рамковите подходи проследимостта е частична: процесът е документиран, но междинните стъпки често не се съхраняват. При системните реализации крайният потребител получава готов резултат без видимост към пътя, по който е стигнато до него. Тъй като едно от изискванията към отговорната употреба е именно документиран процес на създаване, различните равнища на автоматизация се оказват и различно способни да го изпълнят — обстоятелство, което по-нататък се отразява в показателите за прозрачност на произхода.</w:t>
      </w:r>
    </w:p>
    <w:p>
      <w:pPr>
        <w:pStyle w:val="Heading2"/>
      </w:pPr>
      <w:r>
        <w:rPr>
          <w:rFonts w:ascii="Times New Roman" w:cs="Times New Roman" w:eastAsia="Times New Roman" w:hAnsi="Times New Roman"/>
          <w:b/>
          <w:bCs/>
          <w:sz w:val="26"/>
          <w:szCs w:val="26"/>
        </w:rPr>
        <w:t xml:space="preserve">1.5. Предимства, ограничения и рискове при използването им в образованието</w:t>
      </w:r>
    </w:p>
    <w:p>
      <w:pPr>
        <w:spacing w:after="120" w:line="360"/>
        <w:ind w:firstLine="709"/>
        <w:jc w:val="both"/>
      </w:pPr>
      <w:r>
        <w:rPr>
          <w:rFonts w:ascii="Times New Roman" w:cs="Times New Roman" w:eastAsia="Times New Roman" w:hAnsi="Times New Roman"/>
          <w:sz w:val="24"/>
          <w:szCs w:val="24"/>
        </w:rPr>
        <w:t>Разгледаните дотук характеристики и приложения се отнасяха до самите инструменти; настоящата точка премества погледа към образователната практика — какво печелят и какво рискуват преподавателите, обучаемите и институциите, когато генеративни инструменти навлязат в създаването на учебно съдържание. Полезна систематизираща рамка предлага анализът на силните и слабите страни, възможностите и заплахите (SWOT) на генеративния изкуствен интелект в инструкционния дизайн [20], който подрежда разпръснатите в литературата наблюдения в четири взаимно свързани полета.</w:t>
      </w:r>
    </w:p>
    <w:p>
      <w:pPr>
        <w:spacing w:after="120" w:line="360"/>
        <w:ind w:firstLine="709"/>
        <w:jc w:val="both"/>
      </w:pPr>
      <w:r>
        <w:rPr>
          <w:rFonts w:ascii="Times New Roman" w:cs="Times New Roman" w:eastAsia="Times New Roman" w:hAnsi="Times New Roman"/>
          <w:sz w:val="24"/>
          <w:szCs w:val="24"/>
        </w:rPr>
        <w:t>Уместно е и едно историческо уточнение: изкуственият интелект в образованието не започва с генеративните инструменти. Систематичният преглед на изследванията за периода 2007–2018 г. документира богата предистория — профилиране и прогнозиране на успеваемостта, интелигентни туторни системи, адаптивно оценяване — но и системен дефицит: слаба обвързаност на разработките с педагогическата теория и ограничено участие на педагози в създаването им [31]. Генеративната вълна наследява този дефицит в изострен вид — нейните инструменти са създадени извън образованието и без педагогически замисъл, а навлизат в него по-бързо от всяка предходна технология. Това прави систематизирането на предимствата и рисковете не академично упражнение, а условие за информирани решения на всяко равнище, от отделния преподавател до институцията.</w:t>
      </w:r>
    </w:p>
    <w:p>
      <w:pPr>
        <w:spacing w:after="120" w:line="360"/>
        <w:ind w:firstLine="709"/>
        <w:jc w:val="both"/>
      </w:pPr>
      <w:r>
        <w:rPr>
          <w:rFonts w:ascii="Times New Roman" w:cs="Times New Roman" w:eastAsia="Times New Roman" w:hAnsi="Times New Roman"/>
          <w:sz w:val="24"/>
          <w:szCs w:val="24"/>
        </w:rPr>
        <w:t>Предимствата са концентрирани около производителността и обхвата. Генеративните инструменти намаляват натоварването на преподавателя при подготовката на учебни материали и разнообразяват учебните дейности и задачи, което прави възможно създаването на различни версии на един и същ материал — за различни равнища на подготовка, стилове на представяне и формати [20]. Към това прегледът на полето добавя персонализираната подкрепа на обучаемите и интелигентните системи за обучение [40]. Тези предимства обясняват бързото навлизане на инструментите в преподавателската практика — то не е мода, а отговор на реален дефицит на време и ресурси.</w:t>
      </w:r>
    </w:p>
    <w:p>
      <w:pPr>
        <w:spacing w:after="120" w:line="360"/>
        <w:ind w:firstLine="709"/>
        <w:jc w:val="both"/>
      </w:pPr>
      <w:r>
        <w:rPr>
          <w:rFonts w:ascii="Times New Roman" w:cs="Times New Roman" w:eastAsia="Times New Roman" w:hAnsi="Times New Roman"/>
          <w:sz w:val="24"/>
          <w:szCs w:val="24"/>
        </w:rPr>
        <w:t>Слабите страни обаче засягат ядрото на учебното съдържание — неговата надеждност и точност. Генерираните материали може да съдържат фактически грешки и измислени източници, поднесени убедително; качеството е неравномерно и трудно предвидимо между отделни заявки; при по-сложни теми изложението клони към повърхностност и общи формулировки; а произведеният текст често е педагогически плосък — коректен на пръв поглед, но без осъзната дидактическа логика [20]. Тези слабости бяха обяснени в точка 1.3 като следствия от вероятностния принцип на действие; тук е важно друго — че в образователен контекст те не са козметични дефекти, а директна заплаха за учебния процес, защото обучаемият по правило не е в състояние сам да разпознае грешката в материала, по който учи.</w:t>
      </w:r>
    </w:p>
    <w:p>
      <w:pPr>
        <w:spacing w:after="120" w:line="360"/>
        <w:ind w:firstLine="709"/>
        <w:jc w:val="both"/>
      </w:pPr>
      <w:r>
        <w:rPr>
          <w:rFonts w:ascii="Times New Roman" w:cs="Times New Roman" w:eastAsia="Times New Roman" w:hAnsi="Times New Roman"/>
          <w:sz w:val="24"/>
          <w:szCs w:val="24"/>
        </w:rPr>
        <w:t>Отвъд слабостите на самите материали стоят рисковете за образователната среда. На първо място е академичната коректност. Литературата отбелязва, че става все по-трудно да се различи машинно от човешко авторство [17]; при неотчетено използване това размива границата между собствен и чужд труд както при обучаемите, така и при преподавателите и авторите на учебни ресурси. Следва рискът от прекомерна зависимост: авторите на цитирания анализ поставят въпроса дали прехвърлянето на подготовката върху инструмента не лишава преподавателя от ценна възможност сам да се учи как да преподава по-добре [20]. Към него се добавят рисковете за личните данни при работа с комерсиални платформи, за които литературата извежда изискване политиките за събиране, съхранение и използване на данните да съответстват на действащата правна уредба [17], както и рискът от неравен достъп, при който качеството на учебните материали започва да зависи от достъпа до платени инструменти. Нито един от тези рискове не се отнася само до техниката — всички те засягат отношенията и отговорностите в образователния процес.</w:t>
      </w:r>
    </w:p>
    <w:p>
      <w:pPr>
        <w:spacing w:after="120" w:line="360"/>
        <w:ind w:firstLine="709"/>
        <w:jc w:val="both"/>
      </w:pPr>
      <w:r>
        <w:rPr>
          <w:rFonts w:ascii="Times New Roman" w:cs="Times New Roman" w:eastAsia="Times New Roman" w:hAnsi="Times New Roman"/>
          <w:sz w:val="24"/>
          <w:szCs w:val="24"/>
        </w:rPr>
        <w:t>Емпиричните данни за българския контекст очертават характерно разминаване между нагласи и практики. Проучване сред 68 педагогически специалисти от всички образователни степени установява положително отношение към образователните приложения на изкуствения интелект по три оценъчни скали, с около шестдесет на сто високи оценки по всяка от тях, но качественият анализ на реалните работни процеси показва, че реалната употреба изостава: преобладава инструментална логика на внедряване, а само отделни случаи достигат до трансформативна интеграция с педагогическа преработка на генерирания резултат [5]. Данните описват среда с висока готовност за използване на инструментите и все още неустановени практики за проверка на онова, което те произвеждат.</w:t>
      </w:r>
    </w:p>
    <w:p>
      <w:pPr>
        <w:spacing w:after="120" w:line="360"/>
        <w:ind w:firstLine="709"/>
        <w:jc w:val="both"/>
      </w:pPr>
      <w:r>
        <w:rPr>
          <w:rFonts w:ascii="Times New Roman" w:cs="Times New Roman" w:eastAsia="Times New Roman" w:hAnsi="Times New Roman"/>
          <w:sz w:val="24"/>
          <w:szCs w:val="24"/>
        </w:rPr>
        <w:t>Към рисковете за обучаемите българските публикации препращат и към данни за опасността от повърхностно усвояване, свързана с практиките на механично пренасяне на генерирания резултат; преодоляването ѝ се търси чрез педагогически подходи, при които инструментът подпомага, но не замества мисловния процес на обучаемия [4]. Двете страни на риска — за обучаемия, който заменя ученето с копиране, и за преподавателя, който заменя авторството с приемане на непроверен текст — имат общ корен: липсата на съзнателна преработка между генерирането и използването.</w:t>
      </w:r>
    </w:p>
    <w:p>
      <w:pPr>
        <w:spacing w:after="120" w:line="360"/>
        <w:ind w:firstLine="709"/>
        <w:jc w:val="both"/>
      </w:pPr>
      <w:r>
        <w:rPr>
          <w:rFonts w:ascii="Times New Roman" w:cs="Times New Roman" w:eastAsia="Times New Roman" w:hAnsi="Times New Roman"/>
          <w:sz w:val="24"/>
          <w:szCs w:val="24"/>
        </w:rPr>
        <w:t>Рисковете имат и институционално измерение, което често остава в сянката на индивидуалната употреба. Когато в едно висше училище стотици преподаватели започнат да използват генеративни инструменти без единни правила, институцията губи представа какъв дял от учебните ѝ ресурси е с машинен произход, по какви критерии е бил проверен и кой носи отговорност при установен дефект. Възниква и въпрос за съпоставимостта: два курса по една дисциплина могат да се окажат с различно качество на материалите не заради различна експертиза на преподавателите, а заради различни практики на проверка. Изследванията върху осигуряването на качеството извеждат именно оттук необходимостта интегрирането на изкуствения интелект да бъде вградено в институционалната рамка [36] — а вграждането предполага наличието на общ инструмент, по който проверката да се извършва и документира еднакво.</w:t>
      </w:r>
    </w:p>
    <w:p>
      <w:pPr>
        <w:spacing w:after="120" w:line="360"/>
        <w:ind w:firstLine="709"/>
        <w:jc w:val="both"/>
      </w:pPr>
      <w:r>
        <w:rPr>
          <w:rFonts w:ascii="Times New Roman" w:cs="Times New Roman" w:eastAsia="Times New Roman" w:hAnsi="Times New Roman"/>
          <w:sz w:val="24"/>
          <w:szCs w:val="24"/>
        </w:rPr>
        <w:t xml:space="preserve">Отделен въпрос е и разпределението на ползите и рисковете между участниците в образователния процес. Ползите от бързото създаване на съдържание се реализират непосредствено и се падат на създателя — преподавателя или институцията, които спестяват време и ресурс. Рисковете обаче се реализират отложено и се падат на обучаемия, който усвоява невярна информация, и на институцията, чиято репутация страда, когато това се разкрие. Тази асиметрия обяснява защо доброволната проверка не е достатъчна: онзи, който взема решението да използва генериран материал, не е онзи, който понася основната част от риска. Систематичното оценяване има смисъл именно като механизъм, който възстановява баланса — превръща отложения риск за обучаемия в непосредствено задължение за създателя.</w:t>
      </w:r>
    </w:p>
    <w:p>
      <w:pPr>
        <w:spacing w:after="120" w:line="360"/>
        <w:ind w:firstLine="709"/>
        <w:jc w:val="both"/>
      </w:pPr>
      <w:r>
        <w:rPr>
          <w:rFonts w:ascii="Times New Roman" w:cs="Times New Roman" w:eastAsia="Times New Roman" w:hAnsi="Times New Roman"/>
          <w:sz w:val="24"/>
          <w:szCs w:val="24"/>
        </w:rPr>
        <w:t>Отговорът на литературата не е отказ от инструментите, а отговорно използване. Цитираният източник извежда изискване за прозрачност, която позволява на потребителя да разбере изхода на модела и данните зад него, и за преглед и валидиране на генерираното от преподавател или специалист по предмета [17]. Балансът между полза и риск, с други думи, не се постига на равнище технология — той се решава на равнище практика, за всеки конкретен материал поотделно.</w:t>
      </w:r>
    </w:p>
    <w:p>
      <w:pPr>
        <w:spacing w:after="120" w:line="360"/>
        <w:ind w:firstLine="709"/>
        <w:jc w:val="both"/>
      </w:pPr>
      <w:r>
        <w:rPr>
          <w:rFonts w:ascii="Times New Roman" w:cs="Times New Roman" w:eastAsia="Times New Roman" w:hAnsi="Times New Roman"/>
          <w:sz w:val="24"/>
          <w:szCs w:val="24"/>
        </w:rPr>
        <w:t xml:space="preserve">Обобщено, разгледаните предимства, ограничения и рискове могат да бъдат подредени по адресат, което улеснява по-нататъшния анализ. За преподавателя основната полза е спестеното време, а основният риск — поемането на отговорност за съдържание, което не е създал и не е проверил. За обучаемия ползата е достъпът до повече и по-разнообразни материали, а рискът — усвояването на невярно знание, което той няма как да разпознае сам, и постепенното заместване на ученето с копиране. За институцията ползата е производителността на преподавателския състав, а рискът — загубата на контрол върху качеството на собствените ѝ ресурси и произтичащите от това репутационни и правни последици. Показателно е, че при всеки от трите адресата ползата настъпва веднага и е измерима, а рискът настъпва отложено и е труден за откриване — асиметрия, която обяснява защо предпазливостта отстъпва пред удобството и защо е необходим механизъм, който да я компенсира.</w:t>
      </w:r>
    </w:p>
    <w:p>
      <w:pPr>
        <w:spacing w:after="120" w:line="360"/>
        <w:ind w:firstLine="709"/>
        <w:jc w:val="both"/>
      </w:pPr>
      <w:r>
        <w:rPr>
          <w:rFonts w:ascii="Times New Roman" w:cs="Times New Roman" w:eastAsia="Times New Roman" w:hAnsi="Times New Roman"/>
          <w:sz w:val="24"/>
          <w:szCs w:val="24"/>
        </w:rPr>
        <w:t>Особено внимание заслужава един по-бавно проявяващ се риск — постепенната загуба на умения у самия преподавател. Създаването на учебни материали не е само производствена дейност: подготвяйки урок, преподавателят преосмисля структурата на материята, предвижда затрудненията на обучаемите и обновява собственото си разбиране. Прехвърлянето на тази дейност върху инструмент носи риск от отпадане и на скритата ѝ професионална полза. Изследванията върху взаимодействието с генеративни инструменти документират именно такъв риск: прекомерно доверие, повърхностно подражание и прекомерна зависимост от машинния изход [21].</w:t>
      </w:r>
    </w:p>
    <w:p>
      <w:pPr>
        <w:spacing w:after="120" w:line="360"/>
        <w:ind w:firstLine="709"/>
        <w:jc w:val="both"/>
      </w:pPr>
      <w:r>
        <w:rPr>
          <w:rFonts w:ascii="Times New Roman" w:cs="Times New Roman" w:eastAsia="Times New Roman" w:hAnsi="Times New Roman"/>
          <w:sz w:val="24"/>
          <w:szCs w:val="24"/>
        </w:rPr>
        <w:t xml:space="preserve">Оттук следва изводът, който свързва настоящата точка с останалата част на работата: границата между предимствата и рисковете минава през качеството на конкретния генериран материал и през процеса на неговата проверка. Същите инструменти, които спестяват време и разширяват възможностите, произвеждат и материалите с неравномерно качество — затова отговорното използване се нуждае от систематичен механизъм за оценяване, а не от добри намерения. Преди да се стигне до критериите за такова оценяване обаче, е необходимо да се очертаят етичните, правните и академичните изисквания, на които трябва да отговаря създаването на съдържание с изкуствен интелект — предмет на точка 1.6.</w:t>
      </w:r>
    </w:p>
    <w:p>
      <w:pPr>
        <w:pStyle w:val="Heading2"/>
      </w:pPr>
      <w:r>
        <w:rPr>
          <w:rFonts w:ascii="Times New Roman" w:cs="Times New Roman" w:eastAsia="Times New Roman" w:hAnsi="Times New Roman"/>
          <w:b/>
          <w:bCs/>
          <w:sz w:val="26"/>
          <w:szCs w:val="26"/>
        </w:rPr>
        <w:t xml:space="preserve">1.6. Етични, правни и академични изисквания при създаване на съдържание с AI</w:t>
      </w:r>
    </w:p>
    <w:p>
      <w:pPr>
        <w:spacing w:after="120" w:line="360"/>
        <w:ind w:firstLine="709"/>
        <w:jc w:val="both"/>
      </w:pPr>
      <w:r>
        <w:rPr>
          <w:rFonts w:ascii="Times New Roman" w:cs="Times New Roman" w:eastAsia="Times New Roman" w:hAnsi="Times New Roman"/>
          <w:sz w:val="24"/>
          <w:szCs w:val="24"/>
        </w:rPr>
        <w:t xml:space="preserve">Очертаните в предходната точка рискове не могат да бъдат управлявани само с добра воля — те пораждат конкретни етични, правни и академични изисквания към създаването на учебно съдържание с генеративни инструменти. Тези изисквания не са външна добавка към техническия процес, а условия за легитимното му използване в образованието; в настоящата точка те са разгледани в четири групи — авторство и отговорност, прозрачност, защита на данните и академична добросъвестност.</w:t>
      </w:r>
    </w:p>
    <w:p>
      <w:pPr>
        <w:spacing w:after="120" w:line="360"/>
        <w:ind w:firstLine="709"/>
        <w:jc w:val="both"/>
      </w:pPr>
      <w:r>
        <w:rPr>
          <w:rFonts w:ascii="Times New Roman" w:cs="Times New Roman" w:eastAsia="Times New Roman" w:hAnsi="Times New Roman"/>
          <w:sz w:val="24"/>
          <w:szCs w:val="24"/>
        </w:rPr>
        <w:t>Първото изискване засяга авторството и отговорността. Генеративният инструмент не е автор в правния и в академичния смисъл — той не носи и не може да носи отговорност за съдържанието, което произвежда, а правната уредба на произведенията, създадени с изкуствен интелект, остава неустановена и се развива различно в отделните юрисдикции. Устойчивото положение в образователната практика затова е функционално: литературата настоява генерираното съдържание да бъде преглеждано, валидирано и обяснявано от преподавателя [17], откъдето следва, че отговорността за учебния материал остава у човека, който го одобрява и предоставя на обучаемите, независимо каква част от текста е генерирана. Това изискване има пряко следствие за настоящата работа — щом отговорността е у човека, той се нуждае от систематичен инструмент, с който да я упражнява.</w:t>
      </w:r>
    </w:p>
    <w:p>
      <w:pPr>
        <w:spacing w:after="120" w:line="360"/>
        <w:ind w:firstLine="709"/>
        <w:jc w:val="both"/>
      </w:pPr>
      <w:r>
        <w:rPr>
          <w:rFonts w:ascii="Times New Roman" w:cs="Times New Roman" w:eastAsia="Times New Roman" w:hAnsi="Times New Roman"/>
          <w:sz w:val="24"/>
          <w:szCs w:val="24"/>
        </w:rPr>
        <w:t>Второто изискване е прозрачността. Използването на генеративни инструменти при създаване на учебно съдържание следва да бъде декларирано — пред институцията, а при съществена употреба и пред обучаемите. Прозрачността изпълнява двойна функция: тя е израз на почтеност към аудиторията и същевременно сигнал за проверяващия, че материалът принадлежи към категория с особен рисков профил и подлежи на съответната проверка. На институционално равнище това изискване се операционализира чрез правила и процедури: изследванията върху осигуряването на качеството във висшето образование показват, че интегрирането на изкуствения интелект изисква институционална координация — планове за внедряване, обучение на състава и показатели за оценка — а не само закупуване на технология [36].</w:t>
      </w:r>
    </w:p>
    <w:p>
      <w:pPr>
        <w:spacing w:after="120" w:line="360"/>
        <w:ind w:firstLine="709"/>
        <w:jc w:val="both"/>
      </w:pPr>
      <w:r>
        <w:rPr>
          <w:rFonts w:ascii="Times New Roman" w:cs="Times New Roman" w:eastAsia="Times New Roman" w:hAnsi="Times New Roman"/>
          <w:sz w:val="24"/>
          <w:szCs w:val="24"/>
        </w:rPr>
        <w:t>На международно равнище очертаните изисквания намират израз в специализираното ръководство на ЮНЕСКО за генеративния изкуствен интелект в образованието и научните изследвания — първият глобален документ от този род. То формулира човекоцентричен подход и извежда набор от политически мерки, сред които защита на човешката свобода на действие, наблюдение и валидиране на генеративните системи, изграждане на компетентности у обучаемите и преподавателите и насърчаване на приобщаването и езиковото многообразие [19]. Две от тези мерки имат пряко отношение към настоящата работа. Изискването за валидиране утвърждава, че генеративните системи и техните резултати подлежат на проверка, а не се приемат на доверие. Изискването за езиково многообразие пък насочва вниманието към обстоятелство, което по-нататък се потвърждава емпирично — че качеството на генерираното съдържание не е еднакво за всички езици и че езиците с по-слабо представяне в обучителните данни изискват по-внимателна проверка.</w:t>
      </w:r>
    </w:p>
    <w:p>
      <w:pPr>
        <w:spacing w:after="120" w:line="360"/>
        <w:ind w:firstLine="709"/>
        <w:jc w:val="both"/>
      </w:pPr>
      <w:r>
        <w:rPr>
          <w:rFonts w:ascii="Times New Roman" w:cs="Times New Roman" w:eastAsia="Times New Roman" w:hAnsi="Times New Roman"/>
          <w:sz w:val="24"/>
          <w:szCs w:val="24"/>
        </w:rPr>
        <w:t>Изискването за прозрачност може да бъде операционализирано доста конкретно. Предложената за българските висши училища регулаторна рамка за използване на изкуствен интелект в докторантското обучение определя декларацията за употреба като задължителен документ със строго определено съдържание: наименование на използваните инструменти, целта, за която е използван всеки от тях, частите на труда, при чието изготвяне е използван, и изрично потвърждение, че интелектуалното авторство на концепцията, анализа и изводите принадлежи на докторанта [1]. Същата рамка разграничава допустима от недопустима употреба по ясен критерий — инструментът може да улеснява рутинните операции, но не може да замества интелектуалния труд — и утвърждава принципа на неделимото авторство: авторът носи пълна отговорност за съдържанието независимо от степента на машинно асистиране. Пренесени върху създаването на учебно съдържание, тези четири елемента на декларацията са пряко приложими и по-нататък влизат в модела като проверим показател за прозрачност на произхода.</w:t>
      </w:r>
    </w:p>
    <w:p>
      <w:pPr>
        <w:spacing w:after="120" w:line="360"/>
        <w:ind w:firstLine="709"/>
        <w:jc w:val="both"/>
      </w:pPr>
      <w:r>
        <w:rPr>
          <w:rFonts w:ascii="Times New Roman" w:cs="Times New Roman" w:eastAsia="Times New Roman" w:hAnsi="Times New Roman"/>
          <w:sz w:val="24"/>
          <w:szCs w:val="24"/>
        </w:rPr>
        <w:t>Правната рамка на тези изисквания вече не е само национална или секторна. Регламентът на Европейския съюз за изкуствения интелект — първата хоризонтална правна уредба на ИИ — въвежда степенуван по риск подход към системите с изкуствен интелект и изрични задължения за прозрачност, включително изискването по чл. 50 генерираното или манипулирано съдържание да бъде маркирано в машинночетим формат и разпознаваемо като изкуствено създадено [34]. За образователния контекст е показателно, че регламентът причислява към високорисковите определени образователни употреби — системи, които определят достъпа до обучение или оценяват обучаеми — и с това утвърждава принципа, че колкото по-голямо е въздействието върху обучаемия, толкова по-строги са изискванията. Създаването на учебно съдържание не попада автоматично в най-строгата категория, но логиката е пряко приложима: материалът, по който се учи, въздейства върху всеки обучаем, който го използва, и заслужава съответната дължима грижа.</w:t>
      </w:r>
    </w:p>
    <w:p>
      <w:pPr>
        <w:spacing w:after="120" w:line="360"/>
        <w:ind w:firstLine="709"/>
        <w:jc w:val="both"/>
      </w:pPr>
      <w:r>
        <w:rPr>
          <w:rFonts w:ascii="Times New Roman" w:cs="Times New Roman" w:eastAsia="Times New Roman" w:hAnsi="Times New Roman"/>
          <w:sz w:val="24"/>
          <w:szCs w:val="24"/>
        </w:rPr>
        <w:t xml:space="preserve">Между европейската правна рамка и практиката на отделния преподавател стои институционалното и националното равнище, което в българския контекст все още се изгражда. Анализите на приложението на изкуствения интелект в българската образователна система формулират като първо условие за отговорно внедряване наличието на ясна национална рамка с етични стандарти, механизми за защита на личните данни и критерии за оценка на ефективността, следвана от системно развитие на компетентността на преподавателите — не само техническа, но и етична [9]. Настоящата работа се вписва именно в тази втора линия: моделът за оценяване е инструмент, чрез който общите изисквания за отговорна употреба се превръщат в изпълними действия на равнището на конкретния учебен материал.</w:t>
      </w:r>
    </w:p>
    <w:p>
      <w:pPr>
        <w:spacing w:after="120" w:line="360"/>
        <w:ind w:firstLine="709"/>
        <w:jc w:val="both"/>
      </w:pPr>
      <w:r>
        <w:rPr>
          <w:rFonts w:ascii="Times New Roman" w:cs="Times New Roman" w:eastAsia="Times New Roman" w:hAnsi="Times New Roman"/>
          <w:sz w:val="24"/>
          <w:szCs w:val="24"/>
        </w:rPr>
        <w:t>Третото изискване е защитата на данните. Работата с комерсиални генеративни платформи означава, че подаваната информация напуска контрола на институцията; затова в заявките не бива да се включват лични данни на обучаеми, непубликувани оценки, вътрешни документи или друга защитена информация. В европейския контекст това изискване има и правно измерение: цитираната литература извежда като изискване съответствие на политиките за събиране, съхранение и използване на данни на обучаемите с действащата правна уредба, включително Общия регламент относно защитата на данните [17]. За създаването на учебно съдържание изискването е изпълнимо без особени затруднения — учебните материали по правило не се нуждаят от лични данни — но трябва да бъде формулирано изрично, защото нарушаването му е трудно откриваемо и необратимо.</w:t>
      </w:r>
    </w:p>
    <w:p>
      <w:pPr>
        <w:spacing w:after="120" w:line="360"/>
        <w:ind w:firstLine="709"/>
        <w:jc w:val="both"/>
      </w:pPr>
      <w:r>
        <w:rPr>
          <w:rFonts w:ascii="Times New Roman" w:cs="Times New Roman" w:eastAsia="Times New Roman" w:hAnsi="Times New Roman"/>
          <w:sz w:val="24"/>
          <w:szCs w:val="24"/>
        </w:rPr>
        <w:t>Четвъртото изискване е академичната добросъвестност, която в контекста на генеративните инструменти има две страни. Откъм обучаемите тя засяга представянето на генериран текст като собствен труд; откъм преподавателите и авторите на учебно съдържание — неотчетеното използване на генерирани материали и пренасянето на чужди защитени произведения през генеративния инструмент. И в двата случая принципът е един: добросъвестността не изисква отказ от инструментите, а отчетена, проверена и почтено декларирана употреба [17]. Как това изискване се превръща в проверим критерий — включително предвид ненадеждността на автоматичното разпознаване на генериран текст — е предмет на отделен анализ.</w:t>
      </w:r>
    </w:p>
    <w:p>
      <w:pPr>
        <w:spacing w:after="120" w:line="360"/>
        <w:ind w:firstLine="709"/>
        <w:jc w:val="both"/>
      </w:pPr>
      <w:r>
        <w:rPr>
          <w:rFonts w:ascii="Times New Roman" w:cs="Times New Roman" w:eastAsia="Times New Roman" w:hAnsi="Times New Roman"/>
          <w:sz w:val="24"/>
          <w:szCs w:val="24"/>
        </w:rPr>
        <w:t xml:space="preserve">Четирите групи изисквания очертават нормативната рамка, в която бъдещият модел ще работи: етичната и академичната коректност не са външни съображения, а една от областите, по които качеството на генерираното учебно съдържание подлежи на оценяване. С това теоретичната основа на работата е почти завършена — остава да се разгледа как качеството на електронното учебно съдържание изобщо се оценява: какви подходи и рамки съществуват и защо те се оказват недостатъчни за съдържанието, създадено с генеративни инструменти. Това е задачата на заключителната точка на главата.</w:t>
      </w:r>
    </w:p>
    <w:p>
      <w:pPr>
        <w:spacing w:after="120" w:line="360"/>
        <w:ind w:firstLine="709"/>
        <w:jc w:val="both"/>
      </w:pPr>
      <w:r>
        <w:rPr>
          <w:rFonts w:ascii="Times New Roman" w:cs="Times New Roman" w:eastAsia="Times New Roman" w:hAnsi="Times New Roman"/>
          <w:sz w:val="24"/>
          <w:szCs w:val="24"/>
        </w:rPr>
        <w:t xml:space="preserve">Отделен и все още неустановен въпрос е авторскоправният статут на генерираното съдържание. Той има две страни: от една страна, доколко материал, произведен от модел, се ползва със закрила, и от друга — доколко създаването му не нарушава правата върху произведенията, с които моделът е обучаван. За практиката на преподавателя по-важна е втората страна, защото рискът е насочен навън: генерираният текст може да възпроизвежда защитено съдържание, без това да е видимо за ползвателя. Практическото следствие е предпазливост при публикуване и разпространение на генерирани материали, а за модела за оценяване — включване на проверка за близост до съществуващи източници като изричен показател, а не като подразбираща се добросъвестност.</w:t>
      </w:r>
    </w:p>
    <w:p>
      <w:pPr>
        <w:spacing w:after="120" w:line="360"/>
        <w:ind w:firstLine="709"/>
        <w:jc w:val="both"/>
      </w:pPr>
      <w:r>
        <w:rPr>
          <w:rFonts w:ascii="Times New Roman" w:cs="Times New Roman" w:eastAsia="Times New Roman" w:hAnsi="Times New Roman"/>
          <w:sz w:val="24"/>
          <w:szCs w:val="24"/>
        </w:rPr>
        <w:t xml:space="preserve">Изискванията, разгледани дотук, се отнасят до създателя на учебно съдържание, но имат и втори адресат — самите обучаеми, чиято употреба на генеративни инструменти е предмет на нарастващо внимание. Двете страни са свързани по-тясно, отколкото изглежда: преподавател, който използва генеративни инструменти без деклариране и без проверка, трудно може да изисква обратното от студентите си. Обратното също е вярно — институция, която въвежда ясни правила за преподавателите, получава основание и последователност, когато формулира правила за обучаемите. В този смисъл моделът за оценяване има и възпитателна функция, надхвърляща прякото си предназначение: той демонстрира на практика какво означава отговорна употреба и може да бъде използван като учебно средство при изграждането на дигитална и етична грамотност у самите обучаеми.</w:t>
      </w:r>
    </w:p>
    <w:p>
      <w:pPr>
        <w:pStyle w:val="Heading2"/>
      </w:pPr>
      <w:r>
        <w:rPr>
          <w:rFonts w:ascii="Times New Roman" w:cs="Times New Roman" w:eastAsia="Times New Roman" w:hAnsi="Times New Roman"/>
          <w:b/>
          <w:bCs/>
          <w:sz w:val="26"/>
          <w:szCs w:val="26"/>
        </w:rPr>
        <w:t xml:space="preserve">1.7. Подходи за оценяване на качеството на електронното учебно съдържание</w:t>
      </w:r>
    </w:p>
    <w:p>
      <w:pPr>
        <w:spacing w:after="120" w:line="360"/>
        <w:ind w:firstLine="709"/>
        <w:jc w:val="both"/>
      </w:pPr>
      <w:r>
        <w:rPr>
          <w:rFonts w:ascii="Times New Roman" w:cs="Times New Roman" w:eastAsia="Times New Roman" w:hAnsi="Times New Roman"/>
          <w:sz w:val="24"/>
          <w:szCs w:val="24"/>
        </w:rPr>
        <w:t xml:space="preserve">Оценяването на качеството на електронното учебно съдържание има собствена традиция, предхождаща появата на генеративните инструменти. В нея могат да бъдат разграничени три основни подхода, които се различават по това кой оценява, какво се оценява и на какво основание: критериално-експертният подход, институционално-акредитационният подход и емпиричното оценяване чрез резултатите на обучаемите.</w:t>
      </w:r>
    </w:p>
    <w:p>
      <w:pPr>
        <w:spacing w:after="120" w:line="360"/>
        <w:ind w:firstLine="709"/>
        <w:jc w:val="both"/>
      </w:pPr>
      <w:r>
        <w:rPr>
          <w:rFonts w:ascii="Times New Roman" w:cs="Times New Roman" w:eastAsia="Times New Roman" w:hAnsi="Times New Roman"/>
          <w:sz w:val="24"/>
          <w:szCs w:val="24"/>
        </w:rPr>
        <w:t>Критериално-експертният подход оценява самия материал: експерт прилага система от предварително формулирани критерии — най-често под формата на ръководни документи, контролни листове или оценъчни рубрики. Съдържателната основа на тези критерии са установените педагогически и дизайнерски принципи: утвърдените рубрики систематизират изискванията за педагогическа издържаност и организация в проверими стандарти [32], а доказателствено обоснованите принципи на мултимедийното учене предоставят емпирично проверена база, върху която такива критерии могат да стъпят [33]. Силата на подхода е в прякото оценяване на материала; слабостта му — в зависимостта от компетентността и последователността на оценяващия.</w:t>
      </w:r>
    </w:p>
    <w:p>
      <w:pPr>
        <w:spacing w:after="120" w:line="360"/>
        <w:ind w:firstLine="709"/>
        <w:jc w:val="both"/>
      </w:pPr>
      <w:r>
        <w:rPr>
          <w:rFonts w:ascii="Times New Roman" w:cs="Times New Roman" w:eastAsia="Times New Roman" w:hAnsi="Times New Roman"/>
          <w:sz w:val="24"/>
          <w:szCs w:val="24"/>
        </w:rPr>
        <w:t>Най-развитата институционализация на критериално-експертния подход са стандартизираните рубрики за качество на онлайн курсове. Показателен пример е рубриката на Quality Matters за висшето образование, чието седмо издание съдържа осем общи стандарта, разгърнати в четиридесет и четири конкретни ревизионни стандарта, и се прилага чрез структуриран колегиален преглед [32]. Рубриките от този тип доказват жизнеспособността на формата, към която се придържа и настоящата работа — йерархия от стандарти с определени показатели и документиран преглед — но обектът им е дизайнът на целия курс, а не отделният учебен материал, и в стандартите им липсва проверка за специфичните дефицити на генерираното съдържание.</w:t>
      </w:r>
    </w:p>
    <w:p>
      <w:pPr>
        <w:spacing w:after="120" w:line="360"/>
        <w:ind w:firstLine="709"/>
        <w:jc w:val="both"/>
      </w:pPr>
      <w:r>
        <w:rPr>
          <w:rFonts w:ascii="Times New Roman" w:cs="Times New Roman" w:eastAsia="Times New Roman" w:hAnsi="Times New Roman"/>
          <w:sz w:val="24"/>
          <w:szCs w:val="24"/>
        </w:rPr>
        <w:t>Институционално-акредитационният подход измества фокуса от отделния материал към системата, която го произвежда и използва: оценяват се процесите, ресурсите и стандартите на институцията, предлагаща електронно обучение. В най-новата литература този подход достига зрялост под формата на валидирани скали за акредитационни стандарти и осигуряване на качеството в институциите за електронно обучение [35]. Подходът гарантира устойчивост и съпоставимост, но по конструкция не се произнася за качеството на конкретен учебен материал — един акредитиран доставчик може да предлага и слаби ресурси. Третият, емпиричният подход, преценява съдържанието косвено — по учебните резултати и удовлетвореността на обучаемите; той дава най-силното доказателство за ефективност, но е приложим едва след внедряването на материала и не може да предотврати достигането на дефектно съдържание до обучаемите.</w:t>
      </w:r>
    </w:p>
    <w:p>
      <w:pPr>
        <w:spacing w:after="120" w:line="360"/>
        <w:ind w:firstLine="709"/>
        <w:jc w:val="both"/>
      </w:pPr>
      <w:r>
        <w:rPr>
          <w:rFonts w:ascii="Times New Roman" w:cs="Times New Roman" w:eastAsia="Times New Roman" w:hAnsi="Times New Roman"/>
          <w:sz w:val="24"/>
          <w:szCs w:val="24"/>
        </w:rPr>
        <w:t xml:space="preserve">Извън тези три подхода се оформя и четвърто, бързо развиващо се направление, което заслужава подробно разглеждане, тъй като има основания да определя бъдещето на оценяването — автоматизираното оценяване на съдържание. То обхваща три технологични поколения. Първото — класическите метрики — измерва повърхностни свойства на текста: индекси за четивност, изчислявани от дължината на изреченията и думите; мерки за лексикално и семантично сходство; показатели за свързаност на изложението. Второто поколение използва векторни представяния и езикови модели за по-фина преценка на смисловата близост и на съгласуваността между части от текста. Третото, най-ново поколение поверява самата оценъчна преценка на голям езиков модел, който получава критериите и текста и връща оценка с обосновка — подход, известен като „езиков модел в ролята на оценител“.</w:t>
      </w:r>
    </w:p>
    <w:p>
      <w:pPr>
        <w:spacing w:after="120" w:line="360"/>
        <w:ind w:firstLine="709"/>
        <w:jc w:val="both"/>
      </w:pPr>
      <w:r>
        <w:rPr>
          <w:rFonts w:ascii="Times New Roman" w:cs="Times New Roman" w:eastAsia="Times New Roman" w:hAnsi="Times New Roman"/>
          <w:sz w:val="24"/>
          <w:szCs w:val="24"/>
        </w:rPr>
        <w:t>Третото поколение постига резултати, които не могат да бъдат пренебрегнати. Основополагащото изследване в тази област установява, че водещите езикови модели съвпадат с човешката преценка в над 80 на сто от случаите, като при сравнение по двойки без допускане на равенство съвпадението за най-силния модел достига 85 на сто — стойност, надхвърляща съгласуваността между самите човешки оценители, която при същите условия е 81 на сто [28]. Систематичният преглед на полето подрежда натрупаните подходи по три оси — какво се оценява, как се оценява и къде се прилага оценяването — и документира приложението им в широк кръг задачи [14]. За настоящата работа този резултат е съществен и не бива да бъде омаловажаван: той показва, че автоматизираното оценяване не е принципно невъзможно, а вече работи в определени условия.</w:t>
      </w:r>
    </w:p>
    <w:p>
      <w:pPr>
        <w:spacing w:after="120" w:line="360"/>
        <w:ind w:firstLine="709"/>
        <w:jc w:val="both"/>
      </w:pPr>
      <w:r>
        <w:rPr>
          <w:rFonts w:ascii="Times New Roman" w:cs="Times New Roman" w:eastAsia="Times New Roman" w:hAnsi="Times New Roman"/>
          <w:sz w:val="24"/>
          <w:szCs w:val="24"/>
        </w:rPr>
        <w:t>Условията обаче имат значение и именно те определят границите на приложимост днес. Систематизациите на полето документират устойчиви отклонения в преценката на моделите-оценители: предпочитание към по-дълги отговори, чувствителност към реда на представяне на сравняваните текстове, склонност към по-висока оценка на собствения им изход и ограничена надеждност при задачи, изискващи предметна експертиза отвъд езиковата компетентност [14]. Още по-съществено за настоящата работа е установеното при многоезичните приложения: от над 650 публикации по темата едва тридесет и три разглеждат многоезични или нискоресурсни езикови условия, а техните резултати са непоследователни, преобладава прекомерното доверие в машинната преценка, като четиридесет и осем на сто от изследванията разчитат на едно семейство модели-оценители, а тридесет и три на сто използват единствен модел без независима човешка проверка [10]. За оценяване на учебни материали на български език това означава, че данните за надеждност, получени върху английски текст, не могат да бъдат пренесени направо.</w:t>
      </w:r>
    </w:p>
    <w:p>
      <w:pPr>
        <w:spacing w:after="120" w:line="360"/>
        <w:ind w:firstLine="709"/>
        <w:jc w:val="both"/>
      </w:pPr>
      <w:r>
        <w:rPr>
          <w:rFonts w:ascii="Times New Roman" w:cs="Times New Roman" w:eastAsia="Times New Roman" w:hAnsi="Times New Roman"/>
          <w:sz w:val="24"/>
          <w:szCs w:val="24"/>
        </w:rPr>
        <w:t xml:space="preserve">Съпоставянето на трите поколения с четирите критерийни области, които настоящата работа обособява, дава и по-нюансирана картина от простото приемане или отхвърляне. Класическите метрики са пряко приложими към част от езиковата област — дължина на изреченията, повторяемост, терминологична последователност — и там могат да заместят човешкия прочит с малка загуба. Проверката на съществуването на цитирани източници е автоматизируема почти напълно чрез справка в библиографски бази. Проверката за близост до съществуващи текстове отдавна се извършва със софтуер. За сметка на това дидактическата пригодност в конкретен курс, уместността на примерите за конкретна аудитория и етичната допустимост остават извън обхвата на наличните средства, а фактическата вярност е автоматизируема само дотолкова, доколкото съществува надежден проверим източник, с който твърдението да бъде съпоставено.</w:t>
      </w:r>
    </w:p>
    <w:p>
      <w:pPr>
        <w:spacing w:after="120" w:line="360"/>
        <w:ind w:firstLine="709"/>
        <w:jc w:val="both"/>
      </w:pPr>
      <w:r>
        <w:rPr>
          <w:rFonts w:ascii="Times New Roman" w:cs="Times New Roman" w:eastAsia="Times New Roman" w:hAnsi="Times New Roman"/>
          <w:sz w:val="24"/>
          <w:szCs w:val="24"/>
        </w:rPr>
        <w:t xml:space="preserve">Отделно внимание заслужава актуалността, тъй като при нея границата на автоматизацията минава не през вида на проверката, а през устройството на проверяващата система. Езиковият модел разполага с обучителни данни до определена дата и по построение не може да установи какво се е променило след нея; изправен пред въпрос за текущото състояние на бързо развиваща се област, той възпроизвежда познатото си състояние, и то без сигнал за несигурност. Същият модел обаче, свързан с извличане от официалния източник — подходът, описан в точка 1.3 — получава текущото състояние в самата заявка и проверката става изпълнима. Актуалността следователно не е пример за неавтоматизируем показател, а пример за показател, при който изборът на архитектура е решаващ: без извличане проверката е предварително обречена, с извличане е рутинна.</w:t>
      </w:r>
    </w:p>
    <w:p>
      <w:pPr>
        <w:spacing w:after="120" w:line="360"/>
        <w:ind w:firstLine="709"/>
        <w:jc w:val="both"/>
      </w:pPr>
      <w:r>
        <w:rPr>
          <w:rFonts w:ascii="Times New Roman" w:cs="Times New Roman" w:eastAsia="Times New Roman" w:hAnsi="Times New Roman"/>
          <w:sz w:val="24"/>
          <w:szCs w:val="24"/>
        </w:rPr>
        <w:t xml:space="preserve">Обобщено, полезното разграничение не е между проверими и непроверими показатели, а между такива, за които съществува авторитет, достъпен със заявка, и такива, за които такъв авторитет не съществува. Фактическата вярност, актуалността, съществуването на цитираните източници и изпълнимостта на програмния код разполагат с авторитет — съответно учебната литература, официалната документация на съответната технология, библиографските бази и самата среда за изпълнение. Дидактическото съответствие не разполага: неговият референт са конкретна аудитория и конкретен курс, които не се съдържат в никакъв източник и се знаят единствено от преподавателя. Същото важи за преценката доколко натрупаните дребни неточности правят материала ненадежден като източник — тя предполага представа за подготвеността на конкретните обучаеми. Оттук следва и реалистичната посока на автоматизацията: не заместване на оценителя, а поемане на онези показатели, чийто авторитет е достъпен, при запазено човешко решение по останалите.</w:t>
      </w:r>
    </w:p>
    <w:p>
      <w:pPr>
        <w:spacing w:after="120" w:line="360"/>
        <w:ind w:firstLine="709"/>
        <w:jc w:val="both"/>
      </w:pPr>
      <w:r>
        <w:rPr>
          <w:rFonts w:ascii="Times New Roman" w:cs="Times New Roman" w:eastAsia="Times New Roman" w:hAnsi="Times New Roman"/>
          <w:sz w:val="24"/>
          <w:szCs w:val="24"/>
        </w:rPr>
        <w:t xml:space="preserve">Оттук следва и позицията, която настоящата работа заема — позиция на етап, а не на принцип. Автоматизираното оценяване е реалистична посока на развитие и вероятно ще поеме значителна част от рутинните проверки; вътрешната логика на разработвания модел, е съвместима с това развитие, тъй като показателите са формулирани като отделни проверими твърдения, всяко от които може да бъде автоматизирано самостоятелно, когато средствата узреят. Днес обаче три обстоятелства налагат човешкото оценяване като основен режим: липсата на валидирани данни за надеждност при български учебни текстове, документираните отклонения в преценката на моделите-оценители и принципното съображение, че оценяването на генериран текст от генеративен модел възпроизвежда същия вероятностен механизъм, чиято надеждност се проверява. Затова моделът се проектира за човек, но с оглед на бъдещото си частично автоматизиране — възможност, която подлежи на отделно разглеждане в препоръките към практиката.</w:t>
      </w:r>
    </w:p>
    <w:p>
      <w:pPr>
        <w:spacing w:after="120" w:line="360"/>
        <w:ind w:firstLine="709"/>
        <w:jc w:val="both"/>
      </w:pPr>
      <w:r>
        <w:rPr>
          <w:rFonts w:ascii="Times New Roman" w:cs="Times New Roman" w:eastAsia="Times New Roman" w:hAnsi="Times New Roman"/>
          <w:sz w:val="24"/>
          <w:szCs w:val="24"/>
        </w:rPr>
        <w:t>Необходимостта от специализирано оценяване е формулирана изрично и в българската научна литература. Изследване върху проблемите и решенията при използването на генеративен изкуствен интелект в образованието извежда на преден план потребността от методики и инструменти за оценяване на качеството на генерираното учебно съдържание и посочва тревожни данни за него — според цитирано в него проучване едва шестнадесет на сто от генерираното съдържание отговаря на поставените критерии за качество [7]. Същото изследване систематизира приложими метрики за кохезия, кохерентност, четивност и семантично сходство, но стига до извод, който съвпада с позицията на настоящата работа: автоматизираните средства подпомагат, но не заместват проверката, а прецизна оценка може да бъде дадена само от компетентен човек. Това потвърждава както актуалността на темата в българския контекст, така и избраната посока — модел, който структурира човешката експертна преценка, вместо да я автоматизира.</w:t>
      </w:r>
    </w:p>
    <w:p>
      <w:pPr>
        <w:spacing w:after="120" w:line="360"/>
        <w:ind w:firstLine="709"/>
        <w:jc w:val="both"/>
      </w:pPr>
      <w:r>
        <w:rPr>
          <w:rFonts w:ascii="Times New Roman" w:cs="Times New Roman" w:eastAsia="Times New Roman" w:hAnsi="Times New Roman"/>
          <w:sz w:val="24"/>
          <w:szCs w:val="24"/>
        </w:rPr>
        <w:t>Всеки от разгледаните подходи повдига и въпроса как се измерва качеството на самото оценяване. В методологията на оценъчните инструменти този въпрос има два утвърдени отговора. Първият е съгласуваността между оценители — доколко двама компетентни специалисти, приложили един и същ инструмент към един и същ материал, стигат до един и същ резултат; ниската съгласуваност е признак, че критериите са формулирани двусмислено. Вторият е валидността — доколко инструментът измерва действително онова, което твърди, че измерва, а не съседно на него свойство. Систематизациите на автоматизираното оценяване извеждат същите два въпроса и по отношение на машинните оценители [14]. Настоящата работа не извършва проверка на съгласуваността, тъй като апробирането е с единствен оценител, и това е декларирано като ограничение; проектното решение обаче адресира въпроса предварително — изискването всяка оценка да бъде подкрепена с посочено доказателство от материала е замислено именно като средство за повишаване на съгласуваността и за проверимост на присъдените оценки.</w:t>
      </w:r>
    </w:p>
    <w:p>
      <w:pPr>
        <w:spacing w:after="120" w:line="360"/>
        <w:ind w:firstLine="709"/>
        <w:jc w:val="both"/>
      </w:pPr>
      <w:r>
        <w:rPr>
          <w:rFonts w:ascii="Times New Roman" w:cs="Times New Roman" w:eastAsia="Times New Roman" w:hAnsi="Times New Roman"/>
          <w:sz w:val="24"/>
          <w:szCs w:val="24"/>
        </w:rPr>
        <w:t xml:space="preserve">Съпоставени с предмета на настоящата работа, и трите подхода споделят едно и също ограничение: те са създадени за съдържание с човешки автор и мълчаливо приемат за дадени свойства, които при генерираното съдържание не са гарантирани. Критериалните листи по правило не съдържат проверка за фактически измислици, защото при добросъвестен човешки автор такава проверка е излишна; акредитационните стандарти предполагат отговорен автор с установима квалификация; емпиричното оценяване настъпва твърде късно, за да улови дефекти, които могат да бъдат предотвратени на входа. Специфичните дефицити на генерираното съдържание — халюцинации, поднесени с езикова увереност, шаблонност, педагогическа плоскост, несигурна оригиналност — попадат точно в пролуките между съществуващите подходи.</w:t>
      </w:r>
    </w:p>
    <w:p>
      <w:pPr>
        <w:spacing w:after="120" w:line="360"/>
        <w:ind w:firstLine="709"/>
        <w:jc w:val="both"/>
      </w:pPr>
      <w:r>
        <w:rPr>
          <w:rFonts w:ascii="Times New Roman" w:cs="Times New Roman" w:eastAsia="Times New Roman" w:hAnsi="Times New Roman"/>
          <w:sz w:val="24"/>
          <w:szCs w:val="24"/>
        </w:rPr>
        <w:t xml:space="preserve">Оттук следва изводът, който задава програмата на следващия етап: съществуващата традиция в оценяването предоставя ценна основа — критериалната форма, педагогическата съдържателна база, институционалната рамка — но не и готов инструмент за оценяване на съдържание, създадено с генеративни инструменти. Необходим е анализ, който да съпостави съществуващите критерии със специфичните рискове на генерираното съдържание и да изведе изискванията към модел, способен да ги улавя систематично. Именно този анализ е предмет на следващия етап от изследването, а негов резултат са изискванията към бъдещия модел.</w:t>
      </w:r>
    </w:p>
    <w:p>
      <w:pPr>
        <w:spacing w:after="120" w:before="200"/>
        <w:jc w:val="center"/>
      </w:pPr>
      <w:r>
        <w:rPr>
          <w:rFonts w:ascii="Times New Roman" w:cs="Times New Roman" w:eastAsia="Times New Roman" w:hAnsi="Times New Roman"/>
          <w:i/>
          <w:iCs/>
          <w:sz w:val="20"/>
          <w:szCs w:val="20"/>
        </w:rPr>
        <w:t xml:space="preserve">Таблица 2. Съпоставка на трите подхода за оценяване на качеството</w:t>
      </w:r>
    </w:p>
    <w:tbl>
      <w:tblPr>
        <w:tblW w:type="dxa" w:w="8765"/>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300"/>
        <w:gridCol w:w="2165"/>
      </w:tblGrid>
      <w:tr>
        <w:tc>
          <w:tcPr>
            <w:tcW w:type="dxa" w:w="19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Подход</w:t>
            </w:r>
          </w:p>
        </w:tc>
        <w:tc>
          <w:tcPr>
            <w:tcW w:type="dxa" w:w="24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Обект на оценяване</w:t>
            </w:r>
          </w:p>
        </w:tc>
        <w:tc>
          <w:tcPr>
            <w:tcW w:type="dxa" w:w="23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Кой оценява</w:t>
            </w:r>
          </w:p>
        </w:tc>
        <w:tc>
          <w:tcPr>
            <w:tcW w:type="dxa" w:w="2165"/>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Основно ограничение при AI-съдържание</w:t>
            </w:r>
          </w:p>
        </w:tc>
      </w:tr>
      <w:tr>
        <w:tc>
          <w:tcPr>
            <w:tcW w:type="dxa" w:w="19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Критериално-експертен</w:t>
            </w:r>
          </w:p>
        </w:tc>
        <w:tc>
          <w:tcPr>
            <w:tcW w:type="dxa" w:w="2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отделният учебен материал</w:t>
            </w:r>
          </w:p>
        </w:tc>
        <w:tc>
          <w:tcPr>
            <w:tcW w:type="dxa" w:w="23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експерт по критерии или рубрика</w:t>
            </w:r>
          </w:p>
        </w:tc>
        <w:tc>
          <w:tcPr>
            <w:tcW w:type="dxa" w:w="216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критериите допускат добросъвестен автор; липсва проверка за измислици</w:t>
            </w:r>
          </w:p>
        </w:tc>
      </w:tr>
      <w:tr>
        <w:tc>
          <w:tcPr>
            <w:tcW w:type="dxa" w:w="19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Институционално-акредитационен</w:t>
            </w:r>
          </w:p>
        </w:tc>
        <w:tc>
          <w:tcPr>
            <w:tcW w:type="dxa" w:w="2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процесите и ресурсите на институцията</w:t>
            </w:r>
          </w:p>
        </w:tc>
        <w:tc>
          <w:tcPr>
            <w:tcW w:type="dxa" w:w="23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акредитиращ орган</w:t>
            </w:r>
          </w:p>
        </w:tc>
        <w:tc>
          <w:tcPr>
            <w:tcW w:type="dxa" w:w="216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не се произнася за качеството на конкретен материал</w:t>
            </w:r>
          </w:p>
        </w:tc>
      </w:tr>
      <w:tr>
        <w:tc>
          <w:tcPr>
            <w:tcW w:type="dxa" w:w="19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Емпиричен</w:t>
            </w:r>
          </w:p>
        </w:tc>
        <w:tc>
          <w:tcPr>
            <w:tcW w:type="dxa" w:w="2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ефектът върху обучаемите</w:t>
            </w:r>
          </w:p>
        </w:tc>
        <w:tc>
          <w:tcPr>
            <w:tcW w:type="dxa" w:w="23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измерване на учебни резултати</w:t>
            </w:r>
          </w:p>
        </w:tc>
        <w:tc>
          <w:tcPr>
            <w:tcW w:type="dxa" w:w="216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настъпва след използването; не предотвратява дефекта</w:t>
            </w:r>
          </w:p>
        </w:tc>
      </w:tr>
    </w:tbl>
    <w:p>
      <w:pPr>
        <w:pStyle w:val="Heading1"/>
      </w:pPr>
      <w:r>
        <w:rPr>
          <w:rFonts w:ascii="Times New Roman" w:cs="Times New Roman" w:eastAsia="Times New Roman" w:hAnsi="Times New Roman"/>
          <w:b/>
          <w:bCs/>
          <w:sz w:val="28"/>
          <w:szCs w:val="28"/>
        </w:rPr>
        <w:t xml:space="preserve">ИЗВОДИ ОТ ПЪРВА ГЛАВА</w:t>
      </w:r>
    </w:p>
    <w:p>
      <w:pPr>
        <w:spacing w:after="120" w:line="360"/>
        <w:ind w:firstLine="709"/>
        <w:jc w:val="both"/>
      </w:pPr>
      <w:r>
        <w:rPr>
          <w:rFonts w:ascii="Times New Roman" w:cs="Times New Roman" w:eastAsia="Times New Roman" w:hAnsi="Times New Roman"/>
          <w:sz w:val="24"/>
          <w:szCs w:val="24"/>
        </w:rPr>
        <w:t xml:space="preserve">Извършеният в първа глава теоретичен анализ позволява да бъдат формулирани следните изводи, върху които стъпва по-нататъшното изследване.</w:t>
      </w:r>
    </w:p>
    <w:p>
      <w:pPr>
        <w:spacing w:after="120" w:line="360"/>
        <w:ind w:firstLine="709"/>
        <w:jc w:val="both"/>
      </w:pPr>
      <w:r>
        <w:rPr>
          <w:rFonts w:ascii="Times New Roman" w:cs="Times New Roman" w:eastAsia="Times New Roman" w:hAnsi="Times New Roman"/>
          <w:sz w:val="24"/>
          <w:szCs w:val="24"/>
        </w:rPr>
        <w:t xml:space="preserve">Първо, електронното учебно съдържание следва да се дефинира чрез функциите, които изпълнява в учебния процес, и чрез формите на представяне, а не чрез технологичния носител. В тази дефиниционна рамка съдържанието, създадено с генеративни инструменти, не представлява нов вид — то възпроизвежда познатите видове електронни ресурси, но с принципно различен процес на създаване и с различен профил на рисковете за качеството.</w:t>
      </w:r>
    </w:p>
    <w:p>
      <w:pPr>
        <w:spacing w:after="120" w:line="360"/>
        <w:ind w:firstLine="709"/>
        <w:jc w:val="both"/>
      </w:pPr>
      <w:r>
        <w:rPr>
          <w:rFonts w:ascii="Times New Roman" w:cs="Times New Roman" w:eastAsia="Times New Roman" w:hAnsi="Times New Roman"/>
          <w:sz w:val="24"/>
          <w:szCs w:val="24"/>
        </w:rPr>
        <w:t xml:space="preserve">Второ, педагогическите изисквания към електронното учебно съдържание — съответствие с учебните цели, издържана структура, достъпност, педагогически смислена интерактивност и пригодност за самостоятелно обучение — са формулирани независимо от начина на създаване и затова важат в пълна степен и за генерираното съдържание. Произходът на материала не променя изискванията; той променя вероятността те да бъдат нарушени.</w:t>
      </w:r>
    </w:p>
    <w:p>
      <w:pPr>
        <w:spacing w:after="120" w:line="360"/>
        <w:ind w:firstLine="709"/>
        <w:jc w:val="both"/>
      </w:pPr>
      <w:r>
        <w:rPr>
          <w:rFonts w:ascii="Times New Roman" w:cs="Times New Roman" w:eastAsia="Times New Roman" w:hAnsi="Times New Roman"/>
          <w:sz w:val="24"/>
          <w:szCs w:val="24"/>
        </w:rPr>
        <w:t xml:space="preserve">Трето, възможностите и ограниченията на генеративните инструменти имат общ корен — вероятностния принцип на действие на големите езикови модели. Плавността на изказа не е показател за вярност, а качеството на генерирания текст е структурно негарантирано: на равнището на инструмента не съществува вградена гаранция за фактическа коректност, дидактическа пригодност или оригиналност.</w:t>
      </w:r>
    </w:p>
    <w:p>
      <w:pPr>
        <w:spacing w:after="120" w:line="360"/>
        <w:ind w:firstLine="709"/>
        <w:jc w:val="both"/>
      </w:pPr>
      <w:r>
        <w:rPr>
          <w:rFonts w:ascii="Times New Roman" w:cs="Times New Roman" w:eastAsia="Times New Roman" w:hAnsi="Times New Roman"/>
          <w:sz w:val="24"/>
          <w:szCs w:val="24"/>
        </w:rPr>
        <w:t xml:space="preserve">Четвърто, приложенията на генеративните инструменти при разработване на учебни материали се подреждат по степен на автоматизация — от подпомогнато създаване чрез диалог, през рамкови подходи, до автономни системни реализации — и с нарастването на автоматизацията проверката на качеството се измества от отделните стъпки към крайния продукт, превръщайки систематичното оценяване от помощно средство в единствен механизъм за гаранция.</w:t>
      </w:r>
    </w:p>
    <w:p>
      <w:pPr>
        <w:spacing w:after="120" w:line="360"/>
        <w:ind w:firstLine="709"/>
        <w:jc w:val="both"/>
      </w:pPr>
      <w:r>
        <w:rPr>
          <w:rFonts w:ascii="Times New Roman" w:cs="Times New Roman" w:eastAsia="Times New Roman" w:hAnsi="Times New Roman"/>
          <w:sz w:val="24"/>
          <w:szCs w:val="24"/>
        </w:rPr>
        <w:t xml:space="preserve">Пето, съществуващите подходи за оценяване на качеството на електронното учебно съдържание — критериално-експертен, институционално-акредитационен и емпиричен — са създадени за съдържание с човешки автор и не адресират специфичните дефицити на генерираното съдържание. Това очертава изследователската празнина на настоящата работа: необходим е анализ на критериите за качество, съобразен със спецификата на AI-генерираното съдържание, и изграден върху него модел за оценяване. Първата от тези две задачи е предмет на следващия етап от изследването.</w:t>
      </w:r>
    </w:p>
    <w:p>
      <w:pPr>
        <w:spacing w:after="120" w:line="360"/>
        <w:ind w:firstLine="709"/>
        <w:jc w:val="both"/>
      </w:pPr>
      <w:r>
        <w:rPr>
          <w:rFonts w:ascii="Times New Roman" w:cs="Times New Roman" w:eastAsia="Times New Roman" w:hAnsi="Times New Roman"/>
          <w:sz w:val="24"/>
          <w:szCs w:val="24"/>
        </w:rPr>
        <w:t xml:space="preserve">Шесто, прегледът на съществуващите подходи показва и какво следва да бъде запазено от тях. Критериалната форма — йерархия от области, критерии и проверими показатели — е доказала приложимостта си в утвърдени инструменти за оценяване на онлайн курсове; педагогическата съдържателна основа е налична в доказателствено обоснованите принципи на мултимедийното учене и в първите принципи на обучението; а институционалната рамка осигурява средата, в която оценяването може да бъде въведено като задължителна практика. Новото, което липсва, не е форма или съдържание, а насоченост: проверките, специфични за начина, по който генеративните инструменти произвеждат текст.</w:t>
      </w:r>
    </w:p>
    <w:p>
      <w:pPr>
        <w:spacing w:after="120" w:line="360"/>
        <w:ind w:firstLine="709"/>
        <w:jc w:val="both"/>
      </w:pPr>
      <w:r>
        <w:rPr>
          <w:rFonts w:ascii="Times New Roman" w:cs="Times New Roman" w:eastAsia="Times New Roman" w:hAnsi="Times New Roman"/>
          <w:sz w:val="24"/>
          <w:szCs w:val="24"/>
        </w:rPr>
        <w:t>Седмо, от анализа произтича и разбирането за ролята на човека в това оценяване — разбиране, обвързано с текущото състояние на технологиите, а не с принципна позиция. Автоматизираното оценяване напредва бързо: моделите в ролята на оценители вече постигат съвпадение с човешката преценка над 80 на сто в изследвани условия [28], а част от проверките — за четивност, за съществуване на цитирани източници, за близост до съществуващи текстове — са автоматизируеми още днес. Същевременно документираните отклонения в машинната преценка, липсата на валидирани данни за нискоресурсни езици [10], към които настоящата работа отнася и българския, и невъзможността автоматизирано да се преценят дидактическата уместност за конкретен курс и етичната допустимост определят настоящия избор: моделът се проектира като инструмент за структуриране на експертна човешка преценка, изграден така, че отделните му показатели да могат да бъдат автоматизирани поетапно с узряването на средствата.</w:t>
      </w:r>
    </w:p>
    <w:p>
      <w:pPr>
        <w:spacing w:after="120" w:line="360"/>
        <w:ind w:firstLine="709"/>
        <w:jc w:val="both"/>
      </w:pPr>
      <w:r>
        <w:rPr>
          <w:rFonts w:ascii="Times New Roman" w:cs="Times New Roman" w:eastAsia="Times New Roman" w:hAnsi="Times New Roman"/>
          <w:sz w:val="24"/>
          <w:szCs w:val="24"/>
        </w:rPr>
        <w:t xml:space="preserve">Изложеното в първа глава изпълнява първата и част от втората изследователска задача на работата: изяснени са същността, видовете и педагогическите изисквания към електронното учебно съдържание, характеристиките и границите на генеративните инструменти, начините на тяхното използване при разработване на учебни материали, свързаните с това предимства, рискове и нормативни изисквания, както и съществуващите подходи за оценяване на качеството. Установената изследователска празнина — липсата на инструмент, който да улавя специфичните дефицити на генерираното съдържание и да е приложим от отделен преподавател — задава предмета на следващия етап: анализ на критериите и показателите за качество и извеждане на изискванията към бъдещия модел.</w:t>
      </w:r>
    </w:p>
    <w:p>
      <w:r>
        <w:br w:type="page"/>
      </w:r>
    </w:p>
    <w:p>
      <w:pPr>
        <w:pStyle w:val="Heading1"/>
      </w:pPr>
      <w:r>
        <w:rPr>
          <w:rFonts w:ascii="Times New Roman" w:cs="Times New Roman" w:eastAsia="Times New Roman" w:hAnsi="Times New Roman"/>
          <w:b/>
          <w:bCs/>
          <w:sz w:val="28"/>
          <w:szCs w:val="28"/>
        </w:rPr>
        <w:t xml:space="preserve">ИЗПОЛЗВАНИ ИЗТОЧНИЦИ</w:t>
      </w:r>
    </w:p>
    <w:p>
      <w:pPr>
        <w:spacing w:after="120" w:line="300"/>
        <w:ind w:left="709" w:hanging="709"/>
        <w:jc w:val="left"/>
      </w:pPr>
      <w:r>
        <w:rPr>
          <w:rFonts w:ascii="Times New Roman" w:cs="Times New Roman" w:eastAsia="Times New Roman" w:hAnsi="Times New Roman"/>
          <w:sz w:val="24"/>
          <w:szCs w:val="24"/>
        </w:rPr>
        <w:t>[1] А. Захариев, „Изкуственият интелект в образователната и научна степен „доктор“: дигитализация, регулация и кредитна акселерация“, в Сб. докл. Четвърта научно-практическа конференция с международно участие „Дигитална трансформация на образованието – проблеми и решения“, Русе, България, 2026, с. 15–23.</w:t>
      </w:r>
    </w:p>
    <w:p>
      <w:pPr>
        <w:spacing w:after="120" w:line="300"/>
        <w:ind w:left="709" w:hanging="709"/>
        <w:jc w:val="left"/>
      </w:pPr>
      <w:r>
        <w:rPr>
          <w:rFonts w:ascii="Times New Roman" w:cs="Times New Roman" w:eastAsia="Times New Roman" w:hAnsi="Times New Roman"/>
          <w:sz w:val="24"/>
          <w:szCs w:val="24"/>
        </w:rPr>
        <w:t>[2] Д. Димитранов и Г. Димитров, „Изкуственият интелект като инструмент за автоматизирано създаване на бази данни от тестови въпроси“, в Сб. докл. Четвърта научно-практическа конференция с международно участие „Дигитална трансформация на образованието – проблеми и решения“, Русе, България, 2026, с. 576–580.</w:t>
      </w:r>
    </w:p>
    <w:p>
      <w:pPr>
        <w:spacing w:after="120" w:line="300"/>
        <w:ind w:left="709" w:hanging="709"/>
        <w:jc w:val="left"/>
      </w:pPr>
      <w:r>
        <w:rPr>
          <w:rFonts w:ascii="Times New Roman" w:cs="Times New Roman" w:eastAsia="Times New Roman" w:hAnsi="Times New Roman"/>
          <w:sz w:val="24"/>
          <w:szCs w:val="24"/>
        </w:rPr>
        <w:t>[3] Е. Даскалова, О. Попова, С. Стефанов, М. Пенчева и В. Стефанова, „Концептуален дизайн за базирана на изкуствен интелект платформа за обучение на студенти по дентална анатомия“, в Сб. докл. Четвърта научно-практическа конференция с международно участие „Дигитална трансформация на образованието – проблеми и решения“, Русе, България, 2026, с. 554–558.</w:t>
      </w:r>
    </w:p>
    <w:p>
      <w:pPr>
        <w:spacing w:after="120" w:line="300"/>
        <w:ind w:left="709" w:hanging="709"/>
        <w:jc w:val="left"/>
      </w:pPr>
      <w:r>
        <w:rPr>
          <w:rFonts w:ascii="Times New Roman" w:cs="Times New Roman" w:eastAsia="Times New Roman" w:hAnsi="Times New Roman"/>
          <w:sz w:val="24"/>
          <w:szCs w:val="24"/>
        </w:rPr>
        <w:t>[4] М. Дамесова, „Овладяване на сложни концепции чрез генеративен изкуствен интелект и дигитален storytelling“, в Сб. докл. Четвърта научно-практическа конференция с международно участие „Дигитална трансформация на образованието – проблеми и решения“, Русе, България, 2026, с. 717–721.</w:t>
      </w:r>
    </w:p>
    <w:p>
      <w:pPr>
        <w:spacing w:after="120" w:line="300"/>
        <w:ind w:left="709" w:hanging="709"/>
        <w:jc w:val="left"/>
      </w:pPr>
      <w:r>
        <w:rPr>
          <w:rFonts w:ascii="Times New Roman" w:cs="Times New Roman" w:eastAsia="Times New Roman" w:hAnsi="Times New Roman"/>
          <w:sz w:val="24"/>
          <w:szCs w:val="24"/>
        </w:rPr>
        <w:t>[5] М. Левунлиева, „ИИ в образованието – перспективата на педагога“, в Сб. докл. Четвърта научно-практическа конференция с международно участие „Дигитална трансформация на образованието – проблеми и решения“, Русе, България, 2026, с. 605–610.</w:t>
      </w:r>
    </w:p>
    <w:p>
      <w:pPr>
        <w:spacing w:after="120" w:line="300"/>
        <w:ind w:left="709" w:hanging="709"/>
        <w:jc w:val="left"/>
      </w:pPr>
      <w:r>
        <w:rPr>
          <w:rFonts w:ascii="Times New Roman" w:cs="Times New Roman" w:eastAsia="Times New Roman" w:hAnsi="Times New Roman"/>
          <w:sz w:val="24"/>
          <w:szCs w:val="24"/>
        </w:rPr>
        <w:t>[6] М. Маркова, „Изкуственият интелект в помощ на ускореното учене: практически инструменти за преподаватели“, в Сб. докл. Четвърта научно-практическа конференция с международно участие „Дигитална трансформация на образованието – проблеми и решения“, Русе, България, 2026, с. 541–546.</w:t>
      </w:r>
    </w:p>
    <w:p>
      <w:pPr>
        <w:spacing w:after="120" w:line="300"/>
        <w:ind w:left="709" w:hanging="709"/>
        <w:jc w:val="left"/>
      </w:pPr>
      <w:r>
        <w:rPr>
          <w:rFonts w:ascii="Times New Roman" w:cs="Times New Roman" w:eastAsia="Times New Roman" w:hAnsi="Times New Roman"/>
          <w:sz w:val="24"/>
          <w:szCs w:val="24"/>
        </w:rPr>
        <w:t>[7] С. Гафтанджиева и Р. Донева, „Генеративен изкуствен интелект в образованието: проблеми и решения“, Педагогика, т. 97, кн. 9, с. 1284–1297, 2025, doi: 10.53656/ped2025-9.04.</w:t>
      </w:r>
    </w:p>
    <w:p>
      <w:pPr>
        <w:spacing w:after="120" w:line="300"/>
        <w:ind w:left="709" w:hanging="709"/>
        <w:jc w:val="left"/>
      </w:pPr>
      <w:r>
        <w:rPr>
          <w:rFonts w:ascii="Times New Roman" w:cs="Times New Roman" w:eastAsia="Times New Roman" w:hAnsi="Times New Roman"/>
          <w:sz w:val="24"/>
          <w:szCs w:val="24"/>
        </w:rPr>
        <w:t>[8] Ц. Василев, „Използване на изкуствен интелект в обучението – гледна точка на студент и преподавател“, в Сб. докл. Четвърта научно-практическа конференция с международно участие „Дигитална трансформация на образованието – проблеми и решения“, Русе, България, 2026, с. 24–32.</w:t>
      </w:r>
    </w:p>
    <w:p>
      <w:pPr>
        <w:spacing w:after="120" w:line="300"/>
        <w:ind w:left="709" w:hanging="709"/>
        <w:jc w:val="left"/>
      </w:pPr>
      <w:r>
        <w:rPr>
          <w:rFonts w:ascii="Times New Roman" w:cs="Times New Roman" w:eastAsia="Times New Roman" w:hAnsi="Times New Roman"/>
          <w:sz w:val="24"/>
          <w:szCs w:val="24"/>
        </w:rPr>
        <w:t>[9] Ц. Дуцова, „Някои аспекти на приложение на изкуствения интелект в образованието“, в Сб. докл. Трета национална научно-практическа конференция „Дигитална трансформация на образованието – проблеми и решения“, Русе, България, 2025, с. 472–478.</w:t>
      </w:r>
    </w:p>
    <w:p>
      <w:pPr>
        <w:spacing w:after="120" w:line="300"/>
        <w:ind w:left="709" w:hanging="709"/>
        <w:jc w:val="left"/>
      </w:pPr>
      <w:r>
        <w:rPr>
          <w:rFonts w:ascii="Times New Roman" w:cs="Times New Roman" w:eastAsia="Times New Roman" w:hAnsi="Times New Roman"/>
          <w:sz w:val="24"/>
          <w:szCs w:val="24"/>
        </w:rPr>
        <w:t>[10] A. S. Doğruöz et al., "Challenges and recommendations for LLMs-as-a-judge in multilingual settings and low-resource languages," 2026, arXiv:2607.02235.</w:t>
      </w:r>
    </w:p>
    <w:p>
      <w:pPr>
        <w:spacing w:after="120" w:line="300"/>
        <w:ind w:left="709" w:hanging="709"/>
        <w:jc w:val="left"/>
      </w:pPr>
      <w:r>
        <w:rPr>
          <w:rFonts w:ascii="Times New Roman" w:cs="Times New Roman" w:eastAsia="Times New Roman" w:hAnsi="Times New Roman"/>
          <w:sz w:val="24"/>
          <w:szCs w:val="24"/>
        </w:rPr>
        <w:t>[11] A. Sangrà, D. Vlachopoulos, and N. Cabrera, "Building an inclusive definition of e-learning: An approach to the conceptual framework," The International Review of Research in Open and Distributed Learning, vol. 13, no. 2, pp. 145–159, 2012, doi: 10.19173/irrodl.v13i2.1161.</w:t>
      </w:r>
    </w:p>
    <w:p>
      <w:pPr>
        <w:spacing w:after="120" w:line="300"/>
        <w:ind w:left="709" w:hanging="709"/>
        <w:jc w:val="left"/>
      </w:pPr>
      <w:r>
        <w:rPr>
          <w:rFonts w:ascii="Times New Roman" w:cs="Times New Roman" w:eastAsia="Times New Roman" w:hAnsi="Times New Roman"/>
          <w:sz w:val="24"/>
          <w:szCs w:val="24"/>
        </w:rPr>
        <w:t>[12] AI-Generated Content Best Practices, v1.0, 1EdTech Consortium, Lake Mary, FL, USA, 2025. [Online]. Available: https://www.imsglobal.org/resource/AI-Generated_Content_Best_Practices/v1p0</w:t>
      </w:r>
    </w:p>
    <w:p>
      <w:pPr>
        <w:spacing w:after="120" w:line="300"/>
        <w:ind w:left="709" w:hanging="709"/>
        <w:jc w:val="left"/>
      </w:pPr>
      <w:r>
        <w:rPr>
          <w:rFonts w:ascii="Times New Roman" w:cs="Times New Roman" w:eastAsia="Times New Roman" w:hAnsi="Times New Roman"/>
          <w:sz w:val="24"/>
          <w:szCs w:val="24"/>
        </w:rPr>
        <w:t>[13] C. Redecker, European Framework for the Digital Competence of Educators: DigCompEdu, Y. Punie, Ed. Luxembourg: Publications Office of the European Union, 2017, JRC107466.</w:t>
      </w:r>
    </w:p>
    <w:p>
      <w:pPr>
        <w:spacing w:after="120" w:line="300"/>
        <w:ind w:left="709" w:hanging="709"/>
        <w:jc w:val="left"/>
      </w:pPr>
      <w:r>
        <w:rPr>
          <w:rFonts w:ascii="Times New Roman" w:cs="Times New Roman" w:eastAsia="Times New Roman" w:hAnsi="Times New Roman"/>
          <w:sz w:val="24"/>
          <w:szCs w:val="24"/>
        </w:rPr>
        <w:t>[14] D. Li et al., "From generation to judgment: Opportunities and challenges of LLM-as-a-judge," in Proc. 2025 Conference on Empirical Methods in Natural Language Processing (EMNLP), 2025, pp. 2757–2791, doi: 10.18653/v1/2025.emnlp-main.138.</w:t>
      </w:r>
    </w:p>
    <w:p>
      <w:pPr>
        <w:spacing w:after="120" w:line="300"/>
        <w:ind w:left="709" w:hanging="709"/>
        <w:jc w:val="left"/>
      </w:pPr>
      <w:r>
        <w:rPr>
          <w:rFonts w:ascii="Times New Roman" w:cs="Times New Roman" w:eastAsia="Times New Roman" w:hAnsi="Times New Roman"/>
          <w:sz w:val="24"/>
          <w:szCs w:val="24"/>
        </w:rPr>
        <w:t>[15] D. S. Chai, H. S. Kim, K. N. Kim, Y. Ha, S. S. H. Shin, and S. W. Yoon, "Generative artificial intelligence in instructional system design," Human Resource Development Review, vol. 24, no. 4, pp. 388–417, 2025, doi: 10.1177/15344843251320256.</w:t>
      </w:r>
    </w:p>
    <w:p>
      <w:pPr>
        <w:spacing w:after="120" w:line="300"/>
        <w:ind w:left="709" w:hanging="709"/>
        <w:jc w:val="left"/>
      </w:pPr>
      <w:r>
        <w:rPr>
          <w:rFonts w:ascii="Times New Roman" w:cs="Times New Roman" w:eastAsia="Times New Roman" w:hAnsi="Times New Roman"/>
          <w:sz w:val="24"/>
          <w:szCs w:val="24"/>
        </w:rPr>
        <w:t>[16] E. Dickey and A. Bejarano, "GAIDE: A framework for using generative AI to assist in course content development," in Proc. 2024 IEEE Frontiers in Education Conference (FIE), 2024, pp. 1–9, doi: 10.1109/FIE61694.2024.10893132.</w:t>
      </w:r>
    </w:p>
    <w:p>
      <w:pPr>
        <w:spacing w:after="120" w:line="300"/>
        <w:ind w:left="709" w:hanging="709"/>
        <w:jc w:val="left"/>
      </w:pPr>
      <w:r>
        <w:rPr>
          <w:rFonts w:ascii="Times New Roman" w:cs="Times New Roman" w:eastAsia="Times New Roman" w:hAnsi="Times New Roman"/>
          <w:sz w:val="24"/>
          <w:szCs w:val="24"/>
        </w:rPr>
        <w:t>[17] E. Kasneci et al., "ChatGPT for good? On opportunities and challenges of large language models for education," Learning and Individual Differences, vol. 103, Art. no. 102274, 2023, doi: 10.1016/j.lindif.2023.102274.</w:t>
      </w:r>
    </w:p>
    <w:p>
      <w:pPr>
        <w:spacing w:after="120" w:line="300"/>
        <w:ind w:left="709" w:hanging="709"/>
        <w:jc w:val="left"/>
      </w:pPr>
      <w:r>
        <w:rPr>
          <w:rFonts w:ascii="Times New Roman" w:cs="Times New Roman" w:eastAsia="Times New Roman" w:hAnsi="Times New Roman"/>
          <w:sz w:val="24"/>
          <w:szCs w:val="24"/>
        </w:rPr>
        <w:t>[18] E. Staneviciene and G. Žekienė, "The use of multimedia in the teaching and learning process of higher education: A systematic review," Sustainability, vol. 17, no. 19, Art. no. 8859, 2025, doi: 10.3390/su17198859.</w:t>
      </w:r>
    </w:p>
    <w:p>
      <w:pPr>
        <w:spacing w:after="120" w:line="300"/>
        <w:ind w:left="709" w:hanging="709"/>
        <w:jc w:val="left"/>
      </w:pPr>
      <w:r>
        <w:rPr>
          <w:rFonts w:ascii="Times New Roman" w:cs="Times New Roman" w:eastAsia="Times New Roman" w:hAnsi="Times New Roman"/>
          <w:sz w:val="24"/>
          <w:szCs w:val="24"/>
        </w:rPr>
        <w:t>[19] F. Miao and W. Holmes, Guidance for Generative AI in Education and Research. Paris, France: UNESCO, 2023. [Online]. Available: https://www.unesco.org/en/articles/guidance-generative-ai-education-and-research</w:t>
      </w:r>
    </w:p>
    <w:p>
      <w:pPr>
        <w:spacing w:after="120" w:line="300"/>
        <w:ind w:left="709" w:hanging="709"/>
        <w:jc w:val="left"/>
      </w:pPr>
      <w:r>
        <w:rPr>
          <w:rFonts w:ascii="Times New Roman" w:cs="Times New Roman" w:eastAsia="Times New Roman" w:hAnsi="Times New Roman"/>
          <w:sz w:val="24"/>
          <w:szCs w:val="24"/>
        </w:rPr>
        <w:t>[20] G. W. Choi, S. H. Kim, D. Lee, and J. Moon, "Utilizing generative AI for instructional design: Exploring strengths, weaknesses, opportunities, and threats," TechTrends, vol. 68, no. 4, pp. 832–844, 2024, doi: 10.1007/s11528-024-00967-w.</w:t>
      </w:r>
    </w:p>
    <w:p>
      <w:pPr>
        <w:spacing w:after="120" w:line="300"/>
        <w:ind w:left="709" w:hanging="709"/>
        <w:jc w:val="left"/>
      </w:pPr>
      <w:r>
        <w:rPr>
          <w:rFonts w:ascii="Times New Roman" w:cs="Times New Roman" w:eastAsia="Times New Roman" w:hAnsi="Times New Roman"/>
          <w:sz w:val="24"/>
          <w:szCs w:val="24"/>
        </w:rPr>
        <w:t>[21] H. Wu, Z. Wang, and X. Wen, "Examining interactive AI-supported learning environments: The mediating role of AI metacognition and the moderating role of cognitive flexibility," Acta Psychologica, vol. 266, Art. no. 106874, 2026.</w:t>
      </w:r>
    </w:p>
    <w:p>
      <w:pPr>
        <w:spacing w:after="120" w:line="300"/>
        <w:ind w:left="709" w:hanging="709"/>
        <w:jc w:val="left"/>
      </w:pPr>
      <w:r>
        <w:rPr>
          <w:rFonts w:ascii="Times New Roman" w:cs="Times New Roman" w:eastAsia="Times New Roman" w:hAnsi="Times New Roman"/>
          <w:sz w:val="24"/>
          <w:szCs w:val="24"/>
        </w:rPr>
        <w:t>[22] H. Yao, W. Xu, J. Turnau, N. Kellam, and H. Wei, "Instructional agents: Reducing teaching faculty workload through multi-agent instructional design," in Proc. EACL 2026, vol. 1, 2026, pp. 4087–4109, doi: 10.18653/v1/2026.eacl-long.191.</w:t>
      </w:r>
    </w:p>
    <w:p>
      <w:pPr>
        <w:spacing w:after="120" w:line="300"/>
        <w:ind w:left="709" w:hanging="709"/>
        <w:jc w:val="left"/>
      </w:pPr>
      <w:r>
        <w:rPr>
          <w:rFonts w:ascii="Times New Roman" w:cs="Times New Roman" w:eastAsia="Times New Roman" w:hAnsi="Times New Roman"/>
          <w:sz w:val="24"/>
          <w:szCs w:val="24"/>
        </w:rPr>
        <w:t>[23] H. Zhang, S. Wang, T.-H. Chen, Y. Zou, and A. E. Hassan, "An empirical study of obsolete answers on Stack Overflow," IEEE Transactions on Software Engineering, vol. 47, no. 4, pp. 850–862, 2021, doi: 10.1109/TSE.2019.2906315.</w:t>
      </w:r>
    </w:p>
    <w:p>
      <w:pPr>
        <w:spacing w:after="120" w:line="300"/>
        <w:ind w:left="709" w:hanging="709"/>
        <w:jc w:val="left"/>
      </w:pPr>
      <w:r>
        <w:rPr>
          <w:rFonts w:ascii="Times New Roman" w:cs="Times New Roman" w:eastAsia="Times New Roman" w:hAnsi="Times New Roman"/>
          <w:sz w:val="24"/>
          <w:szCs w:val="24"/>
        </w:rPr>
        <w:t>[24] IEEE Standard for Learning Object Metadata, IEEE Std 1484.12.1-2020, IEEE, New York, NY, USA, 2020.</w:t>
      </w:r>
    </w:p>
    <w:p>
      <w:pPr>
        <w:spacing w:after="120" w:line="300"/>
        <w:ind w:left="709" w:hanging="709"/>
        <w:jc w:val="left"/>
      </w:pPr>
      <w:r>
        <w:rPr>
          <w:rFonts w:ascii="Times New Roman" w:cs="Times New Roman" w:eastAsia="Times New Roman" w:hAnsi="Times New Roman"/>
          <w:sz w:val="24"/>
          <w:szCs w:val="24"/>
        </w:rPr>
        <w:t>[25] J. Biggs, "Enhancing teaching through constructive alignment," Higher Education, vol. 32, no. 3, pp. 347–364, 1996, doi: 10.1007/BF00138871.</w:t>
      </w:r>
    </w:p>
    <w:p>
      <w:pPr>
        <w:spacing w:after="120" w:line="300"/>
        <w:ind w:left="709" w:hanging="709"/>
        <w:jc w:val="left"/>
      </w:pPr>
      <w:r>
        <w:rPr>
          <w:rFonts w:ascii="Times New Roman" w:cs="Times New Roman" w:eastAsia="Times New Roman" w:hAnsi="Times New Roman"/>
          <w:sz w:val="24"/>
          <w:szCs w:val="24"/>
        </w:rPr>
        <w:t>[26] J. Sweller, J. J. G. van Merriënboer, and F. Paas, "Cognitive architecture and instructional design: 20 years later," Educational Psychology Review, vol. 31, no. 2, pp. 261–292, 2019, doi: 10.1007/s10648-019-09465-5.</w:t>
      </w:r>
    </w:p>
    <w:p>
      <w:pPr>
        <w:spacing w:after="120" w:line="300"/>
        <w:ind w:left="709" w:hanging="709"/>
        <w:jc w:val="left"/>
      </w:pPr>
      <w:r>
        <w:rPr>
          <w:rFonts w:ascii="Times New Roman" w:cs="Times New Roman" w:eastAsia="Times New Roman" w:hAnsi="Times New Roman"/>
          <w:sz w:val="24"/>
          <w:szCs w:val="24"/>
        </w:rPr>
        <w:t>[27] L. Huang et al., "A survey on hallucination in large language models: Principles, taxonomy, challenges, and open questions," ACM Transactions on Information Systems, vol. 43, no. 2, pp. 1–55, 2025, doi: 10.1145/3703155.</w:t>
      </w:r>
    </w:p>
    <w:p>
      <w:pPr>
        <w:spacing w:after="120" w:line="300"/>
        <w:ind w:left="709" w:hanging="709"/>
        <w:jc w:val="left"/>
      </w:pPr>
      <w:r>
        <w:rPr>
          <w:rFonts w:ascii="Times New Roman" w:cs="Times New Roman" w:eastAsia="Times New Roman" w:hAnsi="Times New Roman"/>
          <w:sz w:val="24"/>
          <w:szCs w:val="24"/>
        </w:rPr>
        <w:t>[28] L. Zheng et al., "Judging LLM-as-a-judge with MT-Bench and Chatbot Arena," in Advances in Neural Information Processing Systems 36 (NeurIPS 2023), Datasets and Benchmarks Track, 2023. [Online]. Available: https://arxiv.org/abs/2306.05685</w:t>
      </w:r>
    </w:p>
    <w:p>
      <w:pPr>
        <w:spacing w:after="120" w:line="300"/>
        <w:ind w:left="709" w:hanging="709"/>
        <w:jc w:val="left"/>
      </w:pPr>
      <w:r>
        <w:rPr>
          <w:rFonts w:ascii="Times New Roman" w:cs="Times New Roman" w:eastAsia="Times New Roman" w:hAnsi="Times New Roman"/>
          <w:sz w:val="24"/>
          <w:szCs w:val="24"/>
        </w:rPr>
        <w:t>[29] M. D. Merrill, "First principles of instruction," Educational Technology Research and Development, vol. 50, no. 3, pp. 43–59, 2002, doi: 10.1007/BF02505024.</w:t>
      </w:r>
    </w:p>
    <w:p>
      <w:pPr>
        <w:spacing w:after="120" w:line="300"/>
        <w:ind w:left="709" w:hanging="709"/>
        <w:jc w:val="left"/>
      </w:pPr>
      <w:r>
        <w:rPr>
          <w:rFonts w:ascii="Times New Roman" w:cs="Times New Roman" w:eastAsia="Times New Roman" w:hAnsi="Times New Roman"/>
          <w:sz w:val="24"/>
          <w:szCs w:val="24"/>
        </w:rPr>
        <w:t>[30] N. F. Liu et al., "Lost in the middle: How language models use long contexts," Transactions of the Association for Computational Linguistics, vol. 12, pp. 157–173, 2024, doi: 10.1162/tacl_a_00638.</w:t>
      </w:r>
    </w:p>
    <w:p>
      <w:pPr>
        <w:spacing w:after="120" w:line="300"/>
        <w:ind w:left="709" w:hanging="709"/>
        <w:jc w:val="left"/>
      </w:pPr>
      <w:r>
        <w:rPr>
          <w:rFonts w:ascii="Times New Roman" w:cs="Times New Roman" w:eastAsia="Times New Roman" w:hAnsi="Times New Roman"/>
          <w:sz w:val="24"/>
          <w:szCs w:val="24"/>
        </w:rPr>
        <w:t>[31] O. Zawacki-Richter, V. I. Marín, M. Bond, and F. Gouverneur, "Systematic review of research on artificial intelligence applications in higher education — where are the educators?," International Journal of Educational Technology in Higher Education, vol. 16, Art. no. 39, 2019, doi: 10.1186/s41239-019-0171-0.</w:t>
      </w:r>
    </w:p>
    <w:p>
      <w:pPr>
        <w:spacing w:after="120" w:line="300"/>
        <w:ind w:left="709" w:hanging="709"/>
        <w:jc w:val="left"/>
      </w:pPr>
      <w:r>
        <w:rPr>
          <w:rFonts w:ascii="Times New Roman" w:cs="Times New Roman" w:eastAsia="Times New Roman" w:hAnsi="Times New Roman"/>
          <w:sz w:val="24"/>
          <w:szCs w:val="24"/>
        </w:rPr>
        <w:t>[32] Quality Matters, QM Higher Education Rubric, 7th ed. Annapolis, MD, USA: Quality Matters, 2023. [Online]. Available: https://www.qualitymatters.org/qa-resources/rubric-standards/higher-ed-rubric</w:t>
      </w:r>
    </w:p>
    <w:p>
      <w:pPr>
        <w:spacing w:after="120" w:line="300"/>
        <w:ind w:left="709" w:hanging="709"/>
        <w:jc w:val="left"/>
      </w:pPr>
      <w:r>
        <w:rPr>
          <w:rFonts w:ascii="Times New Roman" w:cs="Times New Roman" w:eastAsia="Times New Roman" w:hAnsi="Times New Roman"/>
          <w:sz w:val="24"/>
          <w:szCs w:val="24"/>
        </w:rPr>
        <w:t>[33] R. E. Mayer, "Evidence-based principles for how to design effective instructional videos," Journal of Applied Research in Memory and Cognition, vol. 10, no. 2, pp. 229–240, 2021, doi: 10.1016/j.jarmac.2021.03.007.</w:t>
      </w:r>
    </w:p>
    <w:p>
      <w:pPr>
        <w:spacing w:after="120" w:line="300"/>
        <w:ind w:left="709" w:hanging="709"/>
        <w:jc w:val="left"/>
      </w:pPr>
      <w:r>
        <w:rPr>
          <w:rFonts w:ascii="Times New Roman" w:cs="Times New Roman" w:eastAsia="Times New Roman" w:hAnsi="Times New Roman"/>
          <w:sz w:val="24"/>
          <w:szCs w:val="24"/>
        </w:rPr>
        <w:t>[34] Regulation (EU) 2024/1689 of the European Parliament and of the Council of 13 June 2024 laying down harmonised rules on artificial intelligence (Artificial Intelligence Act), OJ L, 2024/1689, 12.7.2024. [Online]. Available: https://eur-lex.europa.eu/eli/reg/2024/1689/oj</w:t>
      </w:r>
    </w:p>
    <w:p>
      <w:pPr>
        <w:spacing w:after="120" w:line="300"/>
        <w:ind w:left="709" w:hanging="709"/>
        <w:jc w:val="left"/>
      </w:pPr>
      <w:r>
        <w:rPr>
          <w:rFonts w:ascii="Times New Roman" w:cs="Times New Roman" w:eastAsia="Times New Roman" w:hAnsi="Times New Roman"/>
          <w:sz w:val="24"/>
          <w:szCs w:val="24"/>
        </w:rPr>
        <w:t>[35] S. G. Ramezani and Z. S. Mostafavi, "Developing and validating a comprehensive scale for accreditation standards and quality assurance in e-learning institutions," Education and Information Technologies, vol. 30, no. 15, pp. 21139–21187, 2025, doi: 10.1007/s10639-025-13587-5.</w:t>
      </w:r>
    </w:p>
    <w:p>
      <w:pPr>
        <w:spacing w:after="120" w:line="300"/>
        <w:ind w:left="709" w:hanging="709"/>
        <w:jc w:val="left"/>
      </w:pPr>
      <w:r>
        <w:rPr>
          <w:rFonts w:ascii="Times New Roman" w:cs="Times New Roman" w:eastAsia="Times New Roman" w:hAnsi="Times New Roman"/>
          <w:sz w:val="24"/>
          <w:szCs w:val="24"/>
        </w:rPr>
        <w:t>[36] S. J. Warren, E. Boston Vogt, B. Tincher, and J. Yang, "Enhancing quality assurance through strategic artificial intelligence integration: A framework for higher education digital transformation," Quality Assurance in Education, vol. 34, no. 2, pp. 205–222, 2026, doi: 10.1108/QAE-09-2024-0183.</w:t>
      </w:r>
    </w:p>
    <w:p>
      <w:pPr>
        <w:spacing w:after="120" w:line="300"/>
        <w:ind w:left="709" w:hanging="709"/>
        <w:jc w:val="left"/>
      </w:pPr>
      <w:r>
        <w:rPr>
          <w:rFonts w:ascii="Times New Roman" w:cs="Times New Roman" w:eastAsia="Times New Roman" w:hAnsi="Times New Roman"/>
          <w:sz w:val="24"/>
          <w:szCs w:val="24"/>
        </w:rPr>
        <w:t>[37] UNESCO, Recommendation on Open Educational Resources (OER). Paris, France: UNESCO, 2019. [Online]. Available: https://unesdoc.unesco.org/ark:/48223/pf0000383205</w:t>
      </w:r>
    </w:p>
    <w:p>
      <w:pPr>
        <w:spacing w:after="120" w:line="300"/>
        <w:ind w:left="709" w:hanging="709"/>
        <w:jc w:val="left"/>
      </w:pPr>
      <w:r>
        <w:rPr>
          <w:rFonts w:ascii="Times New Roman" w:cs="Times New Roman" w:eastAsia="Times New Roman" w:hAnsi="Times New Roman"/>
          <w:sz w:val="24"/>
          <w:szCs w:val="24"/>
        </w:rPr>
        <w:t>[38] W. X. Zhao et al., "A survey of large language models," 2023, arXiv:2303.18223.</w:t>
      </w:r>
    </w:p>
    <w:p>
      <w:pPr>
        <w:spacing w:after="120" w:line="300"/>
        <w:ind w:left="709" w:hanging="709"/>
        <w:jc w:val="left"/>
      </w:pPr>
      <w:r>
        <w:rPr>
          <w:rFonts w:ascii="Times New Roman" w:cs="Times New Roman" w:eastAsia="Times New Roman" w:hAnsi="Times New Roman"/>
          <w:sz w:val="24"/>
          <w:szCs w:val="24"/>
        </w:rPr>
        <w:t>[39] Y. Gao et al., "Retrieval-augmented generation for large language models: A survey," 2023, arXiv:2312.10997.</w:t>
      </w:r>
    </w:p>
    <w:p>
      <w:pPr>
        <w:spacing w:after="120" w:line="300"/>
        <w:ind w:left="709" w:hanging="709"/>
        <w:jc w:val="left"/>
      </w:pPr>
      <w:r>
        <w:rPr>
          <w:rFonts w:ascii="Times New Roman" w:cs="Times New Roman" w:eastAsia="Times New Roman" w:hAnsi="Times New Roman"/>
          <w:sz w:val="24"/>
          <w:szCs w:val="24"/>
        </w:rPr>
        <w:t>[40] Z. Bahroun, C. Anane, V. Ahmed, and A. Zacca, "Transforming education: A comprehensive review of generative artificial intelligence in educational settings through bibliometric and content analysis," Sustainability, vol. 15, no. 17, Art. no. 12983, 2023, doi: 10.3390/su151712983.</w:t>
      </w:r>
    </w:p>
    <w:p>
      <w:pPr>
        <w:spacing w:after="120" w:line="300"/>
        <w:ind w:left="709" w:hanging="709"/>
        <w:jc w:val="left"/>
      </w:pPr>
      <w:r>
        <w:rPr>
          <w:rFonts w:ascii="Times New Roman" w:cs="Times New Roman" w:eastAsia="Times New Roman" w:hAnsi="Times New Roman"/>
          <w:sz w:val="24"/>
          <w:szCs w:val="24"/>
        </w:rPr>
        <w:t>[41] Z. Liu, S. X. Yin, D. H.-L. Goh, and N. F. Chen, "COGENT: A curriculum-oriented framework for generating grade-appropriate educational content," in Proc. 20th Workshop on Innovative Use of NLP for Building Educational Applications (BEA 2025), 2025, pp. 129–143, doi: 10.18653/v1/2025.bea-1.10.</w:t>
      </w:r>
    </w:p>
    <w:p>
      <w:pPr>
        <w:spacing w:after="120" w:line="300"/>
        <w:ind w:left="709" w:hanging="709"/>
        <w:jc w:val="left"/>
      </w:pPr>
      <w:r>
        <w:rPr>
          <w:rFonts w:ascii="Times New Roman" w:cs="Times New Roman" w:eastAsia="Times New Roman" w:hAnsi="Times New Roman"/>
          <w:sz w:val="24"/>
          <w:szCs w:val="24"/>
        </w:rPr>
        <w:t>[42] Z. Wang, S.-Y. Gong, S. Xu, and X.-E. Hu, "Elaborated feedback and learning: Examining cognitive and motivational influences," Computers &amp; Education, vol. 136, pp. 130–140, 2019, doi: 10.1016/j.compedu.2019.04.003.</w:t>
      </w:r>
    </w:p>
    <w:sectPr>
      <w:pgSz w:w="11906" w:h="16838" w:orient="portrait"/>
      <w:pgMar w:top="1440" w:right="1440"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200" w:before="300"/>
      <w:outlineLvl w:val="1"/>
    </w:pPr>
    <w:rPr>
      <w:rFonts w:ascii="Times New Roman" w:cs="Times New Roman" w:eastAsia="Times New Roman" w:hAnsi="Times New Roman"/>
      <w:b/>
      <w:bCs/>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2026-08-27T17:12:33.883Z</dcterms:created>
  <dcterms:modified xsi:type="dcterms:W3CDTF">2026-08-27T17:12:33.883Z</dcterms:modified>
</cp:coreProperties>
</file>

<file path=docProps/custom.xml><?xml version="1.0" encoding="utf-8"?>
<Properties xmlns="http://schemas.openxmlformats.org/officeDocument/2006/custom-properties" xmlns:vt="http://schemas.openxmlformats.org/officeDocument/2006/docPropsVTypes"/>
</file>