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sz w:val="32"/>
          <w:szCs w:val="32"/>
        </w:rPr>
        <w:t xml:space="preserve">МОДЕЛ ЗА ОЦЕНЯВАНЕ НА КАЧЕСТВОТО НА ЕЛЕКТРОННО УЧЕБНО СЪДЪРЖАНИЕ, РАЗРАБОТЕНО С ГЕНЕРАТИВНИ AI ИНСТРУМЕНТИ</w:t>
      </w:r>
    </w:p>
    <w:p>
      <w:pPr>
        <w:spacing w:after="240" w:line="276"/>
        <w:jc w:val="left"/>
      </w:pPr>
      <w:r>
        <w:rPr>
          <w:rFonts w:ascii="Times New Roman" w:cs="Times New Roman" w:eastAsia="Times New Roman" w:hAnsi="Times New Roman"/>
          <w:i/>
          <w:iCs/>
          <w:color w:val="666666"/>
          <w:sz w:val="20"/>
          <w:szCs w:val="20"/>
        </w:rPr>
        <w:t xml:space="preserve">Работна чернова. Цитиране: IEEE — [номер] по ред на първо цитиране; номерата и списъкът с източници се генерират автоматично при всяко построяване на документа.</w:t>
      </w:r>
    </w:p>
    <w:p>
      <w:pPr>
        <w:pStyle w:val="Heading1"/>
      </w:pPr>
      <w:r>
        <w:rPr>
          <w:rFonts w:ascii="Times New Roman" w:cs="Times New Roman" w:eastAsia="Times New Roman" w:hAnsi="Times New Roman"/>
          <w:b/>
          <w:bCs/>
          <w:sz w:val="28"/>
          <w:szCs w:val="28"/>
        </w:rPr>
        <w:t xml:space="preserve">РЕЗЮМЕ</w:t>
      </w:r>
    </w:p>
    <w:p>
      <w:pPr>
        <w:spacing w:after="120" w:line="360"/>
        <w:ind w:firstLine="709"/>
        <w:jc w:val="both"/>
      </w:pPr>
      <w:r>
        <w:rPr>
          <w:rFonts w:ascii="Times New Roman" w:cs="Times New Roman" w:eastAsia="Times New Roman" w:hAnsi="Times New Roman"/>
          <w:sz w:val="24"/>
          <w:szCs w:val="24"/>
        </w:rPr>
        <w:t xml:space="preserve">[Резюмето се изготвя след завършването на пълния текст: тема, цел, методика, основни резултати и приноси в обем до една страница.]</w:t>
      </w:r>
    </w:p>
    <w:p>
      <w:pPr>
        <w:pStyle w:val="Heading1"/>
      </w:pPr>
      <w:r>
        <w:rPr>
          <w:rFonts w:ascii="Times New Roman" w:cs="Times New Roman" w:eastAsia="Times New Roman" w:hAnsi="Times New Roman"/>
          <w:b/>
          <w:bCs/>
          <w:sz w:val="28"/>
          <w:szCs w:val="28"/>
        </w:rPr>
        <w:t xml:space="preserve">УВОД</w:t>
      </w:r>
    </w:p>
    <w:p>
      <w:pPr>
        <w:spacing w:after="120" w:line="360"/>
        <w:ind w:firstLine="709"/>
        <w:jc w:val="both"/>
      </w:pPr>
      <w:r>
        <w:rPr>
          <w:rFonts w:ascii="Times New Roman" w:cs="Times New Roman" w:eastAsia="Times New Roman" w:hAnsi="Times New Roman"/>
          <w:sz w:val="24"/>
          <w:szCs w:val="24"/>
        </w:rPr>
        <w:t xml:space="preserve">Масовото навлизане на генеративните инструменти с изкуствен интелект промени за няколко години начина, по който се създава електронно учебно съдържание. Материали, чиято подготовка доскоро изискваше дни, днес се генерират за минути — учебни текстове, тестови въпроси, указания за самоподготовка — и тази възможност вече се използва широко в образователната практика. Скоростта обаче има цена: съдържанието, произведено от вероятностни езикови модели, не носи гаранция за фактическа вярност, педагогическа издържаност или оригиналност, а неговите дефекти са систематично невидими за повърхностен преглед. Между лекотата на създаването и отговорността за качеството се отваря празнина, която образователната практика днес запълва предимно с интуитивна лична преценка. Настоящата работа предлага систематична алтернатива.</w:t>
      </w:r>
    </w:p>
    <w:p>
      <w:pPr>
        <w:spacing w:after="120" w:line="360"/>
        <w:ind w:firstLine="709"/>
        <w:jc w:val="both"/>
      </w:pPr>
      <w:r>
        <w:rPr>
          <w:rFonts w:ascii="Times New Roman" w:cs="Times New Roman" w:eastAsia="Times New Roman" w:hAnsi="Times New Roman"/>
          <w:sz w:val="24"/>
          <w:szCs w:val="24"/>
        </w:rPr>
        <w:t xml:space="preserve">Обект на изследването е електронното учебно съдържание, създавано с генеративни инструменти с изкуствен интелект. Предмет на изследването са качеството на това съдържание — неговите измерения, критерии и типични дефицити — и възможността то да бъде оценявано системно чрез специализиран модел, приложим в практиката на преподавателя.</w:t>
      </w:r>
    </w:p>
    <w:p>
      <w:pPr>
        <w:spacing w:after="120" w:line="360"/>
        <w:ind w:firstLine="709"/>
        <w:jc w:val="both"/>
      </w:pPr>
      <w:r>
        <w:rPr>
          <w:rFonts w:ascii="Times New Roman" w:cs="Times New Roman" w:eastAsia="Times New Roman" w:hAnsi="Times New Roman"/>
          <w:sz w:val="24"/>
          <w:szCs w:val="24"/>
        </w:rPr>
        <w:t xml:space="preserve">Целта на работата е да бъде разработен и апробиран модел за оценяване на качеството на електронно учебно съдържание, създадено с генеративни AI инструменти. Постигането на целта преминава през шест изследователски задачи: първо, да се изяснят същността, видовете и педагогическите изисквания към електронното учебно съдържание и характеристиките на генеративните инструменти; второ, да се анализират съществуващите подходи и критерии за оценяване на качеството и тяхната приложимост към генерирано съдържание; трето, да се систематизират типичните дефицити на генерираното съдържание и да се изведат изисквания към модел за оценяване; четвърто, да се конструира моделът — области, критерии и показатели, скала, оценъчна карта и процедура за приложение; пето, моделът да бъде апробиран върху избрани генерирани учебни материали; и шесто, въз основа на резултатите да се формулират изводи и препоръки за приложение в практиката.</w:t>
      </w:r>
    </w:p>
    <w:p>
      <w:pPr>
        <w:spacing w:after="120" w:line="360"/>
        <w:ind w:firstLine="709"/>
        <w:jc w:val="both"/>
      </w:pPr>
      <w:r>
        <w:rPr>
          <w:rFonts w:ascii="Times New Roman" w:cs="Times New Roman" w:eastAsia="Times New Roman" w:hAnsi="Times New Roman"/>
          <w:sz w:val="24"/>
          <w:szCs w:val="24"/>
        </w:rPr>
        <w:t xml:space="preserve">Изследователската теза на работата е следната: качеството на учебното съдържание, създадено с генеративни инструменти, е структурно негарантирано поради самия принцип на действие на тези инструменти, но може да бъде системно оценявано от отделен преподавател чрез критериален модел с проверими показатели, некомпенсаторна скала с праг на допустимост и документирана, икономична процедура — и такова оценяване е необходимото условие за отговорното използване на генеративните инструменти в обучението.</w:t>
      </w:r>
    </w:p>
    <w:p>
      <w:pPr>
        <w:spacing w:after="120" w:line="360"/>
        <w:ind w:firstLine="709"/>
        <w:jc w:val="both"/>
      </w:pPr>
      <w:r>
        <w:rPr>
          <w:rFonts w:ascii="Times New Roman" w:cs="Times New Roman" w:eastAsia="Times New Roman" w:hAnsi="Times New Roman"/>
          <w:sz w:val="24"/>
          <w:szCs w:val="24"/>
        </w:rPr>
        <w:t xml:space="preserve">За постигане на целта са използвани следните методи: теоретичен анализ и синтез на научната литература; сравнителен анализ на съществуващи подходи, рамки и стандарти за оценяване на качество; моделиране — за конструиране на системата от области, критерии, показатели и правила; и апробиране чрез структурирано експертно оценяване на генерирани материали по документиран протокол.</w:t>
      </w:r>
    </w:p>
    <w:p>
      <w:pPr>
        <w:spacing w:after="120" w:line="360"/>
        <w:ind w:firstLine="709"/>
        <w:jc w:val="both"/>
      </w:pPr>
      <w:r>
        <w:rPr>
          <w:rFonts w:ascii="Times New Roman" w:cs="Times New Roman" w:eastAsia="Times New Roman" w:hAnsi="Times New Roman"/>
          <w:sz w:val="24"/>
          <w:szCs w:val="24"/>
        </w:rPr>
        <w:t xml:space="preserve">Обхватът на работата е съзнателно ограничен, а ограниченията са декларирани изрично. Апробирането обхваща три вида текстово учебно съдържание, генерирани от два широкодостъпни инструмента, върху една предметна област — уеб разработка с рамката Angular — избрана заради професионалната предметна компетентност на автора, необходима за фактологическата проверка; материалите са на български език; оценяването е извършено от един оценител. Тези ограничения определят и границите на изводите: работата се произнася за приложимостта на модела, а не за представително сравнение на генеративни инструменти. Изложението следва структура от три глави: първа глава полага теоретичните основи; втора глава анализира критериите, дефицитите и изискванията към бъдещия модел; трета глава конструира модела и го апробира, завършвайки с препоръки за приложението му в практиката на електронното обучение.</w:t>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6"/>
          <w:szCs w:val="26"/>
        </w:rPr>
        <w:t xml:space="preserve">1.1. Същност и видове електронно учебно съдържание</w:t>
      </w:r>
    </w:p>
    <w:p>
      <w:pPr>
        <w:spacing w:after="120" w:line="360"/>
        <w:ind w:firstLine="709"/>
        <w:jc w:val="both"/>
      </w:pPr>
      <w:r>
        <w:rPr>
          <w:rFonts w:ascii="Times New Roman" w:cs="Times New Roman" w:eastAsia="Times New Roman" w:hAnsi="Times New Roman"/>
          <w:sz w:val="24"/>
          <w:szCs w:val="24"/>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709"/>
        <w:jc w:val="both"/>
      </w:pPr>
      <w:r>
        <w:rPr>
          <w:rFonts w:ascii="Times New Roman" w:cs="Times New Roman" w:eastAsia="Times New Roman" w:hAnsi="Times New Roman"/>
          <w:sz w:val="24"/>
          <w:szCs w:val="24"/>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[1,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709"/>
        <w:jc w:val="both"/>
      </w:pPr>
      <w:r>
        <w:rPr>
          <w:rFonts w:ascii="Times New Roman" w:cs="Times New Roman" w:eastAsia="Times New Roman" w:hAnsi="Times New Roman"/>
          <w:sz w:val="24"/>
          <w:szCs w:val="24"/>
        </w:rPr>
        <w:t xml:space="preserve">Понятието се нуждае и от разграничаване от съседни на него термини, които в практиката често се смесват. Електронното обучение обозначава формата на организация на учебния процес; електронната образователна среда — технологичната платформа, в която той протича; а електронното учебно съдържание е самият учебен материал, който средата поднася и формата организира.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709"/>
        <w:jc w:val="both"/>
      </w:pPr>
      <w:r>
        <w:rPr>
          <w:rFonts w:ascii="Times New Roman" w:cs="Times New Roman" w:eastAsia="Times New Roman" w:hAnsi="Times New Roman"/>
          <w:sz w:val="24"/>
          <w:szCs w:val="24"/>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[2, обл. 2].</w:t>
      </w:r>
    </w:p>
    <w:p>
      <w:pPr>
        <w:spacing w:after="120" w:line="360"/>
        <w:ind w:firstLine="709"/>
        <w:jc w:val="both"/>
      </w:pPr>
      <w:r>
        <w:rPr>
          <w:rFonts w:ascii="Times New Roman" w:cs="Times New Roman" w:eastAsia="Times New Roman" w:hAnsi="Times New Roman"/>
          <w:sz w:val="24"/>
          <w:szCs w:val="24"/>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709"/>
        <w:jc w:val="both"/>
      </w:pPr>
      <w:r>
        <w:rPr>
          <w:rFonts w:ascii="Times New Roman" w:cs="Times New Roman" w:eastAsia="Times New Roman" w:hAnsi="Times New Roman"/>
          <w:sz w:val="24"/>
          <w:szCs w:val="24"/>
        </w:rPr>
        <w:t xml:space="preserve">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709"/>
        <w:jc w:val="both"/>
      </w:pPr>
      <w:r>
        <w:rPr>
          <w:rFonts w:ascii="Times New Roman" w:cs="Times New Roman" w:eastAsia="Times New Roman" w:hAnsi="Times New Roman"/>
          <w:sz w:val="24"/>
          <w:szCs w:val="24"/>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[1,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[3].</w:t>
      </w:r>
    </w:p>
    <w:p>
      <w:pPr>
        <w:spacing w:after="120" w:line="360"/>
        <w:ind w:firstLine="709"/>
        <w:jc w:val="both"/>
      </w:pPr>
      <w:r>
        <w:rPr>
          <w:rFonts w:ascii="Times New Roman" w:cs="Times New Roman" w:eastAsia="Times New Roman" w:hAnsi="Times New Roman"/>
          <w:sz w:val="24"/>
          <w:szCs w:val="24"/>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[4].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709"/>
        <w:jc w:val="both"/>
      </w:pPr>
      <w:r>
        <w:rPr>
          <w:rFonts w:ascii="Times New Roman" w:cs="Times New Roman" w:eastAsia="Times New Roman" w:hAnsi="Times New Roman"/>
          <w:sz w:val="24"/>
          <w:szCs w:val="24"/>
        </w:rPr>
        <w:t xml:space="preserve">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[5].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709"/>
        <w:jc w:val="both"/>
      </w:pPr>
      <w:r>
        <w:rPr>
          <w:rFonts w:ascii="Times New Roman" w:cs="Times New Roman" w:eastAsia="Times New Roman" w:hAnsi="Times New Roman"/>
          <w:sz w:val="24"/>
          <w:szCs w:val="24"/>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709"/>
        <w:jc w:val="both"/>
      </w:pPr>
      <w:r>
        <w:rPr>
          <w:rFonts w:ascii="Times New Roman" w:cs="Times New Roman" w:eastAsia="Times New Roman" w:hAnsi="Times New Roman"/>
          <w:sz w:val="24"/>
          <w:szCs w:val="24"/>
        </w:rPr>
        <w:t xml:space="preserve">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при това по публично обявен график: широко използвани софтуерни рамки издават основни версии веднъж или два пъти годишно, а поддръжката на всяка версия е ограничена във времето [6].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709"/>
        <w:jc w:val="both"/>
      </w:pPr>
      <w:r>
        <w:rPr>
          <w:rFonts w:ascii="Times New Roman" w:cs="Times New Roman" w:eastAsia="Times New Roman" w:hAnsi="Times New Roman"/>
          <w:sz w:val="24"/>
          <w:szCs w:val="24"/>
        </w:rPr>
        <w:t xml:space="preserve">Накрая, оста на произхода заслужава разгръщане, защото с нея е свързан и контролът на качеството. Институционално създаваното съдържание — учебници, официални курсове — по правило преминава редакционен и рецензионен процес; съдържанието, създавано от отделния преподавател, се опира на неговата експертиза и понякога на колегиален преглед; съдържанието, създавано от самите обучаеми, се използва с изрична уговорка за статута му. Генеративно създаденото съдържание е единственият масов вид, който по подразбиране не преминава през никакъв утвърден контролен механизъм: то се произвежда извън редакционни процеси, а привидната му завършеност не подсказва нужда от преглед. Тази асиметрия между произход и контрол е още една формулировка на празнината, която настоящата работа адресира.</w:t>
      </w:r>
    </w:p>
    <w:p>
      <w:pPr>
        <w:spacing w:after="120" w:line="360"/>
        <w:ind w:firstLine="709"/>
        <w:jc w:val="both"/>
      </w:pPr>
      <w:r>
        <w:rPr>
          <w:rFonts w:ascii="Times New Roman" w:cs="Times New Roman" w:eastAsia="Times New Roman" w:hAnsi="Times New Roman"/>
          <w:sz w:val="24"/>
          <w:szCs w:val="24"/>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[7].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6"/>
          <w:szCs w:val="26"/>
        </w:rPr>
        <w:t xml:space="preserve">1.2. Педагогически изисквания към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709"/>
        <w:jc w:val="both"/>
      </w:pPr>
      <w:r>
        <w:rPr>
          <w:rFonts w:ascii="Times New Roman" w:cs="Times New Roman" w:eastAsia="Times New Roman" w:hAnsi="Times New Roman"/>
          <w:sz w:val="24"/>
          <w:szCs w:val="24"/>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[8,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709"/>
        <w:jc w:val="both"/>
      </w:pPr>
      <w:r>
        <w:rPr>
          <w:rFonts w:ascii="Times New Roman" w:cs="Times New Roman" w:eastAsia="Times New Roman" w:hAnsi="Times New Roman"/>
          <w:sz w:val="24"/>
          <w:szCs w:val="24"/>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[9].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709"/>
        <w:jc w:val="both"/>
      </w:pPr>
      <w:r>
        <w:rPr>
          <w:rFonts w:ascii="Times New Roman" w:cs="Times New Roman" w:eastAsia="Times New Roman" w:hAnsi="Times New Roman"/>
          <w:sz w:val="24"/>
          <w:szCs w:val="24"/>
        </w:rPr>
        <w:t xml:space="preserve">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свързано с изграждането на трайни знания; централното ѝ предписание е външното натоварване да се минимизира, за да остане капацитетът на работната памет за същинското учене [10].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709"/>
        <w:jc w:val="both"/>
      </w:pPr>
      <w:r>
        <w:rPr>
          <w:rFonts w:ascii="Times New Roman" w:cs="Times New Roman" w:eastAsia="Times New Roman" w:hAnsi="Times New Roman"/>
          <w:sz w:val="24"/>
          <w:szCs w:val="24"/>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709"/>
        <w:jc w:val="both"/>
      </w:pPr>
      <w:r>
        <w:rPr>
          <w:rFonts w:ascii="Times New Roman" w:cs="Times New Roman" w:eastAsia="Times New Roman" w:hAnsi="Times New Roman"/>
          <w:sz w:val="24"/>
          <w:szCs w:val="24"/>
        </w:rPr>
        <w:t xml:space="preserve">Петте области изисквания се проявяват различно при различните видове съдържание, което има значение за оценяването. При електронния урок водещи са последователността, управлението на натоварването и активното учене; при тестовите въпроси — съответствието с целите, еднозначността на верния отговор и качеството на обратната връзка към всеки отговор; при указанията за самоподготовка — пълнотата и изпълнимостта на стъпките и предвиждането на типичните затруднения. Общата рамка остава една и съща, но тежестта на отделните изисквания се мести — обстоятелство, което всеки модел за оценяване трябва да отчете чрез тълкуване на критериите според вида на материала, а не чрез отделни системи от критерии за всеки вид.</w:t>
      </w:r>
    </w:p>
    <w:p>
      <w:pPr>
        <w:spacing w:after="120" w:line="360"/>
        <w:ind w:firstLine="709"/>
        <w:jc w:val="both"/>
      </w:pPr>
      <w:r>
        <w:rPr>
          <w:rFonts w:ascii="Times New Roman" w:cs="Times New Roman" w:eastAsia="Times New Roman" w:hAnsi="Times New Roman"/>
          <w:sz w:val="24"/>
          <w:szCs w:val="24"/>
        </w:rPr>
        <w:t xml:space="preserve">Изискванията към структурата имат и количествено измерение, което рядко се формулира изрично, но е съществено при оценяване: обемът на материала спрямо отделеното за него учебно време. Материал, замислен за едно занятие, но написан с обем за три, не е по-добър от по-краткия — той е неизползваем в предвидената форма и принуждава преподавателя или да го съкращава, или да пренарежда курса. Генерираното съдържание е особено податливо на този дефект по две причини: моделът няма представа за учебното време, а зададеният в заявката обем се спазва приблизително. Затова съответствието между обем, сложност и разполагаемо време влиза сред проверимите показатели, а не се приема за подразбиращо се.</w:t>
      </w:r>
    </w:p>
    <w:p>
      <w:pPr>
        <w:spacing w:after="120" w:line="360"/>
        <w:ind w:firstLine="709"/>
        <w:jc w:val="both"/>
      </w:pPr>
      <w:r>
        <w:rPr>
          <w:rFonts w:ascii="Times New Roman" w:cs="Times New Roman" w:eastAsia="Times New Roman" w:hAnsi="Times New Roman"/>
          <w:sz w:val="24"/>
          <w:szCs w:val="24"/>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[1,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709"/>
        <w:jc w:val="both"/>
      </w:pPr>
      <w:r>
        <w:rPr>
          <w:rFonts w:ascii="Times New Roman" w:cs="Times New Roman" w:eastAsia="Times New Roman" w:hAnsi="Times New Roman"/>
          <w:sz w:val="24"/>
          <w:szCs w:val="24"/>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[2, обл. 2].</w:t>
      </w:r>
    </w:p>
    <w:p>
      <w:pPr>
        <w:spacing w:after="120" w:line="360"/>
        <w:ind w:firstLine="709"/>
        <w:jc w:val="both"/>
      </w:pPr>
      <w:r>
        <w:rPr>
          <w:rFonts w:ascii="Times New Roman" w:cs="Times New Roman" w:eastAsia="Times New Roman" w:hAnsi="Times New Roman"/>
          <w:sz w:val="24"/>
          <w:szCs w:val="24"/>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[1,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709"/>
        <w:jc w:val="both"/>
      </w:pPr>
      <w:r>
        <w:rPr>
          <w:rFonts w:ascii="Times New Roman" w:cs="Times New Roman" w:eastAsia="Times New Roman" w:hAnsi="Times New Roman"/>
          <w:sz w:val="24"/>
          <w:szCs w:val="24"/>
        </w:rPr>
        <w:t xml:space="preserve">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защо даден отговор е грешен, каква представа стои зад грешката и как тя се преодолява. В самостоятелното електронно обучение това изискване е още по-строго, тъй като обучаемият няма към кого да се обърне при затруднение — обратната връзка е единственият заместител на преподавателския отговор.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709"/>
        <w:jc w:val="both"/>
      </w:pPr>
      <w:r>
        <w:rPr>
          <w:rFonts w:ascii="Times New Roman" w:cs="Times New Roman" w:eastAsia="Times New Roman" w:hAnsi="Times New Roman"/>
          <w:sz w:val="24"/>
          <w:szCs w:val="24"/>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709"/>
        <w:jc w:val="both"/>
      </w:pPr>
      <w:r>
        <w:rPr>
          <w:rFonts w:ascii="Times New Roman" w:cs="Times New Roman" w:eastAsia="Times New Roman" w:hAnsi="Times New Roman"/>
          <w:sz w:val="24"/>
          <w:szCs w:val="24"/>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[11]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709"/>
        <w:jc w:val="both"/>
      </w:pPr>
      <w:r>
        <w:rPr>
          <w:rFonts w:ascii="Times New Roman" w:cs="Times New Roman" w:eastAsia="Times New Roman" w:hAnsi="Times New Roman"/>
          <w:sz w:val="24"/>
          <w:szCs w:val="24"/>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във втора глава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6"/>
          <w:szCs w:val="26"/>
        </w:rPr>
        <w:t xml:space="preserve">1.3. Същност и основни характеристики на генеративните инструменти с изкуствен интелект</w:t>
      </w:r>
    </w:p>
    <w:p>
      <w:pPr>
        <w:spacing w:after="120" w:line="360"/>
        <w:ind w:firstLine="709"/>
        <w:jc w:val="both"/>
      </w:pPr>
      <w:r>
        <w:rPr>
          <w:rFonts w:ascii="Times New Roman" w:cs="Times New Roman" w:eastAsia="Times New Roman" w:hAnsi="Times New Roman"/>
          <w:sz w:val="24"/>
          <w:szCs w:val="24"/>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[7].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709"/>
        <w:jc w:val="both"/>
      </w:pPr>
      <w:r>
        <w:rPr>
          <w:rFonts w:ascii="Times New Roman" w:cs="Times New Roman" w:eastAsia="Times New Roman" w:hAnsi="Times New Roman"/>
          <w:sz w:val="24"/>
          <w:szCs w:val="24"/>
        </w:rPr>
        <w:t xml:space="preserve">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предсказва следващата единица въз основа на предходните. Втората е контекстният прозорец — ограниченият обем текст, който моделът може да отчита едновременно; при по-дълги материали началото на изложението може да влияе по-слабо върху края му, което е една от причините за наблюдаваната терминологична непоследователност в дълги генерирани текстове. Третата е вероятностният подбор при генерирането: при едни и същи входни данни моделът може да произведе различни изходи, тъй като следващата единица се избира от разпределение, а не еднозначно.</w:t>
      </w:r>
    </w:p>
    <w:p>
      <w:pPr>
        <w:spacing w:after="120" w:line="360"/>
        <w:ind w:firstLine="709"/>
        <w:jc w:val="both"/>
      </w:pPr>
      <w:r>
        <w:rPr>
          <w:rFonts w:ascii="Times New Roman" w:cs="Times New Roman" w:eastAsia="Times New Roman" w:hAnsi="Times New Roman"/>
          <w:sz w:val="24"/>
          <w:szCs w:val="24"/>
        </w:rPr>
        <w:t xml:space="preserve">Третата характеристика има съществено методологическо следствие, което засяга пряко апробирането в трета глава: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настоящото, и се декларира изрично в точка 3.7.</w:t>
      </w:r>
    </w:p>
    <w:p>
      <w:pPr>
        <w:spacing w:after="120" w:line="360"/>
        <w:ind w:firstLine="709"/>
        <w:jc w:val="both"/>
      </w:pPr>
      <w:r>
        <w:rPr>
          <w:rFonts w:ascii="Times New Roman" w:cs="Times New Roman" w:eastAsia="Times New Roman" w:hAnsi="Times New Roman"/>
          <w:sz w:val="24"/>
          <w:szCs w:val="24"/>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[12].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709"/>
        <w:jc w:val="both"/>
      </w:pPr>
      <w:r>
        <w:rPr>
          <w:rFonts w:ascii="Times New Roman" w:cs="Times New Roman" w:eastAsia="Times New Roman" w:hAnsi="Times New Roman"/>
          <w:sz w:val="24"/>
          <w:szCs w:val="24"/>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[12].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[7].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709"/>
        <w:jc w:val="both"/>
      </w:pPr>
      <w:r>
        <w:rPr>
          <w:rFonts w:ascii="Times New Roman" w:cs="Times New Roman" w:eastAsia="Times New Roman" w:hAnsi="Times New Roman"/>
          <w:sz w:val="24"/>
          <w:szCs w:val="24"/>
        </w:rPr>
        <w:t xml:space="preserve">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извличането на съдържание от външен източник преди генерирането — известно като генериране, обогатено с извличане — привързва отговора към конкретни документи и намалява дела на измислиците.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[13].</w:t>
      </w:r>
    </w:p>
    <w:p>
      <w:pPr>
        <w:spacing w:after="120" w:line="360"/>
        <w:ind w:firstLine="709"/>
        <w:jc w:val="both"/>
      </w:pPr>
      <w:r>
        <w:rPr>
          <w:rFonts w:ascii="Times New Roman" w:cs="Times New Roman" w:eastAsia="Times New Roman" w:hAnsi="Times New Roman"/>
          <w:sz w:val="24"/>
          <w:szCs w:val="24"/>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[12].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709"/>
        <w:jc w:val="both"/>
      </w:pPr>
      <w:r>
        <w:rPr>
          <w:rFonts w:ascii="Times New Roman" w:cs="Times New Roman" w:eastAsia="Times New Roman" w:hAnsi="Times New Roman"/>
          <w:sz w:val="24"/>
          <w:szCs w:val="24"/>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[13].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709"/>
        <w:jc w:val="both"/>
      </w:pPr>
      <w:r>
        <w:rPr>
          <w:rFonts w:ascii="Times New Roman" w:cs="Times New Roman" w:eastAsia="Times New Roman" w:hAnsi="Times New Roman"/>
          <w:sz w:val="24"/>
          <w:szCs w:val="24"/>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709"/>
        <w:jc w:val="both"/>
      </w:pPr>
      <w:r>
        <w:rPr>
          <w:rFonts w:ascii="Times New Roman" w:cs="Times New Roman" w:eastAsia="Times New Roman" w:hAnsi="Times New Roman"/>
          <w:sz w:val="24"/>
          <w:szCs w:val="24"/>
        </w:rPr>
        <w:t xml:space="preserve">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709"/>
        <w:jc w:val="both"/>
      </w:pPr>
      <w:r>
        <w:rPr>
          <w:rFonts w:ascii="Times New Roman" w:cs="Times New Roman" w:eastAsia="Times New Roman" w:hAnsi="Times New Roman"/>
          <w:sz w:val="24"/>
          <w:szCs w:val="24"/>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709"/>
        <w:jc w:val="both"/>
      </w:pPr>
      <w:r>
        <w:rPr>
          <w:rFonts w:ascii="Times New Roman" w:cs="Times New Roman" w:eastAsia="Times New Roman" w:hAnsi="Times New Roman"/>
          <w:sz w:val="24"/>
          <w:szCs w:val="24"/>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изведени във втора глава.</w:t>
      </w:r>
    </w:p>
    <w:p>
      <w:pPr>
        <w:spacing w:after="120" w:line="360"/>
        <w:ind w:firstLine="709"/>
        <w:jc w:val="both"/>
      </w:pPr>
      <w:r>
        <w:rPr>
          <w:rFonts w:ascii="Times New Roman" w:cs="Times New Roman" w:eastAsia="Times New Roman" w:hAnsi="Times New Roman"/>
          <w:sz w:val="24"/>
          <w:szCs w:val="24"/>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6"/>
          <w:szCs w:val="26"/>
        </w:rPr>
        <w:t xml:space="preserve">1.4. Възможности за използване на генеративни AI инструменти при разработване на учебни материали</w:t>
      </w:r>
    </w:p>
    <w:p>
      <w:pPr>
        <w:spacing w:after="120" w:line="360"/>
        <w:ind w:firstLine="709"/>
        <w:jc w:val="both"/>
      </w:pPr>
      <w:r>
        <w:rPr>
          <w:rFonts w:ascii="Times New Roman" w:cs="Times New Roman" w:eastAsia="Times New Roman" w:hAnsi="Times New Roman"/>
          <w:sz w:val="24"/>
          <w:szCs w:val="24"/>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[7].</w:t>
      </w:r>
    </w:p>
    <w:p>
      <w:pPr>
        <w:spacing w:after="120" w:line="360"/>
        <w:ind w:firstLine="709"/>
        <w:jc w:val="both"/>
      </w:pPr>
      <w:r>
        <w:rPr>
          <w:rFonts w:ascii="Times New Roman" w:cs="Times New Roman" w:eastAsia="Times New Roman" w:hAnsi="Times New Roman"/>
          <w:sz w:val="24"/>
          <w:szCs w:val="24"/>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[12].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709"/>
        <w:jc w:val="both"/>
      </w:pPr>
      <w:r>
        <w:rPr>
          <w:rFonts w:ascii="Times New Roman" w:cs="Times New Roman" w:eastAsia="Times New Roman" w:hAnsi="Times New Roman"/>
          <w:sz w:val="24"/>
          <w:szCs w:val="24"/>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[14].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[15].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709"/>
        <w:jc w:val="both"/>
      </w:pPr>
      <w:r>
        <w:rPr>
          <w:rFonts w:ascii="Times New Roman" w:cs="Times New Roman" w:eastAsia="Times New Roman" w:hAnsi="Times New Roman"/>
          <w:sz w:val="24"/>
          <w:szCs w:val="24"/>
        </w:rPr>
        <w:t xml:space="preserve">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адаптивен алгоритъм изгражда индивидуален профил на обучаемия, генерира клинични сценарии и тестове съобразно равнището му и анализира допуснатите грешки [16].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709"/>
        <w:jc w:val="both"/>
      </w:pPr>
      <w:r>
        <w:rPr>
          <w:rFonts w:ascii="Times New Roman" w:cs="Times New Roman" w:eastAsia="Times New Roman" w:hAnsi="Times New Roman"/>
          <w:sz w:val="24"/>
          <w:szCs w:val="24"/>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[17].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[18].</w:t>
      </w:r>
    </w:p>
    <w:p>
      <w:pPr>
        <w:spacing w:after="120" w:line="360"/>
        <w:ind w:firstLine="709"/>
        <w:jc w:val="both"/>
      </w:pPr>
      <w:r>
        <w:rPr>
          <w:rFonts w:ascii="Times New Roman" w:cs="Times New Roman" w:eastAsia="Times New Roman" w:hAnsi="Times New Roman"/>
          <w:sz w:val="24"/>
          <w:szCs w:val="24"/>
        </w:rPr>
        <w:t xml:space="preserve">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показва, че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[19].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Публикуваните описания на инструментални работни процеси в български висши училища съобщават за съкращаване на времето за подготовка на стандартни учебни материали със 75–90 на сто [20], което дава количествено измерение на стимула за масово навлизане на тези практики.</w:t>
      </w:r>
    </w:p>
    <w:p>
      <w:pPr>
        <w:spacing w:after="120" w:line="360"/>
        <w:ind w:firstLine="709"/>
        <w:jc w:val="both"/>
      </w:pPr>
      <w:r>
        <w:rPr>
          <w:rFonts w:ascii="Times New Roman" w:cs="Times New Roman" w:eastAsia="Times New Roman" w:hAnsi="Times New Roman"/>
          <w:sz w:val="24"/>
          <w:szCs w:val="24"/>
        </w:rPr>
        <w:t xml:space="preserve">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[21].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709"/>
        <w:jc w:val="both"/>
      </w:pPr>
      <w:r>
        <w:rPr>
          <w:rFonts w:ascii="Times New Roman" w:cs="Times New Roman" w:eastAsia="Times New Roman" w:hAnsi="Times New Roman"/>
          <w:sz w:val="24"/>
          <w:szCs w:val="24"/>
        </w:rPr>
        <w:t xml:space="preserve">Отделен фактор, който преминава през всички равнища, е формулирането на заявката. Практическите ръководства за преподаватели извеждат повтарящ се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[20].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709"/>
        <w:jc w:val="both"/>
      </w:pPr>
      <w:r>
        <w:rPr>
          <w:rFonts w:ascii="Times New Roman" w:cs="Times New Roman" w:eastAsia="Times New Roman" w:hAnsi="Times New Roman"/>
          <w:sz w:val="24"/>
          <w:szCs w:val="24"/>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709"/>
        <w:jc w:val="both"/>
      </w:pPr>
      <w:r>
        <w:rPr>
          <w:rFonts w:ascii="Times New Roman" w:cs="Times New Roman" w:eastAsia="Times New Roman" w:hAnsi="Times New Roman"/>
          <w:sz w:val="24"/>
          <w:szCs w:val="24"/>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709"/>
        <w:jc w:val="both"/>
      </w:pPr>
      <w:r>
        <w:rPr>
          <w:rFonts w:ascii="Times New Roman" w:cs="Times New Roman" w:eastAsia="Times New Roman" w:hAnsi="Times New Roman"/>
          <w:sz w:val="24"/>
          <w:szCs w:val="24"/>
        </w:rPr>
        <w:t xml:space="preserve">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проследимостта е частична: процесът е документиран, но междинните стъпки често не се съхраняват.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6"/>
          <w:szCs w:val="26"/>
        </w:rPr>
        <w:t xml:space="preserve">1.5. Предимства, ограничения и рискове при използването им в образованието</w:t>
      </w:r>
    </w:p>
    <w:p>
      <w:pPr>
        <w:spacing w:after="120" w:line="360"/>
        <w:ind w:firstLine="709"/>
        <w:jc w:val="both"/>
      </w:pPr>
      <w:r>
        <w:rPr>
          <w:rFonts w:ascii="Times New Roman" w:cs="Times New Roman" w:eastAsia="Times New Roman" w:hAnsi="Times New Roman"/>
          <w:sz w:val="24"/>
          <w:szCs w:val="24"/>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[22], който подрежда разпръснатите в литературата наблюдения в четири взаимно свързани полета.</w:t>
      </w:r>
    </w:p>
    <w:p>
      <w:pPr>
        <w:spacing w:after="120" w:line="360"/>
        <w:ind w:firstLine="709"/>
        <w:jc w:val="both"/>
      </w:pPr>
      <w:r>
        <w:rPr>
          <w:rFonts w:ascii="Times New Roman" w:cs="Times New Roman" w:eastAsia="Times New Roman" w:hAnsi="Times New Roman"/>
          <w:sz w:val="24"/>
          <w:szCs w:val="24"/>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[23].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709"/>
        <w:jc w:val="both"/>
      </w:pPr>
      <w:r>
        <w:rPr>
          <w:rFonts w:ascii="Times New Roman" w:cs="Times New Roman" w:eastAsia="Times New Roman" w:hAnsi="Times New Roman"/>
          <w:sz w:val="24"/>
          <w:szCs w:val="24"/>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[22].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[7].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709"/>
        <w:jc w:val="both"/>
      </w:pPr>
      <w:r>
        <w:rPr>
          <w:rFonts w:ascii="Times New Roman" w:cs="Times New Roman" w:eastAsia="Times New Roman" w:hAnsi="Times New Roman"/>
          <w:sz w:val="24"/>
          <w:szCs w:val="24"/>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[22].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709"/>
        <w:jc w:val="both"/>
      </w:pPr>
      <w:r>
        <w:rPr>
          <w:rFonts w:ascii="Times New Roman" w:cs="Times New Roman" w:eastAsia="Times New Roman" w:hAnsi="Times New Roman"/>
          <w:sz w:val="24"/>
          <w:szCs w:val="24"/>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[12].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[22].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709"/>
        <w:jc w:val="both"/>
      </w:pPr>
      <w:r>
        <w:rPr>
          <w:rFonts w:ascii="Times New Roman" w:cs="Times New Roman" w:eastAsia="Times New Roman" w:hAnsi="Times New Roman"/>
          <w:sz w:val="24"/>
          <w:szCs w:val="24"/>
        </w:rPr>
        <w:t xml:space="preserve">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преобладаващо положително отношение към образователните приложения на изкуствения интелект по трите оценъчни оси,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[24]. За настоящата работа този резултат е съществен, защото описва точно средата, в която моделът за оценяване трябва да работи —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709"/>
        <w:jc w:val="both"/>
      </w:pPr>
      <w:r>
        <w:rPr>
          <w:rFonts w:ascii="Times New Roman" w:cs="Times New Roman" w:eastAsia="Times New Roman" w:hAnsi="Times New Roman"/>
          <w:sz w:val="24"/>
          <w:szCs w:val="24"/>
        </w:rPr>
        <w:t xml:space="preserve">Към рисковете за обучаемите българските изследвания добавят и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[25].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709"/>
        <w:jc w:val="both"/>
      </w:pPr>
      <w:r>
        <w:rPr>
          <w:rFonts w:ascii="Times New Roman" w:cs="Times New Roman" w:eastAsia="Times New Roman" w:hAnsi="Times New Roman"/>
          <w:sz w:val="24"/>
          <w:szCs w:val="24"/>
        </w:rPr>
        <w:t xml:space="preserve">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[26] — а вграждането предполага наличието на общ инструмент, по който проверката да се извършва и документира еднакво.</w:t>
      </w:r>
    </w:p>
    <w:p>
      <w:pPr>
        <w:spacing w:after="120" w:line="360"/>
        <w:ind w:firstLine="709"/>
        <w:jc w:val="both"/>
      </w:pPr>
      <w:r>
        <w:rPr>
          <w:rFonts w:ascii="Times New Roman" w:cs="Times New Roman" w:eastAsia="Times New Roman" w:hAnsi="Times New Roman"/>
          <w:sz w:val="24"/>
          <w:szCs w:val="24"/>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709"/>
        <w:jc w:val="both"/>
      </w:pPr>
      <w:r>
        <w:rPr>
          <w:rFonts w:ascii="Times New Roman" w:cs="Times New Roman" w:eastAsia="Times New Roman" w:hAnsi="Times New Roman"/>
          <w:sz w:val="24"/>
          <w:szCs w:val="24"/>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[12].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709"/>
        <w:jc w:val="both"/>
      </w:pPr>
      <w:r>
        <w:rPr>
          <w:rFonts w:ascii="Times New Roman" w:cs="Times New Roman" w:eastAsia="Times New Roman" w:hAnsi="Times New Roman"/>
          <w:sz w:val="24"/>
          <w:szCs w:val="24"/>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709"/>
        <w:jc w:val="both"/>
      </w:pPr>
      <w:r>
        <w:rPr>
          <w:rFonts w:ascii="Times New Roman" w:cs="Times New Roman" w:eastAsia="Times New Roman" w:hAnsi="Times New Roman"/>
          <w:sz w:val="24"/>
          <w:szCs w:val="24"/>
        </w:rPr>
        <w:t xml:space="preserve">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Систематичните прегледи описват този риск като част от по-широката проблематика на прекомерната зависимост [7], а предложеният в настоящата работа модел го адресира косвено: систематичната проверка на генерирания материал изисква същите професионални операции — съотнасяне с целите, проследяване на логиката, предвиждане на затрудненията — и така запазва част от професионалната стойност на процеса дори когато първоначалният текст е машинен.</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6"/>
          <w:szCs w:val="26"/>
        </w:rPr>
        <w:t xml:space="preserve">1.6. Етични, правни и академични изисквания при създаване на съдържание с AI</w:t>
      </w:r>
    </w:p>
    <w:p>
      <w:pPr>
        <w:spacing w:after="120" w:line="360"/>
        <w:ind w:firstLine="709"/>
        <w:jc w:val="both"/>
      </w:pPr>
      <w:r>
        <w:rPr>
          <w:rFonts w:ascii="Times New Roman" w:cs="Times New Roman" w:eastAsia="Times New Roman" w:hAnsi="Times New Roman"/>
          <w:sz w:val="24"/>
          <w:szCs w:val="24"/>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709"/>
        <w:jc w:val="both"/>
      </w:pPr>
      <w:r>
        <w:rPr>
          <w:rFonts w:ascii="Times New Roman" w:cs="Times New Roman" w:eastAsia="Times New Roman" w:hAnsi="Times New Roman"/>
          <w:sz w:val="24"/>
          <w:szCs w:val="24"/>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[12].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709"/>
        <w:jc w:val="both"/>
      </w:pPr>
      <w:r>
        <w:rPr>
          <w:rFonts w:ascii="Times New Roman" w:cs="Times New Roman" w:eastAsia="Times New Roman" w:hAnsi="Times New Roman"/>
          <w:sz w:val="24"/>
          <w:szCs w:val="24"/>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[26].</w:t>
      </w:r>
    </w:p>
    <w:p>
      <w:pPr>
        <w:spacing w:after="120" w:line="360"/>
        <w:ind w:firstLine="709"/>
        <w:jc w:val="both"/>
      </w:pPr>
      <w:r>
        <w:rPr>
          <w:rFonts w:ascii="Times New Roman" w:cs="Times New Roman" w:eastAsia="Times New Roman" w:hAnsi="Times New Roman"/>
          <w:sz w:val="24"/>
          <w:szCs w:val="24"/>
        </w:rPr>
        <w:t xml:space="preserve">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[27].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709"/>
        <w:jc w:val="both"/>
      </w:pPr>
      <w:r>
        <w:rPr>
          <w:rFonts w:ascii="Times New Roman" w:cs="Times New Roman" w:eastAsia="Times New Roman" w:hAnsi="Times New Roman"/>
          <w:sz w:val="24"/>
          <w:szCs w:val="24"/>
        </w:rPr>
        <w:t xml:space="preserve">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автора [28].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709"/>
        <w:jc w:val="both"/>
      </w:pPr>
      <w:r>
        <w:rPr>
          <w:rFonts w:ascii="Times New Roman" w:cs="Times New Roman" w:eastAsia="Times New Roman" w:hAnsi="Times New Roman"/>
          <w:sz w:val="24"/>
          <w:szCs w:val="24"/>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[29].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709"/>
        <w:jc w:val="both"/>
      </w:pPr>
      <w:r>
        <w:rPr>
          <w:rFonts w:ascii="Times New Roman" w:cs="Times New Roman" w:eastAsia="Times New Roman" w:hAnsi="Times New Roman"/>
          <w:sz w:val="24"/>
          <w:szCs w:val="24"/>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[30].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709"/>
        <w:jc w:val="both"/>
      </w:pPr>
      <w:r>
        <w:rPr>
          <w:rFonts w:ascii="Times New Roman" w:cs="Times New Roman" w:eastAsia="Times New Roman" w:hAnsi="Times New Roman"/>
          <w:sz w:val="24"/>
          <w:szCs w:val="24"/>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[12].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709"/>
        <w:jc w:val="both"/>
      </w:pPr>
      <w:r>
        <w:rPr>
          <w:rFonts w:ascii="Times New Roman" w:cs="Times New Roman" w:eastAsia="Times New Roman" w:hAnsi="Times New Roman"/>
          <w:sz w:val="24"/>
          <w:szCs w:val="24"/>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[12].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709"/>
        <w:jc w:val="both"/>
      </w:pPr>
      <w:r>
        <w:rPr>
          <w:rFonts w:ascii="Times New Roman" w:cs="Times New Roman" w:eastAsia="Times New Roman" w:hAnsi="Times New Roman"/>
          <w:sz w:val="24"/>
          <w:szCs w:val="24"/>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709"/>
        <w:jc w:val="both"/>
      </w:pPr>
      <w:r>
        <w:rPr>
          <w:rFonts w:ascii="Times New Roman" w:cs="Times New Roman" w:eastAsia="Times New Roman" w:hAnsi="Times New Roman"/>
          <w:sz w:val="24"/>
          <w:szCs w:val="24"/>
        </w:rPr>
        <w:t xml:space="preserve">Отделен и все още неустановен въпрос е авторскоправният статут на генерираното съдържание. Той има две страни: от една страна, доколко материал, произведен от модел, се ползва със закрила, и от друга — доколко създаването му не нарушава правата върху произведенията, с които моделът е обучаван.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709"/>
        <w:jc w:val="both"/>
      </w:pPr>
      <w:r>
        <w:rPr>
          <w:rFonts w:ascii="Times New Roman" w:cs="Times New Roman" w:eastAsia="Times New Roman" w:hAnsi="Times New Roman"/>
          <w:sz w:val="24"/>
          <w:szCs w:val="24"/>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6"/>
          <w:szCs w:val="26"/>
        </w:rPr>
        <w:t xml:space="preserve">1.7. Подходи за оценяване на качеството на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709"/>
        <w:jc w:val="both"/>
      </w:pPr>
      <w:r>
        <w:rPr>
          <w:rFonts w:ascii="Times New Roman" w:cs="Times New Roman" w:eastAsia="Times New Roman" w:hAnsi="Times New Roman"/>
          <w:sz w:val="24"/>
          <w:szCs w:val="24"/>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[11], а доказателствено обоснованите принципи на мултимедийното учене предоставят емпирично проверена база, върху която такива критерии могат да стъпят [1,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709"/>
        <w:jc w:val="both"/>
      </w:pPr>
      <w:r>
        <w:rPr>
          <w:rFonts w:ascii="Times New Roman" w:cs="Times New Roman" w:eastAsia="Times New Roman" w:hAnsi="Times New Roman"/>
          <w:sz w:val="24"/>
          <w:szCs w:val="24"/>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[31].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709"/>
        <w:jc w:val="both"/>
      </w:pPr>
      <w:r>
        <w:rPr>
          <w:rFonts w:ascii="Times New Roman" w:cs="Times New Roman" w:eastAsia="Times New Roman" w:hAnsi="Times New Roman"/>
          <w:sz w:val="24"/>
          <w:szCs w:val="24"/>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[32].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709"/>
        <w:jc w:val="both"/>
      </w:pPr>
      <w:r>
        <w:rPr>
          <w:rFonts w:ascii="Times New Roman" w:cs="Times New Roman" w:eastAsia="Times New Roman" w:hAnsi="Times New Roman"/>
          <w:sz w:val="24"/>
          <w:szCs w:val="24"/>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709"/>
        <w:jc w:val="both"/>
      </w:pPr>
      <w:r>
        <w:rPr>
          <w:rFonts w:ascii="Times New Roman" w:cs="Times New Roman" w:eastAsia="Times New Roman" w:hAnsi="Times New Roman"/>
          <w:sz w:val="24"/>
          <w:szCs w:val="24"/>
        </w:rPr>
        <w:t xml:space="preserve">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за най-силния модел съвпадението достига около 85 на сто — стойност, надхвърляща съгласуваността между самите човешки оценители, която е около 81 на сто [33]. Систематичният преглед на полето подрежда натрупаните подходи по три оси — какво се оценява, как се оценява и как се измерва самото качество на оценяването — и документира приложението им в широк кръг задачи [34].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709"/>
        <w:jc w:val="both"/>
      </w:pPr>
      <w:r>
        <w:rPr>
          <w:rFonts w:ascii="Times New Roman" w:cs="Times New Roman" w:eastAsia="Times New Roman" w:hAnsi="Times New Roman"/>
          <w:sz w:val="24"/>
          <w:szCs w:val="24"/>
        </w:rPr>
        <w:t xml:space="preserve">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[34].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и почти навсякъде се използва единствен модел-оценител без независима човешка проверка [35].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709"/>
        <w:jc w:val="both"/>
      </w:pPr>
      <w:r>
        <w:rPr>
          <w:rFonts w:ascii="Times New Roman" w:cs="Times New Roman" w:eastAsia="Times New Roman" w:hAnsi="Times New Roman"/>
          <w:sz w:val="24"/>
          <w:szCs w:val="24"/>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709"/>
        <w:jc w:val="both"/>
      </w:pPr>
      <w:r>
        <w:rPr>
          <w:rFonts w:ascii="Times New Roman" w:cs="Times New Roman" w:eastAsia="Times New Roman" w:hAnsi="Times New Roman"/>
          <w:sz w:val="24"/>
          <w:szCs w:val="24"/>
        </w:rPr>
        <w:t xml:space="preserve">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модела, разработван в трета глава,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документираните отклонения в преценката на моделите-оценители и принципното съображение,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към която работата се връща в препоръките на точка 3.9.</w:t>
      </w:r>
    </w:p>
    <w:p>
      <w:pPr>
        <w:spacing w:after="120" w:line="360"/>
        <w:ind w:firstLine="709"/>
        <w:jc w:val="both"/>
      </w:pPr>
      <w:r>
        <w:rPr>
          <w:rFonts w:ascii="Times New Roman" w:cs="Times New Roman" w:eastAsia="Times New Roman" w:hAnsi="Times New Roman"/>
          <w:sz w:val="24"/>
          <w:szCs w:val="24"/>
        </w:rPr>
        <w:t xml:space="preserve">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проучване едва около една шеста от генерираното съдържание отговаря на поставените критерии за качество [36].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709"/>
        <w:jc w:val="both"/>
      </w:pPr>
      <w:r>
        <w:rPr>
          <w:rFonts w:ascii="Times New Roman" w:cs="Times New Roman" w:eastAsia="Times New Roman" w:hAnsi="Times New Roman"/>
          <w:sz w:val="24"/>
          <w:szCs w:val="24"/>
        </w:rPr>
        <w:t xml:space="preserve">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[34].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709"/>
        <w:jc w:val="both"/>
      </w:pPr>
      <w:r>
        <w:rPr>
          <w:rFonts w:ascii="Times New Roman" w:cs="Times New Roman" w:eastAsia="Times New Roman" w:hAnsi="Times New Roman"/>
          <w:sz w:val="24"/>
          <w:szCs w:val="24"/>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настъпва след използването; не предотвратява дефекта</w:t>
            </w:r>
          </w:p>
        </w:tc>
      </w:tr>
    </w:tbl>
    <w:p>
      <w:pPr>
        <w:pStyle w:val="Heading2"/>
      </w:pPr>
      <w:r>
        <w:rPr>
          <w:rFonts w:ascii="Times New Roman" w:cs="Times New Roman" w:eastAsia="Times New Roman" w:hAnsi="Times New Roman"/>
          <w:b/>
          <w:bCs/>
          <w:sz w:val="26"/>
          <w:szCs w:val="26"/>
        </w:rPr>
        <w:t xml:space="preserve">ИЗВОДИ ОТ ПЪРВА ГЛАВА</w:t>
      </w:r>
    </w:p>
    <w:p>
      <w:pPr>
        <w:spacing w:after="120" w:line="360"/>
        <w:ind w:firstLine="709"/>
        <w:jc w:val="both"/>
      </w:pPr>
      <w:r>
        <w:rPr>
          <w:rFonts w:ascii="Times New Roman" w:cs="Times New Roman" w:eastAsia="Times New Roman" w:hAnsi="Times New Roman"/>
          <w:sz w:val="24"/>
          <w:szCs w:val="24"/>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709"/>
        <w:jc w:val="both"/>
      </w:pPr>
      <w:r>
        <w:rPr>
          <w:rFonts w:ascii="Times New Roman" w:cs="Times New Roman" w:eastAsia="Times New Roman" w:hAnsi="Times New Roman"/>
          <w:sz w:val="24"/>
          <w:szCs w:val="24"/>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709"/>
        <w:jc w:val="both"/>
      </w:pPr>
      <w:r>
        <w:rPr>
          <w:rFonts w:ascii="Times New Roman" w:cs="Times New Roman" w:eastAsia="Times New Roman" w:hAnsi="Times New Roman"/>
          <w:sz w:val="24"/>
          <w:szCs w:val="24"/>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709"/>
        <w:jc w:val="both"/>
      </w:pPr>
      <w:r>
        <w:rPr>
          <w:rFonts w:ascii="Times New Roman" w:cs="Times New Roman" w:eastAsia="Times New Roman" w:hAnsi="Times New Roman"/>
          <w:sz w:val="24"/>
          <w:szCs w:val="24"/>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709"/>
        <w:jc w:val="both"/>
      </w:pPr>
      <w:r>
        <w:rPr>
          <w:rFonts w:ascii="Times New Roman" w:cs="Times New Roman" w:eastAsia="Times New Roman" w:hAnsi="Times New Roman"/>
          <w:sz w:val="24"/>
          <w:szCs w:val="24"/>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spacing w:after="120" w:line="360"/>
        <w:ind w:firstLine="709"/>
        <w:jc w:val="both"/>
      </w:pPr>
      <w:r>
        <w:rPr>
          <w:rFonts w:ascii="Times New Roman" w:cs="Times New Roman" w:eastAsia="Times New Roman" w:hAnsi="Times New Roman"/>
          <w:sz w:val="24"/>
          <w:szCs w:val="24"/>
        </w:rPr>
        <w:t xml:space="preserve">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доказала приложимостта си в утвърдени инструменти за оценяване на онлайн курсове; педагогическата съдържателна основа е налична в доказателствено обоснованите принципи на мултимедийното учене и в първите принципи на обучението;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709"/>
        <w:jc w:val="both"/>
      </w:pPr>
      <w:r>
        <w:rPr>
          <w:rFonts w:ascii="Times New Roman" w:cs="Times New Roman" w:eastAsia="Times New Roman" w:hAnsi="Times New Roman"/>
          <w:sz w:val="24"/>
          <w:szCs w:val="24"/>
        </w:rPr>
        <w:t xml:space="preserve">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[33],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като българския [35]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709"/>
        <w:jc w:val="both"/>
      </w:pPr>
      <w:r>
        <w:rPr>
          <w:rFonts w:ascii="Times New Roman" w:cs="Times New Roman" w:eastAsia="Times New Roman" w:hAnsi="Times New Roman"/>
          <w:sz w:val="24"/>
          <w:szCs w:val="24"/>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втора глава: анализ на критериите и показателите за качество и извеждане на изискванията към бъдещия модел.</w:t>
      </w:r>
    </w:p>
    <w:p>
      <w:pPr>
        <w:pStyle w:val="Heading1"/>
      </w:pPr>
      <w:r>
        <w:rPr>
          <w:rFonts w:ascii="Times New Roman" w:cs="Times New Roman" w:eastAsia="Times New Roman" w:hAnsi="Times New Roman"/>
          <w:b/>
          <w:bCs/>
          <w:sz w:val="28"/>
          <w:szCs w:val="28"/>
        </w:rPr>
        <w:t xml:space="preserve">ГЛАВА ВТОРА. Анализ на критерии и показатели за качество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6"/>
          <w:szCs w:val="26"/>
        </w:rPr>
        <w:t xml:space="preserve">2.1. Съществуващи подходи и критерии за оценяване на качеството на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Първа глава установи, че традиционните подходи за оценяване не са конструирани за съдържание, създадено с генеративни инструменти. Настоящата точка проследява как литературата от последните години запълва тази празнина и какви подходи и критерии се предлагат конкретно за AI-генерирано учебно съдържание, за да се установи върху какво може да стъпи собственият модел и къде съществуващите решения остават недостатъчни. Прегледът обособява три семейства подходи.</w:t>
      </w:r>
    </w:p>
    <w:p>
      <w:pPr>
        <w:spacing w:after="120" w:line="360"/>
        <w:ind w:firstLine="709"/>
        <w:jc w:val="both"/>
      </w:pPr>
      <w:r>
        <w:rPr>
          <w:rFonts w:ascii="Times New Roman" w:cs="Times New Roman" w:eastAsia="Times New Roman" w:hAnsi="Times New Roman"/>
          <w:sz w:val="24"/>
          <w:szCs w:val="24"/>
        </w:rPr>
        <w:t xml:space="preserve">Първото семейство адаптира наследената критериална традиция: съществуващите системи от критерии за качество на електронно съдържание — педагогически, езикови, визуални — се прилагат към генерираните материали без съществена промяна. Тази линия има солидна основа, тъй като, както беше показано в първа глава, педагогическите изисквания не зависят от произхода на съдържанието. Слабостта ѝ е огледална: критериите, създадени при допускането за добросъвестен човешки автор, не съдържат проверките, които спецификата на генерирането прави задължителни — систематична проверка за фактически измислици, за измислени източници, за шаблонност и за скрита неоригиналност.</w:t>
      </w:r>
    </w:p>
    <w:p>
      <w:pPr>
        <w:spacing w:after="120" w:line="360"/>
        <w:ind w:firstLine="709"/>
        <w:jc w:val="both"/>
      </w:pPr>
      <w:r>
        <w:rPr>
          <w:rFonts w:ascii="Times New Roman" w:cs="Times New Roman" w:eastAsia="Times New Roman" w:hAnsi="Times New Roman"/>
          <w:sz w:val="24"/>
          <w:szCs w:val="24"/>
        </w:rPr>
        <w:t xml:space="preserve">Към това семейство принадлежи и българският принос по темата: цитираното изследване на проблемите и решенията при генеративния изкуствен интелект в образованието очертава контурите на интегрирана система за оценяване на качеството на генерирани материали, съчетаваща метрики за кохезия, кохерентност, четивност и оригиналност с експертен преглед [36]. Предложението остава на равнище рамка за бъдеща разработка и е ориентирано към автоматизирани средства, което го прави допълващо, а не конкурентно на настоящата работа: тук акцентът е върху инструмент, приложим непосредствено от отделния преподавател без специализирана техническа инфраструктура.</w:t>
      </w:r>
    </w:p>
    <w:p>
      <w:pPr>
        <w:spacing w:after="120" w:line="360"/>
        <w:ind w:firstLine="709"/>
        <w:jc w:val="both"/>
      </w:pPr>
      <w:r>
        <w:rPr>
          <w:rFonts w:ascii="Times New Roman" w:cs="Times New Roman" w:eastAsia="Times New Roman" w:hAnsi="Times New Roman"/>
          <w:sz w:val="24"/>
          <w:szCs w:val="24"/>
        </w:rPr>
        <w:t xml:space="preserve">Второто семейство разработва нови, специално предназначени за AI-генерирани ресурси оценъчни рамки. Показателен пример е изследването на Huang и колектив, което конструира и апробира подход за оценяване на качеството на AI-генерирани дигитални образователни ресурси във висшето образование, съчетаващ множество измерения на качеството — съдържателни, педагогически и технологични — в единна оценъчна процедура [37]. Значението на тази линия за настоящата работа е двойно: тя доказва осъществимостта на специализирано оценяване и едновременно с това показва, че полето е още в началото си — предложените рамки са малко на брой, апробирани върху ограничени извадки и не са достигнали до утвърден, широко приет стандарт.</w:t>
      </w:r>
    </w:p>
    <w:p>
      <w:pPr>
        <w:spacing w:after="120" w:line="360"/>
        <w:ind w:firstLine="709"/>
        <w:jc w:val="both"/>
      </w:pPr>
      <w:r>
        <w:rPr>
          <w:rFonts w:ascii="Times New Roman" w:cs="Times New Roman" w:eastAsia="Times New Roman" w:hAnsi="Times New Roman"/>
          <w:sz w:val="24"/>
          <w:szCs w:val="24"/>
        </w:rPr>
        <w:t xml:space="preserve">Третото семейство вгражда контрола на качеството в самия процес на генериране. Системите от типа на COGENT налагат педагогически ограничения още при създаването на съдържанието [17], а мулти-агентните архитектури като Instructional Agents включват вътрешни роли за преглед и проверка на произведените материали [18]. На институционално равнище същата логика се проявява в рамки, които интегрират изкуствения интелект в системите за осигуряване на качеството на висшето образование [26]. Силата на това семейство е превенцията — дефектите се ограничават на входа; слабостта му е, че вграденият контрол е достъпен само за онзи, който контролира системата, и остава непрозрачен за крайния потребител на съдържанието — преподавателя, който получава готов материал.</w:t>
      </w:r>
    </w:p>
    <w:p>
      <w:pPr>
        <w:spacing w:after="120" w:line="360"/>
        <w:ind w:firstLine="709"/>
        <w:jc w:val="both"/>
      </w:pPr>
      <w:r>
        <w:rPr>
          <w:rFonts w:ascii="Times New Roman" w:cs="Times New Roman" w:eastAsia="Times New Roman" w:hAnsi="Times New Roman"/>
          <w:sz w:val="24"/>
          <w:szCs w:val="24"/>
        </w:rPr>
        <w:t xml:space="preserve">Съпоставката на трите семейства по три оси — какво се оценява (отделният материал, процесът на създаване или институционалната система), кой оценява (експерт, автоматизиран механизъм или комбинация) и кога настъпва оценяването (преди или след достигането на материала до обучаемите) — откроява обща картина на фрагментарност. Наследените критерии оценяват материала, но пропускат AI-специфичните рискове; новите рамки ги улавят, но са малобройни и неутвърдени; вграденият контрол действа превантивно, но е недостъпен за масовата практика на преподавателя, който работи чрез диалог с общодостъпен инструмент. Интегриран, практически приложим модел, който да съчетава критериалната традиция със специфичните за генерираното съдържание проверки и да е използваем от отделния преподавател без специализирана инфраструктура — тъкмо какъвто настоящата работа си поставя за цел — в прегледаната литература не се открива.</w:t>
      </w:r>
    </w:p>
    <w:p>
      <w:pPr>
        <w:spacing w:after="120" w:line="360"/>
        <w:ind w:firstLine="709"/>
        <w:jc w:val="both"/>
      </w:pPr>
      <w:r>
        <w:rPr>
          <w:rFonts w:ascii="Times New Roman" w:cs="Times New Roman" w:eastAsia="Times New Roman" w:hAnsi="Times New Roman"/>
          <w:sz w:val="24"/>
          <w:szCs w:val="24"/>
        </w:rPr>
        <w:t xml:space="preserve">Този извод задава програмата на останалата част от главата: точки 2.2–2.5 анализират последователно четирите семейства критерии, от които такъв модел трябва да се изгради — научна коректност и достоверност, дидактическа пригодност, езикова яснота и достъпност, оригиналност и етична допустимост; точка 2.6 систематизира типичните дефицити на генерираното съдържание, срещу които критериите трябва да бъдат чувствителни; а точка 2.7 обобщава анализа в изисквания към бъдещия модел.</w:t>
      </w:r>
    </w:p>
    <w:p>
      <w:pPr>
        <w:pStyle w:val="Heading2"/>
      </w:pPr>
      <w:r>
        <w:rPr>
          <w:rFonts w:ascii="Times New Roman" w:cs="Times New Roman" w:eastAsia="Times New Roman" w:hAnsi="Times New Roman"/>
          <w:b/>
          <w:bCs/>
          <w:sz w:val="26"/>
          <w:szCs w:val="26"/>
        </w:rPr>
        <w:t xml:space="preserve">2.2. Критерии за научна коректност и достоверност на учебното съдържание</w:t>
      </w:r>
    </w:p>
    <w:p>
      <w:pPr>
        <w:spacing w:after="120" w:line="360"/>
        <w:ind w:firstLine="709"/>
        <w:jc w:val="both"/>
      </w:pPr>
      <w:r>
        <w:rPr>
          <w:rFonts w:ascii="Times New Roman" w:cs="Times New Roman" w:eastAsia="Times New Roman" w:hAnsi="Times New Roman"/>
          <w:sz w:val="24"/>
          <w:szCs w:val="24"/>
        </w:rPr>
        <w:t xml:space="preserve">Научната коректност е първата и базова област на качеството: учебен материал, който съобщава неверни факти, компрометира самата цел на обучението, независимо колко добре е структуриран и оформен. Заглавието на точката очертава четирите ѝ измерения — точност, актуалност, надеждност и съответствие с източниците. При съдържание с човешки автор тези свойства обикновено се приемат по подразбиране въз основа на доверието в квалификацията и добросъвестността на автора; при генерирано съдържание, както показа първа глава, такова доверие няма върху какво да стъпи и всяко от измеренията трябва да бъде превърнато в изрична проверка.</w:t>
      </w:r>
    </w:p>
    <w:p>
      <w:pPr>
        <w:spacing w:after="120" w:line="360"/>
        <w:ind w:firstLine="709"/>
        <w:jc w:val="both"/>
      </w:pPr>
      <w:r>
        <w:rPr>
          <w:rFonts w:ascii="Times New Roman" w:cs="Times New Roman" w:eastAsia="Times New Roman" w:hAnsi="Times New Roman"/>
          <w:sz w:val="24"/>
          <w:szCs w:val="24"/>
        </w:rPr>
        <w:t xml:space="preserve">Точността засяга верността на отделните твърдения. Спецификата на генерираното съдържание тук е двойна. От една страна, халюцинациите правят възможни грешки от вид, който при добросъвестен човешки автор практически не се среща — уверено формулирани, но изцяло измислени факти, данни и източници [12]. От друга страна, тези грешки не са маркирани стилистично: сравнителните изследвания показват, че генерираните учебни ресурси са трудно различими от човешките по възприемано качество и повърхностни белези [38]. Следствието за критериите е принципно — проверката на точността не може да разчита на усета на четящия за „съмнителен текст", а трябва да се извършва твърдение по твърдение, срещу независими източници: учебна литература, официална документация, стандарти.</w:t>
      </w:r>
    </w:p>
    <w:p>
      <w:pPr>
        <w:spacing w:after="120" w:line="360"/>
        <w:ind w:firstLine="709"/>
        <w:jc w:val="both"/>
      </w:pPr>
      <w:r>
        <w:rPr>
          <w:rFonts w:ascii="Times New Roman" w:cs="Times New Roman" w:eastAsia="Times New Roman" w:hAnsi="Times New Roman"/>
          <w:sz w:val="24"/>
          <w:szCs w:val="24"/>
        </w:rPr>
        <w:t xml:space="preserve">Актуалността произтича от начина на обучение на езиковите модели: техните знания отразяват състоянието на обучителните данни към минал момент и не се обновяват сами. Рискът е системен и е особено остър в бързо развиващи се области — каквито са например софтуерните технологии, където интерфейси, версии и препоръчани практики се променят на месеци. Генериран материал може да описва коректно вчерашното състояние на дадена технология и с това да бъде практически вреден днес. Показателят, който критерият изисква, е съответствие на съдържанието с актуалното състояние на областта — актуална версия, действащ стандарт, съвременна терминология — проверено към момента на използване, а не към момента на генериране.</w:t>
      </w:r>
    </w:p>
    <w:p>
      <w:pPr>
        <w:spacing w:after="120" w:line="360"/>
        <w:ind w:firstLine="709"/>
        <w:jc w:val="both"/>
      </w:pPr>
      <w:r>
        <w:rPr>
          <w:rFonts w:ascii="Times New Roman" w:cs="Times New Roman" w:eastAsia="Times New Roman" w:hAnsi="Times New Roman"/>
          <w:sz w:val="24"/>
          <w:szCs w:val="24"/>
        </w:rPr>
        <w:t xml:space="preserve">Изискването за актуалност придобива особена острота при версионираните технологии, където предметната област има формален график на промяна. Рамката Angular е показателен пример: до версия 22 тя следва шестмесечен цикъл на основните издания, като от версия 22 преминава към едно основно издание годишно с четири до шест междинни; всяко основно издание се поддържа двадесет и четири месеца, а отпадащите програмни интерфейси преминават през период на отпадане с продължителност поне едно основно издание [6]. Тази публично обявена динамика има две следствия за оценяването. Първото е количествено: за период от три години — типичното време между обучението на един езиков модел и използването на негов изход — предметната област е сменила няколко основни издания, а част от препоръчаните практики са отпаднали. Второто е качествено и по-опасно: отпадналият интерфейс обикновено продължава да работи известно време, поради което генерираният пример не произвежда грешка при изпълнение, а тихо възпроизвежда остаряла практика — дефект, който проверката за работоспособност не улавя, а само съпоставката с актуалната документация.</w:t>
      </w:r>
    </w:p>
    <w:p>
      <w:pPr>
        <w:spacing w:after="120" w:line="360"/>
        <w:ind w:firstLine="709"/>
        <w:jc w:val="both"/>
      </w:pPr>
      <w:r>
        <w:rPr>
          <w:rFonts w:ascii="Times New Roman" w:cs="Times New Roman" w:eastAsia="Times New Roman" w:hAnsi="Times New Roman"/>
          <w:sz w:val="24"/>
          <w:szCs w:val="24"/>
        </w:rPr>
        <w:t xml:space="preserve">Оттук произтича и практическото изискване към показателя за актуалност: той не може да бъде прилаган абстрактно, а изисква изрично фиксирана отправна точка — коя версия на технологията, кое издание на стандарта или коя редакция на нормативния документ се приема за актуални към момента на оценяването. Без такава отправна точка преценката „остаряло“ е неопределима, а оценките на различни оценители или на един оценител в различно време стават несъпоставими. Затова оценъчната карта предвижда отделно поле за референтния източник и за датата на проверката — процедурно решение, което превръща подвижния критерий за актуалност в проверимо твърдение.</w:t>
      </w:r>
    </w:p>
    <w:p>
      <w:pPr>
        <w:spacing w:after="120" w:line="360"/>
        <w:ind w:firstLine="709"/>
        <w:jc w:val="both"/>
      </w:pPr>
      <w:r>
        <w:rPr>
          <w:rFonts w:ascii="Times New Roman" w:cs="Times New Roman" w:eastAsia="Times New Roman" w:hAnsi="Times New Roman"/>
          <w:sz w:val="24"/>
          <w:szCs w:val="24"/>
        </w:rPr>
        <w:t xml:space="preserve">Надеждността и съответствието с източниците образуват третото и четвъртото измерение, които при генерирано съдържание се сливат в едно практическо изискване: проследимост. Генерираният текст може да се позовава на несъществуващи публикации или да приписва на реални източници твърдения, които те не съдържат — дефект, познат и документиран в литературата за халюцинациите [12]. Затова критерият изисква всяко съществено твърдение в учебния материал да бъде проследимо до проверим източник, а всеки цитиран източник да бъде проверен в две стъпки: първо, че съществува, и второ, че действително казва онова, което му се приписва. За учебно съдържание, което по правило представя утвърдено знание, това изискване е изпълнимо — то съвпада с нормалната практика на добросъвестния автор — но при генериран материал трябва да бъде извършено от проверяващия, защото не е било извършено от никого при създаването.</w:t>
      </w:r>
    </w:p>
    <w:p>
      <w:pPr>
        <w:spacing w:after="120" w:line="360"/>
        <w:ind w:firstLine="709"/>
        <w:jc w:val="both"/>
      </w:pPr>
      <w:r>
        <w:rPr>
          <w:rFonts w:ascii="Times New Roman" w:cs="Times New Roman" w:eastAsia="Times New Roman" w:hAnsi="Times New Roman"/>
          <w:sz w:val="24"/>
          <w:szCs w:val="24"/>
        </w:rPr>
        <w:t xml:space="preserve">Мащабът на проблема с източниците е измерен и емпирично. Изследване върху 636 библиографски позовавания, генерирани от два широко използвани диалогови модела, установява, че при по-стария модел 55% от цитатите са изцяло измислени, а при по-новия — 18%, като и сред реално съществуващите цитати съществена част съдържа значими грешки [39]. Данните показват две неща едновременно: че новите поколения модели намаляват честотата на измислените източници и че дори при най-добрите тя остава далеч от пренебрежима. Критерият за проследимост следователно не може да бъде отслабен с аргумента за технологичния напредък — по-рядката грешка е също толкова невидима за читателя, колкото и честата.</w:t>
      </w:r>
    </w:p>
    <w:p>
      <w:pPr>
        <w:spacing w:after="120" w:line="360"/>
        <w:ind w:firstLine="709"/>
        <w:jc w:val="both"/>
      </w:pPr>
      <w:r>
        <w:rPr>
          <w:rFonts w:ascii="Times New Roman" w:cs="Times New Roman" w:eastAsia="Times New Roman" w:hAnsi="Times New Roman"/>
          <w:sz w:val="24"/>
          <w:szCs w:val="24"/>
        </w:rPr>
        <w:t xml:space="preserve">Обобщено, критериите за научна коректност на генерираното учебно съдържание не се различават по форма от класическите — точност, актуалност, надеждност, съответствие с източниците — но операционализацията им се обръща: от презумпция за коректност, оборвана по изключение, към проверка на всяко съществено твърдение, при която коректността се установява, а не се предполага. В този вид — като проверими показатели на равнище твърдение и източник — критериите от настоящата точка ще влязат в съдържателната област „научна коректност" на модела в трета глава. Научно коректното съдържание обаче може да бъде дидактически негодно; критериите, които оценяват пригодността му за учебни цели, са предмет на следващата точка.</w:t>
      </w:r>
    </w:p>
    <w:p>
      <w:pPr>
        <w:pStyle w:val="Heading2"/>
      </w:pPr>
      <w:r>
        <w:rPr>
          <w:rFonts w:ascii="Times New Roman" w:cs="Times New Roman" w:eastAsia="Times New Roman" w:hAnsi="Times New Roman"/>
          <w:b/>
          <w:bCs/>
          <w:sz w:val="26"/>
          <w:szCs w:val="26"/>
        </w:rPr>
        <w:t xml:space="preserve">2.3. Критерии за дидактическа пригодност и съответствие с учебните цели</w:t>
      </w:r>
    </w:p>
    <w:p>
      <w:pPr>
        <w:spacing w:after="120" w:line="360"/>
        <w:ind w:firstLine="709"/>
        <w:jc w:val="both"/>
      </w:pPr>
      <w:r>
        <w:rPr>
          <w:rFonts w:ascii="Times New Roman" w:cs="Times New Roman" w:eastAsia="Times New Roman" w:hAnsi="Times New Roman"/>
          <w:sz w:val="24"/>
          <w:szCs w:val="24"/>
        </w:rPr>
        <w:t xml:space="preserve">Дидактическата пригодност е втората област на качеството и е логически независима от първата: материал с безупречна фактология може да бъде негоден за обучение — зле подреден, несъобразен с аудиторията, лишен от упражнения и обратна връзка. Критериите в тази област произтичат пряко от педагогическите изисквания, формулирани в точка 1.2; задачата на настоящата точка е да ги превърне от изисквания към създаването в проверими критерии за оценяване на готов материал.</w:t>
      </w:r>
    </w:p>
    <w:p>
      <w:pPr>
        <w:spacing w:after="120" w:line="360"/>
        <w:ind w:firstLine="709"/>
        <w:jc w:val="both"/>
      </w:pPr>
      <w:r>
        <w:rPr>
          <w:rFonts w:ascii="Times New Roman" w:cs="Times New Roman" w:eastAsia="Times New Roman" w:hAnsi="Times New Roman"/>
          <w:sz w:val="24"/>
          <w:szCs w:val="24"/>
        </w:rPr>
        <w:t xml:space="preserve">Първият критерий е съответствието с учебните цели: всеки елемент от съдържанието трябва да обслужва поне една формулирана цел, а всяка цел да бъде покрита от съдържанието и от средствата за проверка. Вторият е педагогическата логика на изложението — последователност, съответстваща на учебната логика на дисциплината, сегментиране на смислови единици и въвеждане на понятията преди употребата им [1, гл. 13]; проверимият показател е дали обучаем с декларираните предварителни знания може да следва изложението, без да се натъква на неизведени понятия. Третият критерий е активното учене: наличие на примери, задачи за прилагане и съдържателна обратна връзка — операционализация на принципите за демонстрация и прилагане [8, с. 44–45].</w:t>
      </w:r>
    </w:p>
    <w:p>
      <w:pPr>
        <w:spacing w:after="120" w:line="360"/>
        <w:ind w:firstLine="709"/>
        <w:jc w:val="both"/>
      </w:pPr>
      <w:r>
        <w:rPr>
          <w:rFonts w:ascii="Times New Roman" w:cs="Times New Roman" w:eastAsia="Times New Roman" w:hAnsi="Times New Roman"/>
          <w:sz w:val="24"/>
          <w:szCs w:val="24"/>
        </w:rPr>
        <w:t xml:space="preserve">Спецификата на генерираното съдържание в тази област е по-фина, отколкото при научната коректност, и затова по-коварна. Езиковият модел възпроизвежда формата на учебния текст убедително — определения, примери, обобщения се редуват в познат ритъм — но зад формата няма модел на конкретната аудитория, на нейните предварителни знания и на учебната програма, в която материалът трябва да се вгради. Опитът на системите за контролирано генериране потвърждава това от обратната страна: за да бъде генерираното съдържание съобразено с учебната програма и с равнището на обучаемите, тези ограничения трябва да бъдат вградени изрично в процеса на генериране [17] — а при масовата практика на диалогово създаване такова вграждане липсва, освен ако преподавателят не го е внесъл сам чрез заявката.</w:t>
      </w:r>
    </w:p>
    <w:p>
      <w:pPr>
        <w:spacing w:after="120" w:line="360"/>
        <w:ind w:firstLine="709"/>
        <w:jc w:val="both"/>
      </w:pPr>
      <w:r>
        <w:rPr>
          <w:rFonts w:ascii="Times New Roman" w:cs="Times New Roman" w:eastAsia="Times New Roman" w:hAnsi="Times New Roman"/>
          <w:sz w:val="24"/>
          <w:szCs w:val="24"/>
        </w:rPr>
        <w:t xml:space="preserve">Полезна отправна точка дава и по-старият, предгенеративен клон на автоматичното създаване на учебни материали — автоматичното генериране на тестови въпроси. Систематичният преглед на 93 изследвания в тази област показва, че още преди големите езикови модели полето е разработило подробни изисквания към качеството на генерираните въпроси — свързаност с учебното съдържание, еднозначност на верния отговор, правдоподобност на грешните алтернативи — и че оценяването им системно изисква човешка експертна проверка [40]. Този опит е пряко приложим към днешните инструменти: изискванията към качеството на въпросите не зависят от технологията на генериране, а необходимостта от експертна проверка се е запазвала при всяка досегашна технологична смяна.</w:t>
      </w:r>
    </w:p>
    <w:p>
      <w:pPr>
        <w:spacing w:after="120" w:line="360"/>
        <w:ind w:firstLine="709"/>
        <w:jc w:val="both"/>
      </w:pPr>
      <w:r>
        <w:rPr>
          <w:rFonts w:ascii="Times New Roman" w:cs="Times New Roman" w:eastAsia="Times New Roman" w:hAnsi="Times New Roman"/>
          <w:sz w:val="24"/>
          <w:szCs w:val="24"/>
        </w:rPr>
        <w:t xml:space="preserve">Практиката добавя към тези критерии и един по-фин дидактически дефицит. Документираният опит с автоматизирано генериране на тестови въпроси показва системна склонност на моделите да формулират задачи по отделен детайл от подадения текст, вместо по водещото понятие, което той изгражда — дефект, който наложил въвеждането на изрична настройка за концептуална дълбочина в работния процес [21]. Значението за оценяването е конкретно: материалът може да покрива формално всички теми и въпреки това да проверява запаметяване на подробности, а не разбиране на понятия. Показателят за съответствие с целите следователно трябва да се прилага не само количествено — покрита ли е всяка цел — но и качествено: на какво познавателно равнище я покрива материалът.</w:t>
      </w:r>
    </w:p>
    <w:p>
      <w:pPr>
        <w:spacing w:after="120" w:line="360"/>
        <w:ind w:firstLine="709"/>
        <w:jc w:val="both"/>
      </w:pPr>
      <w:r>
        <w:rPr>
          <w:rFonts w:ascii="Times New Roman" w:cs="Times New Roman" w:eastAsia="Times New Roman" w:hAnsi="Times New Roman"/>
          <w:sz w:val="24"/>
          <w:szCs w:val="24"/>
        </w:rPr>
        <w:t xml:space="preserve">Оттук следва и четвъртият критерий — приложимост в конкретния учебен контекст. Генерираният материал по подразбиране е „среден": написан за неопределен обучаем, в неопределен курс, с неопределен обем. Проверката трябва да установи дали материалът е използваем такъв, какъвто е, в конкретните условия — вписва ли се в отделеното учебно време, съответства ли на формата на обучението, стъпва ли на действително изучаваното преди него и подготвя ли следващото. Показателите тук са контекстуални по природа и затова не могат да бъдат проверени от никого другиго освен от преподавателя, който познава курса — още един аргумент, че моделът за оценяване трябва да бъде инструмент в ръцете на преподавателя, а не автоматизирана процедура.</w:t>
      </w:r>
    </w:p>
    <w:p>
      <w:pPr>
        <w:spacing w:after="120" w:line="360"/>
        <w:ind w:firstLine="709"/>
        <w:jc w:val="both"/>
      </w:pPr>
      <w:r>
        <w:rPr>
          <w:rFonts w:ascii="Times New Roman" w:cs="Times New Roman" w:eastAsia="Times New Roman" w:hAnsi="Times New Roman"/>
          <w:sz w:val="24"/>
          <w:szCs w:val="24"/>
        </w:rPr>
        <w:t xml:space="preserve">Обобщено, критериите за дидактическа пригодност — съответствие с целите, педагогическа логика, активно учене, приложимост в контекста — наследяват съдържанието си от установената педагогическа традиция, но при генерирано съдържание тежестта им нараства: формата на учебния текст вече не е свидетелство за педагогически замисъл, защото се възпроизвежда механично. Материалът трябва да бъде проверен именно по същество, а не по вид. Следващата точка разглежда третата област на качеството — езиковата яснота, структурата и достъпността на изложението.</w:t>
      </w:r>
    </w:p>
    <w:p>
      <w:pPr>
        <w:pStyle w:val="Heading2"/>
      </w:pPr>
      <w:r>
        <w:rPr>
          <w:rFonts w:ascii="Times New Roman" w:cs="Times New Roman" w:eastAsia="Times New Roman" w:hAnsi="Times New Roman"/>
          <w:b/>
          <w:bCs/>
          <w:sz w:val="26"/>
          <w:szCs w:val="26"/>
        </w:rPr>
        <w:t xml:space="preserve">2.4. Критерии за езикова яснота, структура и достъпност</w:t>
      </w:r>
    </w:p>
    <w:p>
      <w:pPr>
        <w:spacing w:after="120" w:line="360"/>
        <w:ind w:firstLine="709"/>
        <w:jc w:val="both"/>
      </w:pPr>
      <w:r>
        <w:rPr>
          <w:rFonts w:ascii="Times New Roman" w:cs="Times New Roman" w:eastAsia="Times New Roman" w:hAnsi="Times New Roman"/>
          <w:sz w:val="24"/>
          <w:szCs w:val="24"/>
        </w:rPr>
        <w:t xml:space="preserve">Третата област на качеството обхваща формата на изложението и е независима от предходните две: съдържание с вярна фактология и смислен педагогически замисъл може да бъде изложено неразбираемо, неорганизирано или недостъпно за част от обучаемите. Критериите в тази област се групират в три направления — езикова яснота, текстова и визуална организация, и достъпност.</w:t>
      </w:r>
    </w:p>
    <w:p>
      <w:pPr>
        <w:spacing w:after="120" w:line="360"/>
        <w:ind w:firstLine="709"/>
        <w:jc w:val="both"/>
      </w:pPr>
      <w:r>
        <w:rPr>
          <w:rFonts w:ascii="Times New Roman" w:cs="Times New Roman" w:eastAsia="Times New Roman" w:hAnsi="Times New Roman"/>
          <w:sz w:val="24"/>
          <w:szCs w:val="24"/>
        </w:rPr>
        <w:t xml:space="preserve">Езиковата яснота включва разбираемост на изказа, стил, адаптиран към възрастта и подготовката на аудиторията, и последователна употреба на терминологията — всеки термин да бъде въведен преди употребата си и да се използва еднозначно в целия материал. Спецификата на генерираното съдържание тук е парадоксална: езикът му е плавен по подразбиране, затова рискът не е в очевидната неграмотност, а в по-фини дефекти — терминологична непоследователност между отделни части на материала, произведени с различни заявки; стилова монотонност, която уморява при по-дълго изложение; а при езици с по-слабо покритие в обучителните данни, каквито са и по-малките европейски езици, — неестествени конструкции и буквално пренесени чуждоезични обрати [12]. Плавността на повърхността маскира тези дефекти, затова проверката изисква четене на целия материал в последователност, а не преглед на откъси.</w:t>
      </w:r>
    </w:p>
    <w:p>
      <w:pPr>
        <w:spacing w:after="120" w:line="360"/>
        <w:ind w:firstLine="709"/>
        <w:jc w:val="both"/>
      </w:pPr>
      <w:r>
        <w:rPr>
          <w:rFonts w:ascii="Times New Roman" w:cs="Times New Roman" w:eastAsia="Times New Roman" w:hAnsi="Times New Roman"/>
          <w:sz w:val="24"/>
          <w:szCs w:val="24"/>
        </w:rPr>
        <w:t xml:space="preserve">Критерият за разбираемост има и международно утвърдена операционализация: стандартът за ясен език ISO 24495-1 определя ясната комуникация чрез четири принципа, които поставят читателя в центъра — читателят да получава относимата за него информация, да може да я намери, да я разбере и да може да я използва [41]. Пренесени върху учебното съдържание, тези принципи превръщат разбираемостта от интуитивна преценка в проверими въпроси: намира ли обучаемият необходимото на очакваното място, разбира ли го при първо четене, може ли да го приложи. При генериран текст стандартът е полезен именно защото разграничава плавността от яснотата — текст, който се чете гладко, може да не отговаря на нито един от четирите принципа.</w:t>
      </w:r>
    </w:p>
    <w:p>
      <w:pPr>
        <w:spacing w:after="120" w:line="360"/>
        <w:ind w:firstLine="709"/>
        <w:jc w:val="both"/>
      </w:pPr>
      <w:r>
        <w:rPr>
          <w:rFonts w:ascii="Times New Roman" w:cs="Times New Roman" w:eastAsia="Times New Roman" w:hAnsi="Times New Roman"/>
          <w:sz w:val="24"/>
          <w:szCs w:val="24"/>
        </w:rPr>
        <w:t xml:space="preserve">Твърдението за по-слабото качество при езици с ограничено представяне в обучителните данни има и пряко емпирично потвърждение за българския език. При съпоставимо по обем генериране на тестови въпроси от учебен текст на два езика делът на въпросите, изискващи редакция, е около 4–5 на сто при българските срещу 1–2 на сто при английските, а преобладаващият тип нередност е именно неестествено или несвойствено формулиране на български [21]. Данните са показателни в две отношения: разликата между езиците е двукратна до петкратна, а характерът на дефекта е езиков, а не фактически — тоест той не се улавя от проверка за вярност, а само от внимателен прочит с оглед на естествеността на изказа. За материали, предназначени за българска аудитория, показателят за естественост на езика следователно не е второстепенен, а един от най-натоварените в цялата област.</w:t>
      </w:r>
    </w:p>
    <w:p>
      <w:pPr>
        <w:spacing w:after="120" w:line="360"/>
        <w:ind w:firstLine="709"/>
        <w:jc w:val="both"/>
      </w:pPr>
      <w:r>
        <w:rPr>
          <w:rFonts w:ascii="Times New Roman" w:cs="Times New Roman" w:eastAsia="Times New Roman" w:hAnsi="Times New Roman"/>
          <w:sz w:val="24"/>
          <w:szCs w:val="24"/>
        </w:rPr>
        <w:t xml:space="preserve">Текстовата и визуалната организация обхваща разчленяването на изложението — заглавия, които отразяват съдържанието, смислово обособени части, откроени определения и примери — и икономията на изразните средства: изследванията върху мултимедийното учене показват, че добавянето на несъществен текст, изображения или украса не е неутрално, а активно вреди на ученето [1, гл. 9]. При генерирано съдържание този критерий е особено уместен, тъй като езиковите модели са склонни към многословие и към шаблонни уводни и заключителни формули, които заемат място, без да носят учебна стойност.</w:t>
      </w:r>
    </w:p>
    <w:p>
      <w:pPr>
        <w:spacing w:after="120" w:line="360"/>
        <w:ind w:firstLine="709"/>
        <w:jc w:val="both"/>
      </w:pPr>
      <w:r>
        <w:rPr>
          <w:rFonts w:ascii="Times New Roman" w:cs="Times New Roman" w:eastAsia="Times New Roman" w:hAnsi="Times New Roman"/>
          <w:sz w:val="24"/>
          <w:szCs w:val="24"/>
        </w:rPr>
        <w:t xml:space="preserve">Третото направление е достъпността в широкия ѝ смисъл. Рамката на универсалния дизайн за учене (UDL) изисква учебното съдържание да предоставя множество средства за представяне на информацията, за ангажиране на обучаемите и за изразяване на наученото, така че материалът да бъде използваем от обучаеми с различни възможности и предпочитания [42]. В литературата за дизайна на учебния опит достъпността, използваемостта и универсалният дизайн се разглеждат като три допълващи се елемента на приобщаващия дизайн — свързани, но неподменяеми един с друг [43]. Генерираният текст не изпълнява тези изисквания по подразбиране: той е едноканален — плътен текст без алтернативи за възприемане — и придобива достъпни характеристики само ако те са изрично поискани при генерирането или добавени при редакцията.</w:t>
      </w:r>
    </w:p>
    <w:p>
      <w:pPr>
        <w:spacing w:after="120" w:line="360"/>
        <w:ind w:firstLine="709"/>
        <w:jc w:val="both"/>
      </w:pPr>
      <w:r>
        <w:rPr>
          <w:rFonts w:ascii="Times New Roman" w:cs="Times New Roman" w:eastAsia="Times New Roman" w:hAnsi="Times New Roman"/>
          <w:sz w:val="24"/>
          <w:szCs w:val="24"/>
        </w:rPr>
        <w:t xml:space="preserve">Обобщено, критериите за езикова яснота, структура и достъпност — разбираемост и адаптиран стил, терминологична последователност, организация и икономия на изложението, съответствие с изискванията за достъпност — имат утвърдено съдържание, но при генерирано съдържание променят посоката на подозрението: проблемите не са там, където текстът изглежда зле, а там, където изглежда добре. Гладкостта на изказа е свойство на механизма на генериране, не свидетелство за качество на комуникацията. Остава четвъртата област — допустимостта на съдържанието от гледна точка на оригиналност, етика и академична коректност — предмет на следващата точка.</w:t>
      </w:r>
    </w:p>
    <w:p>
      <w:pPr>
        <w:pStyle w:val="Heading2"/>
      </w:pPr>
      <w:r>
        <w:rPr>
          <w:rFonts w:ascii="Times New Roman" w:cs="Times New Roman" w:eastAsia="Times New Roman" w:hAnsi="Times New Roman"/>
          <w:b/>
          <w:bCs/>
          <w:sz w:val="26"/>
          <w:szCs w:val="26"/>
        </w:rPr>
        <w:t xml:space="preserve">2.5. Критерии за оригиналност, етична допустимост и академична коректност</w:t>
      </w:r>
    </w:p>
    <w:p>
      <w:pPr>
        <w:spacing w:after="120" w:line="360"/>
        <w:ind w:firstLine="709"/>
        <w:jc w:val="both"/>
      </w:pPr>
      <w:r>
        <w:rPr>
          <w:rFonts w:ascii="Times New Roman" w:cs="Times New Roman" w:eastAsia="Times New Roman" w:hAnsi="Times New Roman"/>
          <w:sz w:val="24"/>
          <w:szCs w:val="24"/>
        </w:rPr>
        <w:t xml:space="preserve">Четвъртата област на качеството се различава по природа от предходните три: тя не пита дали съдържанието работи като учебен материал, а дали е допустимо да бъде използвано изобщо. Критериите тук операционализират етичните и академичните изисквания от точка 1.6 на равнището на конкретния материал и обхващат оригиналността, етичната допустимост на съдържанието и академичната коректност на употребата.</w:t>
      </w:r>
    </w:p>
    <w:p>
      <w:pPr>
        <w:spacing w:after="120" w:line="360"/>
        <w:ind w:firstLine="709"/>
        <w:jc w:val="both"/>
      </w:pPr>
      <w:r>
        <w:rPr>
          <w:rFonts w:ascii="Times New Roman" w:cs="Times New Roman" w:eastAsia="Times New Roman" w:hAnsi="Times New Roman"/>
          <w:sz w:val="24"/>
          <w:szCs w:val="24"/>
        </w:rPr>
        <w:t xml:space="preserve">Оригиналността засяга отношението на генерирания текст към съществуващи произведения. Езиковият модел може да възпроизведе защитен текст в близка до дословната форма, без да сигнализира за това, и може да преразкаже чуждо изложение без указание за източника — и в двата случая материалът изглежда оригинален, без да бъде. Проверимите показатели са два: близост до съществуващи източници, установявана чрез съпоставка на характерни пасажи с достъпната литература по темата, и коректно обозначаване на действително заетите елементи — определения, класификации, примери с установен произход.</w:t>
      </w:r>
    </w:p>
    <w:p>
      <w:pPr>
        <w:spacing w:after="120" w:line="360"/>
        <w:ind w:firstLine="709"/>
        <w:jc w:val="both"/>
      </w:pPr>
      <w:r>
        <w:rPr>
          <w:rFonts w:ascii="Times New Roman" w:cs="Times New Roman" w:eastAsia="Times New Roman" w:hAnsi="Times New Roman"/>
          <w:sz w:val="24"/>
          <w:szCs w:val="24"/>
        </w:rPr>
        <w:t xml:space="preserve">Изкушението е тази проверка да бъде възложена на автоматизирани детектори за генериран текст. Емпиричните оценки обаче показват, че точността и надеждността на такива детектори в академичен контекст са недостатъчни — те произвеждат както фалшиви обвинения срещу човешки текст, така и пропуски на действително генериран, а резултатите им се влияят от езика и от редакцията на текста [44]. Следствието за модела е принципно: критерият за оригиналност и академична коректност не може да бъде операционализиран чрез показанието на детектор. Устойчивата алтернатива е процедурна — декларирана употреба на генеративни инструменти, проследимост на процеса на създаване и съдържателна съпоставка с източниците — при която коректността се осигурява от документирания процес, а не се гадае от готовия текст.</w:t>
      </w:r>
    </w:p>
    <w:p>
      <w:pPr>
        <w:spacing w:after="120" w:line="360"/>
        <w:ind w:firstLine="709"/>
        <w:jc w:val="both"/>
      </w:pPr>
      <w:r>
        <w:rPr>
          <w:rFonts w:ascii="Times New Roman" w:cs="Times New Roman" w:eastAsia="Times New Roman" w:hAnsi="Times New Roman"/>
          <w:sz w:val="24"/>
          <w:szCs w:val="24"/>
        </w:rPr>
        <w:t xml:space="preserve">Към общата ненадеждност на детекторите се добавя и обстоятелство, съществено за настоящата работа. Анализът на приложимостта им в българска академична среда посочва два системни проблема: фалшивите положителни резултати са особено характерни за текстове с висока терминологична наситеност и формализиран стил — тоест точно за добре написаното научно и учебно изложение — а детекторите, обучени предимно върху текстове на английски език, губят точност при проверка на текстове на български [28]. Оттук произтича и процедурното следствие, което същият анализ формулира: никое решение не бива да се основава единствено на машинен доклад, а резултатът от детектор може да бъде само повод за съдържателна проверка, но не и неин заместител. За модел, предназначен за оценяване на учебни материали на български език, това е решаващ аргумент — критерият за оригиналност се операционализира процедурно, а не детекционно.</w:t>
      </w:r>
    </w:p>
    <w:p>
      <w:pPr>
        <w:spacing w:after="120" w:line="360"/>
        <w:ind w:firstLine="709"/>
        <w:jc w:val="both"/>
      </w:pPr>
      <w:r>
        <w:rPr>
          <w:rFonts w:ascii="Times New Roman" w:cs="Times New Roman" w:eastAsia="Times New Roman" w:hAnsi="Times New Roman"/>
          <w:sz w:val="24"/>
          <w:szCs w:val="24"/>
        </w:rPr>
        <w:t xml:space="preserve">Развитието на институционалните политики потвърждава тази посока. Анализите на академичната почтеност след масовото навлизане на диалоговите модели показват изместване от първоначалните забрани към регулирана и декларирана употреба: постижимата цел не е откриването на всяка генерирана дума, а ясни правила кога употребата е допустима, как се декларира и кой носи отговорност за крайния текст [45]. Този развой съвпада с извода на настоящата работа — устойчивата операционализация на критерия е процедурна, а не детекционна — и го пренася от отделния материал към равнището на институционалните правила, в които оценъчният модел може да се вгради.</w:t>
      </w:r>
    </w:p>
    <w:p>
      <w:pPr>
        <w:spacing w:after="120" w:line="360"/>
        <w:ind w:firstLine="709"/>
        <w:jc w:val="both"/>
      </w:pPr>
      <w:r>
        <w:rPr>
          <w:rFonts w:ascii="Times New Roman" w:cs="Times New Roman" w:eastAsia="Times New Roman" w:hAnsi="Times New Roman"/>
          <w:sz w:val="24"/>
          <w:szCs w:val="24"/>
        </w:rPr>
        <w:t xml:space="preserve">Етичната допустимост на самото съдържание образува втората половина на областта. Генерираният материал може да съдържа елементи, наследени от обучителните данни: стереотипизиращи примери и роли, пристрастия към определени групи, гледни точки, представени като безспорни, или съдържание, неподходящо за възрастта и контекста на аудиторията [12]. Тези елементи рядко са очевидни — те се проявяват в подбора на примерите, в подразбиращите се допускания, в това кой присъства и кой отсъства от илюстрациите на материала. Проверимите показатели включват преглед на примерите и казусите за стереотипи и пристрастия, съответствие на съдържанието с възрастта и културния контекст на обучаемите и отсъствие на подвеждащи внушения, представени като установено знание.</w:t>
      </w:r>
    </w:p>
    <w:p>
      <w:pPr>
        <w:spacing w:after="120" w:line="360"/>
        <w:ind w:firstLine="709"/>
        <w:jc w:val="both"/>
      </w:pPr>
      <w:r>
        <w:rPr>
          <w:rFonts w:ascii="Times New Roman" w:cs="Times New Roman" w:eastAsia="Times New Roman" w:hAnsi="Times New Roman"/>
          <w:sz w:val="24"/>
          <w:szCs w:val="24"/>
        </w:rPr>
        <w:t xml:space="preserve">Обобщено, четвъртата област се отличава с това, че е най-слабо податлива на автоматизация и в най-голяма степен опира до професионалната и етичната преценка на проверяващия: инструментите за автоматично откриване са ненадеждни, а стереотипите и пристрастията изискват човешка чувствителност към контекста. С това анализът на четирите критерийни области — научна коректност, дидактическа пригодност, езикова яснота и достъпност, оригиналност и етична допустимост — е завършен. Преди тези критерии да бъдат обобщени в изисквания към модела, е необходимо да се систематизира срещу какво точно те трябва да бъдат чувствителни: типичните, повтарящи се дефицити на съдържанието, създавано с генеративни инструменти. Това е предмет на следващата точка.</w:t>
      </w:r>
    </w:p>
    <w:p>
      <w:pPr>
        <w:pStyle w:val="Heading2"/>
      </w:pPr>
      <w:r>
        <w:rPr>
          <w:rFonts w:ascii="Times New Roman" w:cs="Times New Roman" w:eastAsia="Times New Roman" w:hAnsi="Times New Roman"/>
          <w:b/>
          <w:bCs/>
          <w:sz w:val="26"/>
          <w:szCs w:val="26"/>
        </w:rPr>
        <w:t xml:space="preserve">2.6. Анализ на типични дефицити в съдържание, създадено с генеративни AI инструменти</w:t>
      </w:r>
    </w:p>
    <w:p>
      <w:pPr>
        <w:spacing w:after="120" w:line="360"/>
        <w:ind w:firstLine="709"/>
        <w:jc w:val="both"/>
      </w:pPr>
      <w:r>
        <w:rPr>
          <w:rFonts w:ascii="Times New Roman" w:cs="Times New Roman" w:eastAsia="Times New Roman" w:hAnsi="Times New Roman"/>
          <w:sz w:val="24"/>
          <w:szCs w:val="24"/>
        </w:rPr>
        <w:t xml:space="preserve">Дефицитите на генерираното съдържание бяха споменавани в хода на изложението многократно, но разпръснато — като ограничения на инструментите в точка 1.3, като рискове в точка 1.5 и като специфика на отделните критерийни области в точки 2.2–2.5. Настоящата точка ги събира в обща типология, защото за целите на модела дефицитите не са любопитни куриози, а точният списък от явления, срещу които критериите трябва да бъдат чувствителни. Типологията следва четирите критерийни области.</w:t>
      </w:r>
    </w:p>
    <w:p>
      <w:pPr>
        <w:spacing w:after="120" w:line="360"/>
        <w:ind w:firstLine="709"/>
        <w:jc w:val="both"/>
      </w:pPr>
      <w:r>
        <w:rPr>
          <w:rFonts w:ascii="Times New Roman" w:cs="Times New Roman" w:eastAsia="Times New Roman" w:hAnsi="Times New Roman"/>
          <w:sz w:val="24"/>
          <w:szCs w:val="24"/>
        </w:rPr>
        <w:t xml:space="preserve">В областта на съдържателното качество типичните дефицити са фактическите неточности и халюцинациите — измислени факти, данни и източници, поднесени с непоклатима езикова увереност — и системната опасност от остарялост на информацията спрямо актуалното състояние на областта. Определящата характеристика на тези дефицити не е тяхната честота, а тяхната невидимост: сравнителните изследвания показват, че генерираните учебни ресурси са неразличими от човешките по повърхностни белези [38], така че дефектите не се набиват на очи, а се откриват само при целенасочена проверка. Затова рискът трябва да се оценява не по вероятността за поява на грешка, а по цената на нейния пропуск — фактическа грешка в учебен материал се възпроизвежда в знанията на всеки обучаем, който учи по него.</w:t>
      </w:r>
    </w:p>
    <w:p>
      <w:pPr>
        <w:spacing w:after="120" w:line="360"/>
        <w:ind w:firstLine="709"/>
        <w:jc w:val="both"/>
      </w:pPr>
      <w:r>
        <w:rPr>
          <w:rFonts w:ascii="Times New Roman" w:cs="Times New Roman" w:eastAsia="Times New Roman" w:hAnsi="Times New Roman"/>
          <w:sz w:val="24"/>
          <w:szCs w:val="24"/>
        </w:rPr>
        <w:t xml:space="preserve">В дидактическата област типичните дефицити са логическите пропуски — стъпки в изложението, които моделът прескача като очевидни, защото не поддържа модел на предварителните знания на обучаемия; липсата на педагогическа последователност — форма на учебен текст без осъзнат замисъл зад реда на представяне; несъобразеността с конкретната аудитория и учебна програма, която системите за контролирано генериране компенсират именно защото я констатират като системен проблем [17]; и еднотипните, повърхностни упражнения без съдържателна обратна връзка. Общото между тези дефицити е, че нито един от тях не прави материала очевидно негоден — той изглежда като учебен текст и точно затова преминава незабелязан през безкритичен преглед.</w:t>
      </w:r>
    </w:p>
    <w:p>
      <w:pPr>
        <w:spacing w:after="120" w:line="360"/>
        <w:ind w:firstLine="709"/>
        <w:jc w:val="both"/>
      </w:pPr>
      <w:r>
        <w:rPr>
          <w:rFonts w:ascii="Times New Roman" w:cs="Times New Roman" w:eastAsia="Times New Roman" w:hAnsi="Times New Roman"/>
          <w:sz w:val="24"/>
          <w:szCs w:val="24"/>
        </w:rPr>
        <w:t xml:space="preserve">В езиково-структурната област се натрупват дефицитите на формата: шаблонността — еднообразен ритъм на изложението, формулни уводи и заключения, повтарящи се конструкции; многословието, което разрежда учебната стойност; терминологичната непоследователност между части, генерирани с отделни заявки; а при по-слабо покритите в обучителните данни езици — неестествени конструкции и буквално пренесени чуждоезични обрати. В четвъртата област — оригиналност и етична допустимост — типичните дефицити са скритата близост до съществуващи източници, която материалът не обозначава, и наследените от данните стереотипи и пристрастия в примерите и допусканията [12].</w:t>
      </w:r>
    </w:p>
    <w:p>
      <w:pPr>
        <w:spacing w:after="120" w:line="360"/>
        <w:ind w:firstLine="709"/>
        <w:jc w:val="both"/>
      </w:pPr>
      <w:r>
        <w:rPr>
          <w:rFonts w:ascii="Times New Roman" w:cs="Times New Roman" w:eastAsia="Times New Roman" w:hAnsi="Times New Roman"/>
          <w:sz w:val="24"/>
          <w:szCs w:val="24"/>
        </w:rPr>
        <w:t xml:space="preserve">Систематизацията позволява извод с пряко конструктивно значение за модела. Дефицитите на генерираното съдържание са предвидими по вид, макар и непредвидими по място: не може да се каже къде в конкретния материал ще се появи халюцинация или логически пропуск, но може да се каже с висока увереност какви категории дефекти изобщо се срещат и в коя критерийна област попада всяка от тях. Точно това свойство прави систематичното оценяване възможно — типологията на дефицитите се превръща в списък от контролни точки, всяка от които се проверява от определен показател на модела. Съответствието между дефицити, области и показатели е представено обобщено в таблицата на следващата точка, която извежда пълните изисквания към модела.</w:t>
      </w:r>
    </w:p>
    <w:p>
      <w:pPr>
        <w:pStyle w:val="Heading2"/>
      </w:pPr>
      <w:r>
        <w:rPr>
          <w:rFonts w:ascii="Times New Roman" w:cs="Times New Roman" w:eastAsia="Times New Roman" w:hAnsi="Times New Roman"/>
          <w:b/>
          <w:bCs/>
          <w:sz w:val="26"/>
          <w:szCs w:val="26"/>
        </w:rPr>
        <w:t xml:space="preserve">2.7. Извеждане на изисквания към бъдещ модел за оценяване</w:t>
      </w:r>
    </w:p>
    <w:p>
      <w:pPr>
        <w:spacing w:after="120" w:line="360"/>
        <w:ind w:firstLine="709"/>
        <w:jc w:val="both"/>
      </w:pPr>
      <w:r>
        <w:rPr>
          <w:rFonts w:ascii="Times New Roman" w:cs="Times New Roman" w:eastAsia="Times New Roman" w:hAnsi="Times New Roman"/>
          <w:sz w:val="24"/>
          <w:szCs w:val="24"/>
        </w:rPr>
        <w:t xml:space="preserve">Настоящата точка изпълнява свързващата функция на втора глава: тя обобщава резултатите от целия дотук извършен анализ в изрична спецификация — списък от изисквания, срещу които моделът в трета глава ще бъде конструиран и по които след апробирането ще може да бъде проверено дали конструкцията е успешна. Изискванията се групират в три равнища: към съдържанието на модела, към измерването и към процедурата за приложение.</w:t>
      </w:r>
    </w:p>
    <w:p>
      <w:pPr>
        <w:spacing w:after="120" w:line="360"/>
        <w:ind w:firstLine="709"/>
        <w:jc w:val="both"/>
      </w:pPr>
      <w:r>
        <w:rPr>
          <w:rFonts w:ascii="Times New Roman" w:cs="Times New Roman" w:eastAsia="Times New Roman" w:hAnsi="Times New Roman"/>
          <w:sz w:val="24"/>
          <w:szCs w:val="24"/>
        </w:rPr>
        <w:t xml:space="preserve">Изискванията към съдържанието произтичат от точки 2.2–2.6. Първо, моделът трябва да покрива четирите критерийни области — научна коректност и достоверност, дидактическа пригодност, езикова яснота, структура и достъпност, и оригиналност, етична допустимост и академична коректност — тъй като те са логически независими една от друга и дефицит в която и да е от тях компрометира материала. Второ, всяка област трябва да бъде разгърната в критерии с проверими показатели, формулирани на определеното в анализа равнище: за научната коректност — на равнище отделно твърдение и отделен източник; за дидактическата пригодност — на равнище структура и учебна цел; за езиковата област — на равнище цялостен прочит; за четвъртата област — на равнище процес на създаване. Трето, показателите трябва да са чувствителни към типичните дефицити от точка 2.6 — всеки установен клас дефекти да се улавя от поне един показател, иначе моделът има сляпо петно точно там, където рисковете са документирани.</w:t>
      </w:r>
    </w:p>
    <w:p>
      <w:pPr>
        <w:spacing w:after="120" w:line="360"/>
        <w:ind w:firstLine="709"/>
        <w:jc w:val="both"/>
      </w:pPr>
      <w:r>
        <w:rPr>
          <w:rFonts w:ascii="Times New Roman" w:cs="Times New Roman" w:eastAsia="Times New Roman" w:hAnsi="Times New Roman"/>
          <w:sz w:val="24"/>
          <w:szCs w:val="24"/>
        </w:rPr>
        <w:t xml:space="preserve">Изискванията към измерването засягат скалата и интерпретацията. Скалата следва да има малък брой ясно разграничими нива с описателни дефиниции — достатъчно, за да разграничава годно от негодно и да откроява посоката на необходимата преработка, но не толкова, че разликата между съседни нива да стане въпрос на вкус. Необходим е изричен праг на допустимост: равнище, под което материалът не се използва без преработка, независимо от резултатите в останалите области. Оттук следва и правилото за агрегиране: областите не се компенсират взаимно — слабата научна коректност не се изкупува от отличен език — затова общата оценка не може да бъде просто средно аритметично, а трябва да отчита прага във всяка област поотделно.</w:t>
      </w:r>
    </w:p>
    <w:p>
      <w:pPr>
        <w:spacing w:after="120" w:line="360"/>
        <w:ind w:firstLine="709"/>
        <w:jc w:val="both"/>
      </w:pPr>
      <w:r>
        <w:rPr>
          <w:rFonts w:ascii="Times New Roman" w:cs="Times New Roman" w:eastAsia="Times New Roman" w:hAnsi="Times New Roman"/>
          <w:sz w:val="24"/>
          <w:szCs w:val="24"/>
        </w:rPr>
        <w:t xml:space="preserve">Изискванията към процедурата произтичат от точки 2.1 и 2.5. Моделът трябва да бъде приложим от отделен преподавател с предметна компетентност, без специализирана инфраструктура и без разчитане на автоматични детектори, чиято ненадеждност беше показана. Процедурата трябва да предписва ред на проверката — съдържателната коректност преди формата, тъй като няма смисъл да се шлифова изказът на неверен текст — и да завършва с документиран резултат: попълнена оценъчна карта, която прави оценката проследима и съпоставима между материали и оценители. Накрая, процедурата трябва да бъде икономична: проверката на генериран материал има смисъл само ако е осезаемо по-евтина от написването му наново. Обобщеното съответствие между области, критерии, показатели и улавяни дефицити е представено в Таблица 3.</w:t>
      </w:r>
    </w:p>
    <w:p>
      <w:pPr>
        <w:spacing w:after="120" w:before="200"/>
        <w:jc w:val="center"/>
      </w:pPr>
      <w:r>
        <w:rPr>
          <w:rFonts w:ascii="Times New Roman" w:cs="Times New Roman" w:eastAsia="Times New Roman" w:hAnsi="Times New Roman"/>
          <w:i/>
          <w:iCs/>
          <w:sz w:val="20"/>
          <w:szCs w:val="20"/>
        </w:rPr>
        <w:t xml:space="preserve">Таблица 3. Съответствие между критерийни области, критерии, показатели и типични дефицити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50"/>
        <w:gridCol w:w="2300"/>
        <w:gridCol w:w="2715"/>
        <w:gridCol w:w="2000"/>
      </w:tblGrid>
      <w:tr>
        <w:tc>
          <w:tcPr>
            <w:tcW w:type="dxa" w:w="175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Област</w:t>
            </w:r>
          </w:p>
        </w:tc>
        <w:tc>
          <w:tcPr>
            <w:tcW w:type="dxa" w:w="23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Критерии</w:t>
            </w:r>
          </w:p>
        </w:tc>
        <w:tc>
          <w:tcPr>
            <w:tcW w:type="dxa" w:w="2715"/>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Примерни показатели</w:t>
            </w:r>
          </w:p>
        </w:tc>
        <w:tc>
          <w:tcPr>
            <w:tcW w:type="dxa" w:w="20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Улавяни дефицити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Научна коректност и достоверност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точност; актуалност; надеждност и съответствие с източниците</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всяко съществено твърдение е проверено срещу независим източник; съответствие с актуалната версия/стандарт; цитираните източници съществуват и казват приписаното им</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халюцинации; измислени източници; остаряла информация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Дидактическа пригодност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съответствие с целите; педагогическа логика; активно учене; приложимост в контекста</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всяка цел е покрита; понятията са въведени преди употреба; налични са задачи със съдържателна обратна връзка; материалът се вписва в курса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логически пропуски; липса на педагогическа последователност; несъобразеност с аудиторията; еднотипни упражнения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Езикова яснота, структура и достъпност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разбираемост и стил; терминологична последователност; организация и икономия; достъпност (UDL)</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изказ, адаптиран към аудиторията; еднозначна терминология; без излишно съдържание; алтернативи за възприемане</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шаблонност; многословие; терминологична непоследователност; калки и неестествени конструкции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етика и академична коректност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етична допустимост; декларирана употреба</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съпоставка на характерни пасажи с източници; преглед за стереотипи и пристрастия; документиран процес на създаване</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скрита близост до източници; стереотипи; неотчетена употреба</w:t>
            </w:r>
          </w:p>
        </w:tc>
      </w:tr>
    </w:tbl>
    <w:p>
      <w:pPr>
        <w:spacing w:after="120" w:line="360"/>
        <w:ind w:firstLine="709"/>
        <w:jc w:val="both"/>
      </w:pPr>
      <w:r>
        <w:rPr>
          <w:rFonts w:ascii="Times New Roman" w:cs="Times New Roman" w:eastAsia="Times New Roman" w:hAnsi="Times New Roman"/>
          <w:sz w:val="24"/>
          <w:szCs w:val="24"/>
        </w:rPr>
        <w:t xml:space="preserve">Така формулираната спецификация затваря аналитичната част на работата и определя еднозначно задачата на трета глава: да конструира модел, който покрива четирите области с критерии и проверими показатели, измерва ги по скала с праг на допустимост и некомпенсаторно агрегиране, и се прилага по документирана, икономична процедура, изпълнима от отделен преподавател. Всеки елемент на модела в трета глава ще може да бъде съотнесен към конкретно изискване от настоящата точка, а апробирането в точки 3.7–3.8 ще провери дали изискванията са изпълнени не на хартия, а върху реални генерирани материали.</w:t>
      </w:r>
    </w:p>
    <w:p>
      <w:pPr>
        <w:pStyle w:val="Heading2"/>
      </w:pPr>
      <w:r>
        <w:rPr>
          <w:rFonts w:ascii="Times New Roman" w:cs="Times New Roman" w:eastAsia="Times New Roman" w:hAnsi="Times New Roman"/>
          <w:b/>
          <w:bCs/>
          <w:sz w:val="26"/>
          <w:szCs w:val="26"/>
        </w:rPr>
        <w:t xml:space="preserve">ИЗВОДИ ОТ ВТОРА ГЛАВА</w:t>
      </w:r>
    </w:p>
    <w:p>
      <w:pPr>
        <w:spacing w:after="120" w:line="360"/>
        <w:ind w:firstLine="709"/>
        <w:jc w:val="both"/>
      </w:pPr>
      <w:r>
        <w:rPr>
          <w:rFonts w:ascii="Times New Roman" w:cs="Times New Roman" w:eastAsia="Times New Roman" w:hAnsi="Times New Roman"/>
          <w:sz w:val="24"/>
          <w:szCs w:val="24"/>
        </w:rPr>
        <w:t xml:space="preserve">Анализът във втора глава води до следните изводи.</w:t>
      </w:r>
    </w:p>
    <w:p>
      <w:pPr>
        <w:spacing w:after="120" w:line="360"/>
        <w:ind w:firstLine="709"/>
        <w:jc w:val="both"/>
      </w:pPr>
      <w:r>
        <w:rPr>
          <w:rFonts w:ascii="Times New Roman" w:cs="Times New Roman" w:eastAsia="Times New Roman" w:hAnsi="Times New Roman"/>
          <w:sz w:val="24"/>
          <w:szCs w:val="24"/>
        </w:rPr>
        <w:t xml:space="preserve">Първо, съвременната литература отговаря на предизвикателството на генерираното съдържание с три семейства подходи — адаптиране на наследените критерии, разработване на нови AI-специфични рамки и вграждане на контрола в системите за генериране. И трите оставят празнина: наследените критерии пропускат специфичните рискове, новите рамки са малобройни и неутвърдени, а вграденият контрол е недостъпен за преподавателя, който работи с общодостъпни инструменти. Интегриран, практически приложим модел за оценяване не се открива.</w:t>
      </w:r>
    </w:p>
    <w:p>
      <w:pPr>
        <w:spacing w:after="120" w:line="360"/>
        <w:ind w:firstLine="709"/>
        <w:jc w:val="both"/>
      </w:pPr>
      <w:r>
        <w:rPr>
          <w:rFonts w:ascii="Times New Roman" w:cs="Times New Roman" w:eastAsia="Times New Roman" w:hAnsi="Times New Roman"/>
          <w:sz w:val="24"/>
          <w:szCs w:val="24"/>
        </w:rPr>
        <w:t xml:space="preserve">Второ, качеството на генерираното учебно съдържание се разполага в четири логически независими области — научна коректност, дидактическа пригодност, езикова яснота и достъпност, оригиналност и етична допустимост. Общото между тях е обръщането на операционализацията: при генериран материал качеството не може да се предполага въз основа на доверие в автора, а трябва да бъде установено чрез проверка — на равнище твърдение, структура, цялостен прочит и процес на създаване съответно.</w:t>
      </w:r>
    </w:p>
    <w:p>
      <w:pPr>
        <w:spacing w:after="120" w:line="360"/>
        <w:ind w:firstLine="709"/>
        <w:jc w:val="both"/>
      </w:pPr>
      <w:r>
        <w:rPr>
          <w:rFonts w:ascii="Times New Roman" w:cs="Times New Roman" w:eastAsia="Times New Roman" w:hAnsi="Times New Roman"/>
          <w:sz w:val="24"/>
          <w:szCs w:val="24"/>
        </w:rPr>
        <w:t xml:space="preserve">Трето, типичните дефицити на генерираното съдържание са предвидими по вид, макар и непредвидими по място, и главната им опасност е невидимостта — те не личат от повърхностни белези. Именно предвидимостта им позволява да бъдат превърнати в списък от контролни точки, а невидимостта им прави този списък задължителен.</w:t>
      </w:r>
    </w:p>
    <w:p>
      <w:pPr>
        <w:spacing w:after="120" w:line="360"/>
        <w:ind w:firstLine="709"/>
        <w:jc w:val="both"/>
      </w:pPr>
      <w:r>
        <w:rPr>
          <w:rFonts w:ascii="Times New Roman" w:cs="Times New Roman" w:eastAsia="Times New Roman" w:hAnsi="Times New Roman"/>
          <w:sz w:val="24"/>
          <w:szCs w:val="24"/>
        </w:rPr>
        <w:t xml:space="preserve">Четвърто, възможностите за автоматизиране на проверката са ограничени по принцип: автоматичните детектори за генериран текст са ненадеждни, а ключовите проверки — фактологическа, дидактическа, етична — изискват предметна и педагогическа компетентност. Моделът следователно трябва да бъде инструмент за структуриране на експертна човешка преценка, а не неин заместител.</w:t>
      </w:r>
    </w:p>
    <w:p>
      <w:pPr>
        <w:spacing w:after="120" w:line="360"/>
        <w:ind w:firstLine="709"/>
        <w:jc w:val="both"/>
      </w:pPr>
      <w:r>
        <w:rPr>
          <w:rFonts w:ascii="Times New Roman" w:cs="Times New Roman" w:eastAsia="Times New Roman" w:hAnsi="Times New Roman"/>
          <w:sz w:val="24"/>
          <w:szCs w:val="24"/>
        </w:rPr>
        <w:t xml:space="preserve">Пето, анализът е обобщен в изрична спецификация на бъдещия модел: четири критерийни области с проверими показатели, чувствителни към установените дефицити; скала с малък брой описателни нива, праг на допустимост и некомпенсаторно агрегиране; документирана, икономична процедура, приложима от отделен преподавател. С това задачата на трета глава е еднозначно определена, а изпълнението ѝ подлежи на проверка чрез апробиране.</w:t>
      </w:r>
    </w:p>
    <w:p>
      <w:pPr>
        <w:pStyle w:val="Heading1"/>
      </w:pPr>
      <w:r>
        <w:rPr>
          <w:rFonts w:ascii="Times New Roman" w:cs="Times New Roman" w:eastAsia="Times New Roman" w:hAnsi="Times New Roman"/>
          <w:b/>
          <w:bCs/>
          <w:sz w:val="28"/>
          <w:szCs w:val="28"/>
        </w:rPr>
        <w:t xml:space="preserve">ГЛАВА ТРЕТА. Разработване и апробиране на модел за оценяване на качеството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6"/>
          <w:szCs w:val="26"/>
        </w:rPr>
        <w:t xml:space="preserve">3.1. Принципи при разработване на модела</w:t>
      </w:r>
    </w:p>
    <w:p>
      <w:pPr>
        <w:spacing w:after="120" w:line="360"/>
        <w:ind w:firstLine="709"/>
        <w:jc w:val="both"/>
      </w:pPr>
      <w:r>
        <w:rPr>
          <w:rFonts w:ascii="Times New Roman" w:cs="Times New Roman" w:eastAsia="Times New Roman" w:hAnsi="Times New Roman"/>
          <w:sz w:val="24"/>
          <w:szCs w:val="24"/>
        </w:rPr>
        <w:t xml:space="preserve">Трета глава преминава от анализ към конструиране: въз основа на спецификацията от точка 2.7 се разработва модел за оценяване на качеството на електронно учебно съдържание, създадено с генеративни инструменти, който след това се апробира върху реални материали. Преди структурата на модела да бъде изложена, е необходимо да се формулират принципите, които ръководят проектантските решения — те са мерилото, по което се преценява всеки избор в конструкцията, и обясняват защо моделът изглежда така, а не иначе. Принципите са четири: научна обоснованост, приложимост, прозрачност и възможност за практическо използване.</w:t>
      </w:r>
    </w:p>
    <w:p>
      <w:pPr>
        <w:spacing w:after="120" w:line="360"/>
        <w:ind w:firstLine="709"/>
        <w:jc w:val="both"/>
      </w:pPr>
      <w:r>
        <w:rPr>
          <w:rFonts w:ascii="Times New Roman" w:cs="Times New Roman" w:eastAsia="Times New Roman" w:hAnsi="Times New Roman"/>
          <w:sz w:val="24"/>
          <w:szCs w:val="24"/>
        </w:rPr>
        <w:t xml:space="preserve">Принципът на научната обоснованост изисква всеки елемент на модела да бъде проследим до резултат от предходния анализ или до установен източник в литературата. Четирите области следват от точки 2.2–2.5; показателите — от типологията на дефицитите в точка 2.6; правилата за скалата и агрегирането — от изискванията в точка 2.7. В модела не бива да присъства критерий, който не отговаря на документиран риск или на установено педагогическо изискване — иначе инструментът се раздува с проверки, чиято цена не е оправдана.</w:t>
      </w:r>
    </w:p>
    <w:p>
      <w:pPr>
        <w:spacing w:after="120" w:line="360"/>
        <w:ind w:firstLine="709"/>
        <w:jc w:val="both"/>
      </w:pPr>
      <w:r>
        <w:rPr>
          <w:rFonts w:ascii="Times New Roman" w:cs="Times New Roman" w:eastAsia="Times New Roman" w:hAnsi="Times New Roman"/>
          <w:sz w:val="24"/>
          <w:szCs w:val="24"/>
        </w:rPr>
        <w:t xml:space="preserve">Принципът на приложимостта поставя модела в реалните условия на неговия потребител: отделен преподавател с предметна компетентност, без специализирана инфраструктура, без достъп до вградените механизми за контрол на затворени системи и без надеждни автоматични детектори. Всички показатели трябва да бъдат проверими с общодостъпни средства — четене, съпоставка с източници, професионална преценка — и в разумно време: проверката трябва да остане осезаемо по-евтина от самостоятелното написване на материала, иначе моделът обезсмисля ползата от генерирането.</w:t>
      </w:r>
    </w:p>
    <w:p>
      <w:pPr>
        <w:spacing w:after="120" w:line="360"/>
        <w:ind w:firstLine="709"/>
        <w:jc w:val="both"/>
      </w:pPr>
      <w:r>
        <w:rPr>
          <w:rFonts w:ascii="Times New Roman" w:cs="Times New Roman" w:eastAsia="Times New Roman" w:hAnsi="Times New Roman"/>
          <w:sz w:val="24"/>
          <w:szCs w:val="24"/>
        </w:rPr>
        <w:t xml:space="preserve">Принципът на прозрачността засяга обяснимостта на оценката. Всяко ниво по всеки критерий трябва да има описателна дефиниция, а присъдената оценка — да бъде защитима с посочени доказателства от самия материал: конкретното невярно твърдение, конкретният логически пропуск, конкретният шаблонен пасаж. Прозрачността обслужва две цели: прави оценките съпоставими между различни оценители и материали и превръща оценяването в диагностика — резултатът не само отсъжда, но и посочва къде и каква преработка е необходима.</w:t>
      </w:r>
    </w:p>
    <w:p>
      <w:pPr>
        <w:spacing w:after="120" w:line="360"/>
        <w:ind w:firstLine="709"/>
        <w:jc w:val="both"/>
      </w:pPr>
      <w:r>
        <w:rPr>
          <w:rFonts w:ascii="Times New Roman" w:cs="Times New Roman" w:eastAsia="Times New Roman" w:hAnsi="Times New Roman"/>
          <w:sz w:val="24"/>
          <w:szCs w:val="24"/>
        </w:rPr>
        <w:t xml:space="preserve">Принципът на практическата използваемост обобщава предходните три в изискване към формата: моделът трябва да съществува не само като описание в текст, а като работен инструмент — оценъчна карта с ясен ред на попълване, която побира цялата процедура и целия резултат. Как тези принципи се въплъщават в конкретна конструкция — области, критерии, показатели и логика на оценяване — е предмет на следващата точка.</w:t>
      </w:r>
    </w:p>
    <w:p>
      <w:pPr>
        <w:pStyle w:val="Heading2"/>
      </w:pPr>
      <w:r>
        <w:rPr>
          <w:rFonts w:ascii="Times New Roman" w:cs="Times New Roman" w:eastAsia="Times New Roman" w:hAnsi="Times New Roman"/>
          <w:b/>
          <w:bCs/>
          <w:sz w:val="26"/>
          <w:szCs w:val="26"/>
        </w:rPr>
        <w:t xml:space="preserve">3.2. Структура на предложения модел</w:t>
      </w:r>
    </w:p>
    <w:p>
      <w:pPr>
        <w:spacing w:after="120" w:line="360"/>
        <w:ind w:firstLine="709"/>
        <w:jc w:val="both"/>
      </w:pPr>
      <w:r>
        <w:rPr>
          <w:rFonts w:ascii="Times New Roman" w:cs="Times New Roman" w:eastAsia="Times New Roman" w:hAnsi="Times New Roman"/>
          <w:sz w:val="24"/>
          <w:szCs w:val="24"/>
        </w:rPr>
        <w:t xml:space="preserve">Моделът има тристепенна йерархична структура: четири области на качеството, разгърнати в критерии, а всеки критерий — в проверими показатели. Към йерархията се добавят три напречни елемента: скала за оценяване с описателни нива (точка 3.4), правила за агрегиране и интерпретация и процедура за приложение с оценъчна карта (точки 3.5–3.6). Конструкцията пряко въплъщава спецификацията от точка 2.7: областите съответстват на четирите критерийни семейства от анализа, а показателите — на типичните дефицити, срещу които те трябва да бъдат чувствителни.</w:t>
      </w:r>
    </w:p>
    <w:p>
      <w:pPr>
        <w:spacing w:after="120" w:line="360"/>
        <w:ind w:firstLine="709"/>
        <w:jc w:val="both"/>
      </w:pPr>
      <w:r>
        <w:rPr>
          <w:rFonts w:ascii="Times New Roman" w:cs="Times New Roman" w:eastAsia="Times New Roman" w:hAnsi="Times New Roman"/>
          <w:sz w:val="24"/>
          <w:szCs w:val="24"/>
        </w:rPr>
        <w:t xml:space="preserve">Трите равнища на йерархията имат различни функции. Областите са измеренията на качеството — логически независими една от друга, така че резултатът по една не предопределя резултата по друга. Критериите назовават отделните свойства в рамките на областта. Показателите са работното равнище: конкретни, проверими твърдения за материала, всяко от които оценяващият може да потвърди, отхвърли или квалифицира, посочвайки конкретно място в текста. Веригата може да се илюстрира така: областта „съдържателно качество" включва критерия „точност", който се проверява чрез показателя „всяко съществено твърдение в материала е вярно при съпоставка с независим източник". Оценяването се извършва отдолу нагоре: оценяват се показателите, критерият обобщава своите показатели, областта — своите критерии.</w:t>
      </w:r>
    </w:p>
    <w:p>
      <w:pPr>
        <w:spacing w:after="120" w:line="360"/>
        <w:ind w:firstLine="709"/>
        <w:jc w:val="both"/>
      </w:pPr>
      <w:r>
        <w:rPr>
          <w:rFonts w:ascii="Times New Roman" w:cs="Times New Roman" w:eastAsia="Times New Roman" w:hAnsi="Times New Roman"/>
          <w:sz w:val="24"/>
          <w:szCs w:val="24"/>
        </w:rPr>
        <w:t xml:space="preserve">Логиката на агрегиране следва изискването за некомпенсаторност от точка 2.7. Четирите областни оценки не се сливат в едно общо число, защото средната стойност би прикрила точно това, което моделът трябва да откроява — материал с отличен език и негодна фактология би получил „приемлива" средна оценка. Вместо това крайният резултат е профил: четири областни оценки плюс обща категория за допустимост, която се определя от най-ниската областна оценка спрямо прага. Материалът е годен за използване само ако всяка от четирите области е над прага на допустимост; в противен случай профилът посочва къде и каква преработка е необходима, преди материалът да бъде допуснат до обучаеми.</w:t>
      </w:r>
    </w:p>
    <w:p>
      <w:pPr>
        <w:spacing w:after="120" w:line="360"/>
        <w:ind w:firstLine="709"/>
        <w:jc w:val="both"/>
      </w:pPr>
      <w:r>
        <w:rPr>
          <w:rFonts w:ascii="Times New Roman" w:cs="Times New Roman" w:eastAsia="Times New Roman" w:hAnsi="Times New Roman"/>
          <w:sz w:val="24"/>
          <w:szCs w:val="24"/>
        </w:rPr>
        <w:t xml:space="preserve">Редът на прилагане е фиксиран и започва с нулева стъпка: преди всяка оценка се установява декларираният контекст на материала — учебни цели, аудитория, място в курса — защото без него дидактическите показатели нямат еталон за сравнение. Следва проверката по областите в ред: съдържателно качество, дидактическо качество, езикова и структурна пригодност, етична и академична коректност. Редът не е произволен — фактологията се проверява преди формата, защото шлифоването на изказа на неверен текст е загуба на труд. По същата причина процедурата допуска ранно прекратяване: ако съдържателното качество падне под прага на допустимост, оценяването може да спре и материалът да се върне за преработка, без да се изразходва време по останалите области — пряко изпълнение на изискването за икономичност.</w:t>
      </w:r>
    </w:p>
    <w:p>
      <w:pPr>
        <w:spacing w:after="120" w:line="360"/>
        <w:ind w:firstLine="709"/>
        <w:jc w:val="both"/>
      </w:pPr>
      <w:r>
        <w:rPr>
          <w:rFonts w:ascii="Times New Roman" w:cs="Times New Roman" w:eastAsia="Times New Roman" w:hAnsi="Times New Roman"/>
          <w:sz w:val="24"/>
          <w:szCs w:val="24"/>
        </w:rPr>
        <w:t xml:space="preserve">Накрая е необходимо да се очертае и какво моделът не е. Той не е автоматичен детектор — не се произнася дали материалът е генериран, а дали е годен. Не е инструмент за класиране на генеративни инструменти — оценява материали, а не модели. И не замества експертната преценка, а я структурира: всички показатели са формулирани така, че да бъдат проверени от преподавател с предметна компетентност, с общодостъпни средства, и всяка оценка да бъде защитима с посочени доказателства. Пълното разгръщане на областите, критериите и показателите е предмет на следващата точка.</w:t>
      </w:r>
    </w:p>
    <w:p>
      <w:pPr>
        <w:pStyle w:val="Heading2"/>
      </w:pPr>
      <w:r>
        <w:rPr>
          <w:rFonts w:ascii="Times New Roman" w:cs="Times New Roman" w:eastAsia="Times New Roman" w:hAnsi="Times New Roman"/>
          <w:b/>
          <w:bCs/>
          <w:sz w:val="26"/>
          <w:szCs w:val="26"/>
        </w:rPr>
        <w:t xml:space="preserve">3.3. Основни области, критерии и показатели за оценяване</w:t>
      </w:r>
    </w:p>
    <w:p>
      <w:pPr>
        <w:spacing w:after="120" w:line="360"/>
        <w:ind w:firstLine="709"/>
        <w:jc w:val="both"/>
      </w:pPr>
      <w:r>
        <w:rPr>
          <w:rFonts w:ascii="Times New Roman" w:cs="Times New Roman" w:eastAsia="Times New Roman" w:hAnsi="Times New Roman"/>
          <w:sz w:val="24"/>
          <w:szCs w:val="24"/>
        </w:rPr>
        <w:t xml:space="preserve">Настоящата точка разгръща съдържанието на модела: четирите области, обозначени О1–О4, техните критерии (К) и показатели (П). Кодовете позволяват еднозначно позоваване в оценъчната карта и в анализа на резултатите. Формулировките на показателите са утвърдителни — те описват състоянието на годния материал, а оценяващият установява доколко конкретният материал им съответства.</w:t>
      </w:r>
    </w:p>
    <w:p>
      <w:pPr>
        <w:spacing w:after="120" w:line="360"/>
        <w:ind w:firstLine="709"/>
        <w:jc w:val="both"/>
      </w:pPr>
      <w:r>
        <w:rPr>
          <w:rFonts w:ascii="Times New Roman" w:cs="Times New Roman" w:eastAsia="Times New Roman" w:hAnsi="Times New Roman"/>
          <w:sz w:val="24"/>
          <w:szCs w:val="24"/>
        </w:rPr>
        <w:t xml:space="preserve">Област О1 — съдържателно качество — операционализира критериите от точка 2.2 в три критерия. О1.К1 „Точност" включва показателите: П1 — всяко съществено твърдение в материала е вярно при съпоставка с независим източник (учебна литература, официална документация); П2 — примерите, включително програмният код, са коректни и възпроизводими в декларираната среда. О1.К2 „Актуалност": П1 — съдържанието съответства на актуалното състояние на областта (действаща версия, съвременна терминология, препоръчани практики); П2 — не се представят отпаднали или несъвместими решения като текущи. О1.К3 „Надеждност на източниците": П1 — всички цитирани в материала източници съществуват; П2 — цитираните източници действително съдържат приписаните им твърдения. За материали, които не цитират източници, О1.К3 се прилага върху проверимостта на ключовите твърдения.</w:t>
      </w:r>
    </w:p>
    <w:p>
      <w:pPr>
        <w:spacing w:after="120" w:line="360"/>
        <w:ind w:firstLine="709"/>
        <w:jc w:val="both"/>
      </w:pPr>
      <w:r>
        <w:rPr>
          <w:rFonts w:ascii="Times New Roman" w:cs="Times New Roman" w:eastAsia="Times New Roman" w:hAnsi="Times New Roman"/>
          <w:sz w:val="24"/>
          <w:szCs w:val="24"/>
        </w:rPr>
        <w:t xml:space="preserve">Област О2 — дидактическо качество — пренася критериите от точка 2.3 в четири критерия. О2.К1 „Съответствие с учебните цели": П1 — всяка декларирана цел е покрита от съдържанието; П2 — материалът не съдържа съществени части, необслужващи нито една цел. О2.К2 „Педагогическа последователност": П1 — понятията се въвеждат преди употребата им; П2 — изложението е сегментирано на усвоими смислови единици в логичен ред. О2.К3 „Активно учене": П1 — налични са примери и задачи за прилагане на всяка основна цел; П2 — обратната връзка към задачите обяснява, а не само констатира. О2.К4 „Съответствие с аудиторията": П1 — предпоставеното знание не надхвърля декларираното за аудиторията; П2 — обемът и сложността са съизмерими с учебното време и мястото в курса.</w:t>
      </w:r>
    </w:p>
    <w:p>
      <w:pPr>
        <w:spacing w:after="120" w:line="360"/>
        <w:ind w:firstLine="709"/>
        <w:jc w:val="both"/>
      </w:pPr>
      <w:r>
        <w:rPr>
          <w:rFonts w:ascii="Times New Roman" w:cs="Times New Roman" w:eastAsia="Times New Roman" w:hAnsi="Times New Roman"/>
          <w:sz w:val="24"/>
          <w:szCs w:val="24"/>
        </w:rPr>
        <w:t xml:space="preserve">Област О3 — езикова и структурна пригодност — обхваща критериите от точка 2.4 в четири критерия. О3.К1 „Разбираемост и стил": П1 — изказът е адаптиран към равнището на аудиторията; П2 — езикът е естествен, без буквално пренесени чуждоезични конструкции. О3.К2 „Терминологична последователност": П1 — всеки термин е въведен преди употребата си; П2 — терминологията е еднозначна в целия материал. О3.К3 „Организация и икономия": П1 — заглавията и деленето отразяват съдържанието; П2 — материалът не съдържа излишен текст без учебна стойност (формулни уводи, повторения, украса). О3.К4 „Достъпност": П1 — материалът е използваем при различни начини на възприемане (алтернативи на визуалното, четивна структура); П2 — оформлението не създава излишни бариери за обучаеми с различни възможности.</w:t>
      </w:r>
    </w:p>
    <w:p>
      <w:pPr>
        <w:spacing w:after="120" w:line="360"/>
        <w:ind w:firstLine="709"/>
        <w:jc w:val="both"/>
      </w:pPr>
      <w:r>
        <w:rPr>
          <w:rFonts w:ascii="Times New Roman" w:cs="Times New Roman" w:eastAsia="Times New Roman" w:hAnsi="Times New Roman"/>
          <w:sz w:val="24"/>
          <w:szCs w:val="24"/>
        </w:rPr>
        <w:t xml:space="preserve">Област О4 — етична и академична коректност — операционализира точка 2.5 в три критерия. О4.К1 „Оригиналност": П1 — характерни пасажи от материала не показват близост до защитени източници при съпоставка; П2 — действително заетите елементи са обозначени. О4.К2 „Етична допустимост": П1 — примерите и допусканията не съдържат стереотипи и пристрастия; П2 — съдържанието е уместно за възрастта и контекста на аудиторията. О4.К3 „Прозрачност на произхода": П1 — използването на генеративен инструмент е декларирано; П2 — процесът на създаване е документиран (инструмент, дата, заявка).</w:t>
      </w:r>
    </w:p>
    <w:p>
      <w:pPr>
        <w:spacing w:after="120" w:line="360"/>
        <w:ind w:firstLine="709"/>
        <w:jc w:val="both"/>
      </w:pPr>
      <w:r>
        <w:rPr>
          <w:rFonts w:ascii="Times New Roman" w:cs="Times New Roman" w:eastAsia="Times New Roman" w:hAnsi="Times New Roman"/>
          <w:sz w:val="24"/>
          <w:szCs w:val="24"/>
        </w:rPr>
        <w:t xml:space="preserve">Така дефинираната система съдържа четиринадесет критерия с по два показателя — общо двадесет и осем проверими твърдения. Числото не е самоцелно: всеки показател отговаря на документиран в анализа риск, и обратно — всеки типичен дефицит от точка 2.6 се улавя от поне един показател, което изпълнява изискването за пълнота от точка 2.7. Показателите са формулирани еднакво за трите вида съдържание от обхвата на апробирането, като конкретното им тълкуване се съобразява с вида: при тестови въпроси например О2.К3.П2 се прилага върху обясненията към отговорите, а О1.К1.П2 — върху коректността на самите отговори. Остава да се определи как показателите се измерват — скалата, нивата и правилата за интерпретация са предмет на следващата точка.</w:t>
      </w:r>
    </w:p>
    <w:p>
      <w:pPr>
        <w:pStyle w:val="Heading2"/>
      </w:pPr>
      <w:r>
        <w:rPr>
          <w:rFonts w:ascii="Times New Roman" w:cs="Times New Roman" w:eastAsia="Times New Roman" w:hAnsi="Times New Roman"/>
          <w:b/>
          <w:bCs/>
          <w:sz w:val="26"/>
          <w:szCs w:val="26"/>
        </w:rPr>
        <w:t xml:space="preserve">3.4. Скала за оценка и нива на качество</w:t>
      </w:r>
    </w:p>
    <w:p>
      <w:pPr>
        <w:spacing w:after="120" w:line="360"/>
        <w:ind w:firstLine="709"/>
        <w:jc w:val="both"/>
      </w:pPr>
      <w:r>
        <w:rPr>
          <w:rFonts w:ascii="Times New Roman" w:cs="Times New Roman" w:eastAsia="Times New Roman" w:hAnsi="Times New Roman"/>
          <w:sz w:val="24"/>
          <w:szCs w:val="24"/>
        </w:rPr>
        <w:t xml:space="preserve">Измерването в модела е двустепенно, съответно на йерархията от точка 3.2. На равнището на показателите оценката е качествена, с четири стойности: „да" — материалът съответства на показателя, без констатирани нарушения; „частично" — налице са отделни нарушения, отстраними с редакция, които не засягат годността на цялото; „не" — нарушенията са систематични или критични; „неприложимо" — показателят не се отнася за съответния вид материал, което се отбелязва с основание. Умишлено е избегната фина числова скала на това равнище: разликата между „7" и „8" по десетобална система е въпрос на вкус, докато разликата между „да", „частично" и „не" е установима и защитима с доказателства — пряко изискване на принципа на прозрачността.</w:t>
      </w:r>
    </w:p>
    <w:p>
      <w:pPr>
        <w:spacing w:after="120" w:line="360"/>
        <w:ind w:firstLine="709"/>
        <w:jc w:val="both"/>
      </w:pPr>
      <w:r>
        <w:rPr>
          <w:rFonts w:ascii="Times New Roman" w:cs="Times New Roman" w:eastAsia="Times New Roman" w:hAnsi="Times New Roman"/>
          <w:sz w:val="24"/>
          <w:szCs w:val="24"/>
        </w:rPr>
        <w:t xml:space="preserve">На равнището на областите оценките на показателите се обобщават в четири описателни нива. Ниво 3 „готово за използване": всички показатели в областта са „да", допустими са единични „частично" без критичен характер. Ниво 2 „използваемо след малки корекции": преобладават „да", наличните „частично" са ясно локализирани и отстраними, няма нито едно „не". Ниво 1 „изисква съществена преработка": поне едно „не" или такова натрупване на „частично", че редакцията се доближава по обем до ново създаване. Ниво 0 „негодно": констатиран е критичен дефект, компрометиращ материала като цяло. За критични се смятат дефектите, които увреждат обучаемия дори при еднократна поява: невярно твърдение или неработещ пример, представени като верни; инструкция, водеща до грешка; неетичен или подвеждащ елемент; скрито заемане на защитен текст.</w:t>
      </w:r>
    </w:p>
    <w:p>
      <w:pPr>
        <w:spacing w:after="120" w:line="360"/>
        <w:ind w:firstLine="709"/>
        <w:jc w:val="both"/>
      </w:pPr>
      <w:r>
        <w:rPr>
          <w:rFonts w:ascii="Times New Roman" w:cs="Times New Roman" w:eastAsia="Times New Roman" w:hAnsi="Times New Roman"/>
          <w:sz w:val="24"/>
          <w:szCs w:val="24"/>
        </w:rPr>
        <w:t xml:space="preserve">Прагът на допустимост е ниво 2 във всяка от четирите области. Общата категория на материала се определя некомпенсаторно, от най-ниската областна оценка: категория А „готов за използване" — и четирите области на ниво 3; категория Б „използваем след малки корекции" — всички области на ниво 2 или 3; категория В „изисква преработка" — най-ниската област е на ниво 1; категория Г „негоден" — която и да е област на ниво 0. Правилото прави невъзможно точно това, което средното аритметично би позволило: материал с отличен език и невярна фактология да мине за приемлив. В такъв случай материалът е категория Г, а профилът показва еднозначно защо.</w:t>
      </w:r>
    </w:p>
    <w:p>
      <w:pPr>
        <w:spacing w:after="120" w:line="360"/>
        <w:ind w:firstLine="709"/>
        <w:jc w:val="both"/>
      </w:pPr>
      <w:r>
        <w:rPr>
          <w:rFonts w:ascii="Times New Roman" w:cs="Times New Roman" w:eastAsia="Times New Roman" w:hAnsi="Times New Roman"/>
          <w:sz w:val="24"/>
          <w:szCs w:val="24"/>
        </w:rPr>
        <w:t xml:space="preserve">За еднозначност двете правила се формулират и формално, като изрично се разграничават по смисъл. Нека О1, О2, О3 и О4 са областните оценки на материала по скалата от 0 до 3. Правило 1 (допустимост): материалът е допустим за използване тогава и само тогава, когато Оi ≥ 2 за всяка от четирите области. Правило 2 (равнище на качество): крайното равнище се определя от минималната областна оценка, Р = min(О1, О2, О3, О4), със съответствие Р = 3 → категория А, Р = 2 → Б, Р = 1 → В, Р = 0 → Г. Първото правило отговаря на въпроса дали материалът може да се използва; второто — колко добър е; при така избраната скала двете са съгласувани, тъй като допустимите материали са точно тези от категории А и Б. Критериите, скалата и праговете са окончателно фиксирани преди началото на оценяването в точка 3.7 и не са променяни според получените резултати — условие за честността на апробирането.</w:t>
      </w:r>
    </w:p>
    <w:p>
      <w:pPr>
        <w:spacing w:after="120" w:line="360"/>
        <w:ind w:firstLine="709"/>
        <w:jc w:val="both"/>
      </w:pPr>
      <w:r>
        <w:rPr>
          <w:rFonts w:ascii="Times New Roman" w:cs="Times New Roman" w:eastAsia="Times New Roman" w:hAnsi="Times New Roman"/>
          <w:sz w:val="24"/>
          <w:szCs w:val="24"/>
        </w:rPr>
        <w:t xml:space="preserve">Правилата за интерпретация затварят скалата. Резултатът се чете диагностично, а не само класификационно: при категории Б и В попълнената карта посочва кои показатели са „частично" или „не" и с какви доказателства, което превръща оценката в конкретно техническо задание за преработка. Преработеният материал се оценява наново с нова карта — оценките не се „наследяват", защото редакцията може да внесе нови дефекти. Накрая, при съмнение между две съседни нива се присъжда по-ниското: цената на пропуснат дефект в учебен материал е по-висока от цената на една допълнителна редакция. Как скалата и показателите се събират в работен инструмент — оценъчната карта — е предмет на следващата точка.</w:t>
      </w:r>
    </w:p>
    <w:p>
      <w:pPr>
        <w:pStyle w:val="Heading2"/>
      </w:pPr>
      <w:r>
        <w:rPr>
          <w:rFonts w:ascii="Times New Roman" w:cs="Times New Roman" w:eastAsia="Times New Roman" w:hAnsi="Times New Roman"/>
          <w:b/>
          <w:bCs/>
          <w:sz w:val="26"/>
          <w:szCs w:val="26"/>
        </w:rPr>
        <w:t xml:space="preserve">3.5. Оценъчна матрица/карта за приложение на модела</w:t>
      </w:r>
    </w:p>
    <w:p>
      <w:pPr>
        <w:spacing w:after="120" w:line="360"/>
        <w:ind w:firstLine="709"/>
        <w:jc w:val="both"/>
      </w:pPr>
      <w:r>
        <w:rPr>
          <w:rFonts w:ascii="Times New Roman" w:cs="Times New Roman" w:eastAsia="Times New Roman" w:hAnsi="Times New Roman"/>
          <w:sz w:val="24"/>
          <w:szCs w:val="24"/>
        </w:rPr>
        <w:t xml:space="preserve">Оценъчната карта е работният инструмент, в който моделът съществува за своя потребител. Тя има три части. Заглавната част идентифицира оценявания материал и контекста: наименование и вид на материала, тема, инструмент и версия, с които е генериран, дата на генериране, декларирани учебни цели и аудитория, дата на оценяването и оценител. Тази част операционализира нулевата стъпка от точка 3.2 — без декларирани цели и аудитория дидактическите показатели не могат да бъдат приложени, затова празна заглавна част спира оценяването още преди началото му.</w:t>
      </w:r>
    </w:p>
    <w:p>
      <w:pPr>
        <w:spacing w:after="120" w:line="360"/>
        <w:ind w:firstLine="709"/>
        <w:jc w:val="both"/>
      </w:pPr>
      <w:r>
        <w:rPr>
          <w:rFonts w:ascii="Times New Roman" w:cs="Times New Roman" w:eastAsia="Times New Roman" w:hAnsi="Times New Roman"/>
          <w:sz w:val="24"/>
          <w:szCs w:val="24"/>
        </w:rPr>
        <w:t xml:space="preserve">Тялото на картата съдържа двадесет и осемте показателя с кодовете им, групирани по области в реда на прилагане. Срещу всеки показател оценяващият отбелязва стойността („да", „частично", „не", „неприложимо") и — задължително при „частично" и „не" — доказателството: конкретното място в материала, което обосновава оценката. Правилото е строго: оценка без посочено доказателство не се приема, защото точно доказателствата правят картата проверима от втори оценител и превръщат резултата в указание за преработка. Обобщителната част извежда четирите областни нива, общата категория по правилата от точка 3.4 и списък на препоръчаните корекции, подреден по тежест.</w:t>
      </w:r>
    </w:p>
    <w:p>
      <w:pPr>
        <w:spacing w:after="120" w:line="360"/>
        <w:ind w:firstLine="709"/>
        <w:jc w:val="both"/>
      </w:pPr>
      <w:r>
        <w:rPr>
          <w:rFonts w:ascii="Times New Roman" w:cs="Times New Roman" w:eastAsia="Times New Roman" w:hAnsi="Times New Roman"/>
          <w:sz w:val="24"/>
          <w:szCs w:val="24"/>
        </w:rPr>
        <w:t xml:space="preserve">Таблица 4 представя тялото на картата в пълния му вид. Същата таблица, допълнена със заглавната и обобщителната част, образува оценъчната карта-образец, приложена към работата и използвана без изменения при апробирането в точка 3.7.</w:t>
      </w:r>
    </w:p>
    <w:p>
      <w:pPr>
        <w:spacing w:after="120" w:before="200"/>
        <w:jc w:val="center"/>
      </w:pPr>
      <w:r>
        <w:rPr>
          <w:rFonts w:ascii="Times New Roman" w:cs="Times New Roman" w:eastAsia="Times New Roman" w:hAnsi="Times New Roman"/>
          <w:i/>
          <w:iCs/>
          <w:sz w:val="20"/>
          <w:szCs w:val="20"/>
        </w:rPr>
        <w:t xml:space="preserve">Таблица 4. Тяло на оценъчната карта: области, кодове и показатели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150"/>
        <w:gridCol w:w="4415"/>
        <w:gridCol w:w="1200"/>
        <w:gridCol w:w="2000"/>
      </w:tblGrid>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Код</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Показател</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Оценка</w:t>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Доказателство</w:t>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О1</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Съдържателно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Съществените твърдения са верни при съпоставка с независим източник</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включително програмният код, са коректни и възпроизводими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съответства на актуалното състояние на областта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Отпаднали или несъвместими решения не се представят като текущи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Цитираните източници съществуват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Източниците съдържат приписаните им твърдения</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О2</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Дидактическо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Всяка декларирана учебна цел е покрита от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съществени части, необслужващи нито една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Понятията се въвеждат преди употребата им</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Изложението е сегментирано на смислови единици в логичен ред</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Налични са примери и задачи за прилагане на всяка основна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Обратната връзка към задачите обяснява, а не само констатира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О2.К4.П1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Предпоставеното знание не надхвърля декларираното за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О2.К4.П2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Обемът и сложността съответстват на учебното време и мястото в курса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О3</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Езикова и структурна пригодност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Изказът е адаптиран към равнището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Езикът е естествен, без буквално пренесени чуждоезични конструкции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Всеки термин е въведен преди употребата си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Терминологията е еднозначна в целия материал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Заглавията и деленето отразяват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излишен текст без учебна стойност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О3.К4.П1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Материалът е използваем при различни начини на възприемане</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О3.К4.П2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Оформлението не създава излишни бариери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О4</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Етична и академична коректност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Характерни пасажи не показват близост до защитени източници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Действително заетите елементи са обозначени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и допусканията не съдържат стереотипи и пристрастия</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е уместно за възрастта и контекста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Използването на генеративен инструмент е декларирано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Процесът на създаване е документиран (инструмент, дата, заявка)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bl>
    <w:p>
      <w:pPr>
        <w:spacing w:after="120" w:line="360"/>
        <w:ind w:firstLine="709"/>
        <w:jc w:val="both"/>
      </w:pPr>
      <w:r>
        <w:rPr>
          <w:rFonts w:ascii="Times New Roman" w:cs="Times New Roman" w:eastAsia="Times New Roman" w:hAnsi="Times New Roman"/>
          <w:sz w:val="24"/>
          <w:szCs w:val="24"/>
        </w:rPr>
        <w:t xml:space="preserve">Попълнената карта изпълнява едновременно три функции: тя е оценка на конкретния материал, документиран протокол, който прави оценката проследима и съпоставима, и техническо задание за преработка, когато материалът не достига категория А. С това конструкцията на модела е завършена откъм съдържание и измерване; остава да се формализира процедурата — точната последователност от стъпки, по която карта и материал се срещат — предмет на следващата точка.</w:t>
      </w:r>
    </w:p>
    <w:p>
      <w:pPr>
        <w:pStyle w:val="Heading2"/>
      </w:pPr>
      <w:r>
        <w:rPr>
          <w:rFonts w:ascii="Times New Roman" w:cs="Times New Roman" w:eastAsia="Times New Roman" w:hAnsi="Times New Roman"/>
          <w:b/>
          <w:bCs/>
          <w:sz w:val="26"/>
          <w:szCs w:val="26"/>
        </w:rPr>
        <w:t xml:space="preserve">3.6. Процедура за верифициране на съдържание, разработено с генеративни AI инструменти</w:t>
      </w:r>
    </w:p>
    <w:p>
      <w:pPr>
        <w:spacing w:after="120" w:line="360"/>
        <w:ind w:firstLine="709"/>
        <w:jc w:val="both"/>
      </w:pPr>
      <w:r>
        <w:rPr>
          <w:rFonts w:ascii="Times New Roman" w:cs="Times New Roman" w:eastAsia="Times New Roman" w:hAnsi="Times New Roman"/>
          <w:sz w:val="24"/>
          <w:szCs w:val="24"/>
        </w:rPr>
        <w:t xml:space="preserve">Процедурата за верифициране подрежда модела във времето: тя определя какво прави оценяващият, в какъв ред и с какъв резултат на всяка стъпка. Тестът за нейната готовност е формулиран още в плана на изследването: процедурата е достатъчно конкретна тогава, когато може да бъде приложена от друг преподавател без участието на автора. Стъпките са седем.</w:t>
      </w:r>
    </w:p>
    <w:p>
      <w:pPr>
        <w:spacing w:after="120" w:line="360"/>
        <w:ind w:firstLine="709"/>
        <w:jc w:val="both"/>
      </w:pPr>
      <w:r>
        <w:rPr>
          <w:rFonts w:ascii="Times New Roman" w:cs="Times New Roman" w:eastAsia="Times New Roman" w:hAnsi="Times New Roman"/>
          <w:sz w:val="24"/>
          <w:szCs w:val="24"/>
        </w:rPr>
        <w:t xml:space="preserve">Стъпка 0 — подготовка. Попълва се заглавната част на оценъчната карта: идентификация на материала, инструмент и версия, дата на генериране, декларирани учебни цели и аудитория. Ако целите и аудиторията не са документирани, те се възстановяват от заявката, с която материалът е генериран; ако и това е невъзможно, оценяването спира — материал без установим учебен контекст не подлежи на дидактическа оценка. Стъпка 1 — съдържателна проверка (област О1). Материалът се чете изцяло, като всяко съществено твърдение се съпоставя с независим източник — официална документация, учебна литература, стандарт; примерите с програмен код се изпълняват в декларираната среда. Констатациите се вписват в картата с точното място. Ако областта падне на ниво 0 или 1, оценяващият може да прекрати процедурата и да върне материала за преработка — по-нататъшната проверка на негодна фактология е загуба на труд.</w:t>
      </w:r>
    </w:p>
    <w:p>
      <w:pPr>
        <w:spacing w:after="120" w:line="360"/>
        <w:ind w:firstLine="709"/>
        <w:jc w:val="both"/>
      </w:pPr>
      <w:r>
        <w:rPr>
          <w:rFonts w:ascii="Times New Roman" w:cs="Times New Roman" w:eastAsia="Times New Roman" w:hAnsi="Times New Roman"/>
          <w:sz w:val="24"/>
          <w:szCs w:val="24"/>
        </w:rPr>
        <w:t xml:space="preserve">Стъпка 2 — дидактическа проверка (област О2). Съдържанието се съпоставя с декларираните цели: покритие, последователност на въвеждане на понятията, наличие и качество на задачите и обратната връзка, съответствие с предварителните знания на аудиторията. Стъпка 3 — езикова и структурна проверка (област О3). Материалът се препрочита в цялост — не на откъси — с внимание към терминологичната последователност, естествеността на езика, организацията и излишното съдържание. Стъпка 4 — проверка за оригиналност и етична допустимост (област О4): съпоставка на характерни пасажи с достъпните източници по темата, преглед на примерите за стереотипи и пристрастия, проверка на декларацията и документацията на произхода.</w:t>
      </w:r>
    </w:p>
    <w:p>
      <w:pPr>
        <w:spacing w:after="120" w:line="360"/>
        <w:ind w:firstLine="709"/>
        <w:jc w:val="both"/>
      </w:pPr>
      <w:r>
        <w:rPr>
          <w:rFonts w:ascii="Times New Roman" w:cs="Times New Roman" w:eastAsia="Times New Roman" w:hAnsi="Times New Roman"/>
          <w:sz w:val="24"/>
          <w:szCs w:val="24"/>
        </w:rPr>
        <w:t xml:space="preserve">Стъпка 5 — обобщение. По правилата от точка 3.4 се извеждат четирите областни нива и общата категория, а всички констатации „частично" и „не" се събират в списък с препоръчани корекции, подреден по тежест: първо критичните дефекти, после съществените, накрая козметичните. Стъпка 6 — решение. Категория А означава използване без изменения, с деклариране на произхода пред обучаемите. Категория Б — извършване на посочените корекции от преподавателя, след което материалът се използва; корекциите не изискват нова карта, ако не засягат съдържателната област. Категории В и Г означават връщане за преработка — с нова заявка или с ръчно пренаписване — и задължителна нова оценка на резултата, тъй като преработката може да внесе нови дефекти.</w:t>
      </w:r>
    </w:p>
    <w:p>
      <w:pPr>
        <w:spacing w:after="120" w:line="360"/>
        <w:ind w:firstLine="709"/>
        <w:jc w:val="both"/>
      </w:pPr>
      <w:r>
        <w:rPr>
          <w:rFonts w:ascii="Times New Roman" w:cs="Times New Roman" w:eastAsia="Times New Roman" w:hAnsi="Times New Roman"/>
          <w:sz w:val="24"/>
          <w:szCs w:val="24"/>
        </w:rPr>
        <w:t xml:space="preserve">Процедурата е проектирана да остане икономична: стъпките следват реда на ранното спиране, а обемът на проверката е съизмерим с обема на материала — за кратките видове съдържание от обхвата на настоящата работа пълният цикъл е задача за части от час, не за дни. Доколко тази проектна оценка отговаря на действителността, е една от проверките на предстоящото апробиране: моделът и процедурата се прилагат върху шест реално генерирани материала — предмет на следващата точка.</w:t>
      </w:r>
    </w:p>
    <w:p>
      <w:pPr>
        <w:pStyle w:val="Heading2"/>
      </w:pPr>
      <w:r>
        <w:rPr>
          <w:rFonts w:ascii="Times New Roman" w:cs="Times New Roman" w:eastAsia="Times New Roman" w:hAnsi="Times New Roman"/>
          <w:b/>
          <w:bCs/>
          <w:sz w:val="26"/>
          <w:szCs w:val="26"/>
        </w:rPr>
        <w:t xml:space="preserve">3.7. Апробиране на модела върху избрани електронни учебни материали</w:t>
      </w:r>
    </w:p>
    <w:p>
      <w:pPr>
        <w:spacing w:after="120" w:line="360"/>
        <w:ind w:firstLine="709"/>
        <w:jc w:val="both"/>
      </w:pPr>
      <w:r>
        <w:rPr>
          <w:rFonts w:ascii="Times New Roman" w:cs="Times New Roman" w:eastAsia="Times New Roman" w:hAnsi="Times New Roman"/>
          <w:sz w:val="24"/>
          <w:szCs w:val="24"/>
        </w:rPr>
        <w:t xml:space="preserve">Апробирането проверява дали конструираният модел изпълнява изискванията, срещу които беше проектиран: приложим ли е от отделен преподавател, улавя ли документираните класове дефекти, разграничава ли материали с различно качество и остава ли процедурата икономична. Дизайнът следва препоръчителното ограничение на обхвата: три вида електронно учебно съдържание — електронен урок, тестови въпроси и указания за самоподготовка — генерирани от два широкодостъпни диалогови инструмента, или общо шест материала. Темата е обща за всички материали — „Компоненти и обвързване на данни (data binding) в Angular" — от областта на уеб разработката, избрана така, че авторът да разполага с професионална предметна компетентност за фактологическата проверка; аудиторията е дефинирана предварително: студенти във втори курс на бакалавърска програма по информатика, след курс по JavaScript. Материалите са на български език, което едновременно съответства на контекста на работата и поставя инструментите пред по-взискателно езиково изпитание: документираните български данни показват двукратно до петкратно по-висок дял материали, изискващи езикова редакция, спрямо генерираните на английски [21].</w:t>
      </w:r>
    </w:p>
    <w:p>
      <w:pPr>
        <w:spacing w:after="120" w:line="360"/>
        <w:ind w:firstLine="709"/>
        <w:jc w:val="both"/>
      </w:pPr>
      <w:r>
        <w:rPr>
          <w:rFonts w:ascii="Times New Roman" w:cs="Times New Roman" w:eastAsia="Times New Roman" w:hAnsi="Times New Roman"/>
          <w:sz w:val="24"/>
          <w:szCs w:val="24"/>
        </w:rPr>
        <w:t xml:space="preserve">Генерирането следва документиран протокол, приложен в цялост към работата. Всеки материал е създаден в чиста сесия, без предишна история и без персонализация; за всеки вид съдържание е използвана една и съща, умерено структурирана заявка с описание на аудиторията, целите и обема — такава, каквато реален преподавател би формулирал, без инженерна оптимизация; взет е първият отговор на инструмента, без редакция и без уточняващи реплики. За всяка сесия са документирани инструментът, версията на модела, режимът на работа, датата и пълната заявка; зададената аудитория, учебните цели и целевият обем се съдържат в самата заявка, а броят на последващите взаимодействия (нула за всички материали) и отсъствието на редакция са отразени в протокола. Оценяването се извършва върху оригинално генерирания материал, преди каквато и да е авторска редакция. Протоколът обслужва две изисквания едновременно: методологическата чистота — оценява се генерираният материал, а не последващата му човешка редакция — и изискването за документиран процес на създаване, което самият модел поставя в област О4.</w:t>
      </w:r>
    </w:p>
    <w:p>
      <w:pPr>
        <w:spacing w:after="120" w:line="360"/>
        <w:ind w:firstLine="709"/>
        <w:jc w:val="both"/>
      </w:pPr>
      <w:r>
        <w:rPr>
          <w:rFonts w:ascii="Times New Roman" w:cs="Times New Roman" w:eastAsia="Times New Roman" w:hAnsi="Times New Roman"/>
          <w:sz w:val="24"/>
          <w:szCs w:val="24"/>
        </w:rPr>
        <w:t xml:space="preserve">Изборът на бързо развиваща се предметна област налага изрично уреждане на въпроса за актуалността, тъй като без него показателите от област О1 остават неприложими. За еталон при проверката е приета официалната документация на рамката към датата на оценяването, а не към датата на генериране на материалите; референтната версия и датата на справката се вписват в заглавната част на всяка оценъчна карта. Обстоятелството е особено благоприятно за целите на апробирането: към момента на генериране на материалите основното издание Angular 22 е публикувано само няколко седмици по-рано [6], тоест почти сигурно е извън обучителните данни и на двата използвани инструмента. Апробирането следователно се провежда в условия, при които разминаването между знанията на моделите и актуалното състояние на областта е максимално вероятно — обстоятелство, което увеличава диагностичната стойност на проверката по показателите за актуалност, но същевременно ограничава пренасянето на резултатите върху по-стабилни предметни области.</w:t>
      </w:r>
    </w:p>
    <w:p>
      <w:pPr>
        <w:spacing w:after="120" w:line="360"/>
        <w:ind w:firstLine="709"/>
        <w:jc w:val="both"/>
      </w:pPr>
      <w:r>
        <w:rPr>
          <w:rFonts w:ascii="Times New Roman" w:cs="Times New Roman" w:eastAsia="Times New Roman" w:hAnsi="Times New Roman"/>
          <w:sz w:val="24"/>
          <w:szCs w:val="24"/>
        </w:rPr>
        <w:t xml:space="preserve">Тъй като отпадналите програмни конструкции обикновено остават работоспособни през периода на отпадане, проверката по показателя за актуалност не се изчерпва с изпълнение на генерирания код. Приетата процедура включва две отделни действия: изпълнение на примерите в среда с референтната версия — което улавя нефункциониращ код — и съпоставка на използваните конструкции и препоръчани практики с актуалната документация, която улавя работещия, но остарял код. Разграничението е съществено, тъй като двата типа дефект се отнасят към различни показатели: първият към коректността на примерите, вторият към актуалността на съдържанието.</w:t>
      </w:r>
    </w:p>
    <w:p>
      <w:pPr>
        <w:spacing w:after="120" w:line="360"/>
        <w:ind w:firstLine="709"/>
        <w:jc w:val="both"/>
      </w:pPr>
      <w:r>
        <w:rPr>
          <w:rFonts w:ascii="Times New Roman" w:cs="Times New Roman" w:eastAsia="Times New Roman" w:hAnsi="Times New Roman"/>
          <w:sz w:val="24"/>
          <w:szCs w:val="24"/>
        </w:rPr>
        <w:t xml:space="preserve">Оценяването се извършва по процедурата от точка 3.6: за всеки от шестте материала се попълва оценъчна карта по образеца от точка 3.5, с оценки по двадесет и осемте показателя, доказателства за всяка констатация, областни нива, обща категория и списък с препоръчани корекции; регистрира се и времето за оценяване на всеки материал като проверка на изискването за икономичност. Оценител е авторът на работата; компетентността му се декларира изрично, както изисква методиката: професионален опит в разработката на уеб приложения, включително с рамката Angular, който осигурява съдържателната и технологичната проверка, съчетан с познаване на модела и критериите. Критериите, скалата и праговете са фиксирани преди генерирането и оценяването на материалите и не са променяни в хода им. Ограниченията на този дизайн се декларират изрично: оценяването е извършено от един оценител, върху един тематичен домейн и върху по един материал от вид и инструмент, поради което резултатите характеризират приложимостта на модела, а не статистически представително качество на инструментите; проверката на междуоценителската съгласуваност остава за бъдещо развитие.</w:t>
      </w:r>
    </w:p>
    <w:p>
      <w:pPr>
        <w:spacing w:after="120" w:line="360"/>
        <w:ind w:firstLine="709"/>
        <w:jc w:val="both"/>
      </w:pPr>
      <w:r>
        <w:rPr>
          <w:rFonts w:ascii="Times New Roman" w:cs="Times New Roman" w:eastAsia="Times New Roman" w:hAnsi="Times New Roman"/>
          <w:sz w:val="24"/>
          <w:szCs w:val="24"/>
        </w:rPr>
        <w:t xml:space="preserve">[Резултатите от оценяването на шестте материала — обобщена таблица на областните нива и категориите по материали, следвана от разбор по материали — се добавят тук след приключване на оценяването по попълнените карти. Попълнените карти влизат в приложенията.]</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709" w:hanging="709"/>
        <w:jc w:val="left"/>
      </w:pPr>
      <w:r>
        <w:rPr>
          <w:rFonts w:ascii="Times New Roman" w:cs="Times New Roman" w:eastAsia="Times New Roman" w:hAnsi="Times New Roman"/>
          <w:sz w:val="24"/>
          <w:szCs w:val="24"/>
        </w:rPr>
        <w:t xml:space="preserve">[1] R. C. Clark and R. E. Mayer, e-Learning and the Science of Instruction: Proven Guidelines for Consumers and Designers of Multimedia Learning, 5th ed. Hoboken, NJ, USA: Wiley, 2024.</w:t>
      </w:r>
    </w:p>
    <w:p>
      <w:pPr>
        <w:spacing w:after="120" w:line="300"/>
        <w:ind w:left="709" w:hanging="709"/>
        <w:jc w:val="left"/>
      </w:pPr>
      <w:r>
        <w:rPr>
          <w:rFonts w:ascii="Times New Roman" w:cs="Times New Roman" w:eastAsia="Times New Roman" w:hAnsi="Times New Roman"/>
          <w:sz w:val="24"/>
          <w:szCs w:val="24"/>
        </w:rPr>
        <w:t xml:space="preserve">[2] C. Redecker, European Framework for the Digital Competence of Educators: DigCompEdu, Y. Punie, Ed. Luxembourg: Publications Office of the European Union, 2017, JRC107466.</w:t>
      </w:r>
    </w:p>
    <w:p>
      <w:pPr>
        <w:spacing w:after="120" w:line="300"/>
        <w:ind w:left="709" w:hanging="709"/>
        <w:jc w:val="left"/>
      </w:pPr>
      <w:r>
        <w:rPr>
          <w:rFonts w:ascii="Times New Roman" w:cs="Times New Roman" w:eastAsia="Times New Roman" w:hAnsi="Times New Roman"/>
          <w:sz w:val="24"/>
          <w:szCs w:val="24"/>
        </w:rPr>
        <w:t xml:space="preserve">[3] E. Staneviciene and G. Žekienė, "The use of multimedia in the teaching and learning process of higher education: A systematic review," Sustainability, vol. 17, no. 19, Art. no. 8859, 2025, doi: 10.3390/su17198859.</w:t>
      </w:r>
    </w:p>
    <w:p>
      <w:pPr>
        <w:spacing w:after="120" w:line="300"/>
        <w:ind w:left="709" w:hanging="709"/>
        <w:jc w:val="left"/>
      </w:pPr>
      <w:r>
        <w:rPr>
          <w:rFonts w:ascii="Times New Roman" w:cs="Times New Roman" w:eastAsia="Times New Roman" w:hAnsi="Times New Roman"/>
          <w:sz w:val="24"/>
          <w:szCs w:val="24"/>
        </w:rPr>
        <w:t xml:space="preserve">[4] UNESCO, Recommendation on Open Educational Resources (OER). Paris, France: UNESCO, 2019. [Online]. Available: https://unesdoc.unesco.org/ark:/48223/pf0000383205</w:t>
      </w:r>
    </w:p>
    <w:p>
      <w:pPr>
        <w:spacing w:after="120" w:line="300"/>
        <w:ind w:left="709" w:hanging="709"/>
        <w:jc w:val="left"/>
      </w:pPr>
      <w:r>
        <w:rPr>
          <w:rFonts w:ascii="Times New Roman" w:cs="Times New Roman" w:eastAsia="Times New Roman" w:hAnsi="Times New Roman"/>
          <w:sz w:val="24"/>
          <w:szCs w:val="24"/>
        </w:rPr>
        <w:t xml:space="preserve">[5] IEEE Standard for Learning Object Metadata, IEEE Std 1484.12.1-2020, IEEE, New York, NY, USA, 2020.</w:t>
      </w:r>
    </w:p>
    <w:p>
      <w:pPr>
        <w:spacing w:after="120" w:line="300"/>
        <w:ind w:left="709" w:hanging="709"/>
        <w:jc w:val="left"/>
      </w:pPr>
      <w:r>
        <w:rPr>
          <w:rFonts w:ascii="Times New Roman" w:cs="Times New Roman" w:eastAsia="Times New Roman" w:hAnsi="Times New Roman"/>
          <w:sz w:val="24"/>
          <w:szCs w:val="24"/>
        </w:rPr>
        <w:t xml:space="preserve">[6] Angular Team, "Angular versioning and releases," Angular Documentation, 2026. [Online]. Available: https://angular.dev/reference/releases</w:t>
      </w:r>
    </w:p>
    <w:p>
      <w:pPr>
        <w:spacing w:after="120" w:line="300"/>
        <w:ind w:left="709" w:hanging="709"/>
        <w:jc w:val="left"/>
      </w:pPr>
      <w:r>
        <w:rPr>
          <w:rFonts w:ascii="Times New Roman" w:cs="Times New Roman" w:eastAsia="Times New Roman" w:hAnsi="Times New Roman"/>
          <w:sz w:val="24"/>
          <w:szCs w:val="24"/>
        </w:rPr>
        <w:t xml:space="preserve">[7] X. Chen, Z. Hu, and C. Wang, "Empowering education development through AIGC: A systematic literature review," Education and Information Technologies, vol. 29, no. 13, pp. 17485–17537, 2024, doi: 10.1007/s10639-024-12549-7.</w:t>
      </w:r>
    </w:p>
    <w:p>
      <w:pPr>
        <w:spacing w:after="120" w:line="300"/>
        <w:ind w:left="709" w:hanging="709"/>
        <w:jc w:val="left"/>
      </w:pPr>
      <w:r>
        <w:rPr>
          <w:rFonts w:ascii="Times New Roman" w:cs="Times New Roman" w:eastAsia="Times New Roman" w:hAnsi="Times New Roman"/>
          <w:sz w:val="24"/>
          <w:szCs w:val="24"/>
        </w:rPr>
        <w:t xml:space="preserve">[8] M. D. Merrill, "First principles of instruction," Educational Technology Research and Development, vol. 50, no. 3, pp. 43–59, 2002, doi: 10.1007/BF02505024.</w:t>
      </w:r>
    </w:p>
    <w:p>
      <w:pPr>
        <w:spacing w:after="120" w:line="300"/>
        <w:ind w:left="709" w:hanging="709"/>
        <w:jc w:val="left"/>
      </w:pPr>
      <w:r>
        <w:rPr>
          <w:rFonts w:ascii="Times New Roman" w:cs="Times New Roman" w:eastAsia="Times New Roman" w:hAnsi="Times New Roman"/>
          <w:sz w:val="24"/>
          <w:szCs w:val="24"/>
        </w:rPr>
        <w:t xml:space="preserve">[9] J. Biggs, C. Tang, and G. Kennedy, Teaching for Quality Learning at University, 5th ed. London, U.K.: Open University Press, 2022.</w:t>
      </w:r>
    </w:p>
    <w:p>
      <w:pPr>
        <w:spacing w:after="120" w:line="300"/>
        <w:ind w:left="709" w:hanging="709"/>
        <w:jc w:val="left"/>
      </w:pPr>
      <w:r>
        <w:rPr>
          <w:rFonts w:ascii="Times New Roman" w:cs="Times New Roman" w:eastAsia="Times New Roman" w:hAnsi="Times New Roman"/>
          <w:sz w:val="24"/>
          <w:szCs w:val="24"/>
        </w:rPr>
        <w:t xml:space="preserve">[10] J. Sweller, J. J. G. van Merriënboer, and F. Paas, "Cognitive architecture and instructional design: 20 years later," Educational Psychology Review, vol. 31, no. 2, pp. 261–292, 2019, doi: 10.1007/s10648-019-09465-5.</w:t>
      </w:r>
    </w:p>
    <w:p>
      <w:pPr>
        <w:spacing w:after="120" w:line="300"/>
        <w:ind w:left="709" w:hanging="709"/>
        <w:jc w:val="left"/>
      </w:pPr>
      <w:r>
        <w:rPr>
          <w:rFonts w:ascii="Times New Roman" w:cs="Times New Roman" w:eastAsia="Times New Roman" w:hAnsi="Times New Roman"/>
          <w:sz w:val="24"/>
          <w:szCs w:val="24"/>
        </w:rPr>
        <w:t xml:space="preserve">[11]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709" w:hanging="709"/>
        <w:jc w:val="left"/>
      </w:pPr>
      <w:r>
        <w:rPr>
          <w:rFonts w:ascii="Times New Roman" w:cs="Times New Roman" w:eastAsia="Times New Roman" w:hAnsi="Times New Roman"/>
          <w:sz w:val="24"/>
          <w:szCs w:val="24"/>
        </w:rPr>
        <w:t xml:space="preserve">[12] E. Kasneci et al., "ChatGPT for good? On opportunities and challenges of large language models for education," Learning and Individual Differences, vol. 103, Art. no. 102274, 2023, doi: 10.1016/j.lindif.2023.102274.</w:t>
      </w:r>
    </w:p>
    <w:p>
      <w:pPr>
        <w:spacing w:after="120" w:line="300"/>
        <w:ind w:left="709" w:hanging="709"/>
        <w:jc w:val="left"/>
      </w:pPr>
      <w:r>
        <w:rPr>
          <w:rFonts w:ascii="Times New Roman" w:cs="Times New Roman" w:eastAsia="Times New Roman" w:hAnsi="Times New Roman"/>
          <w:sz w:val="24"/>
          <w:szCs w:val="24"/>
        </w:rPr>
        <w:t xml:space="preserve">[13] L. Huang et al., "A survey on hallucination in large language models: Principles, taxonomy, challenges, and open questions," ACM Transactions on Information Systems, vol. 43, no. 2, pp. 1–55, 2025, doi: 10.1145/3703155.</w:t>
      </w:r>
    </w:p>
    <w:p>
      <w:pPr>
        <w:spacing w:after="120" w:line="300"/>
        <w:ind w:left="709" w:hanging="709"/>
        <w:jc w:val="left"/>
      </w:pPr>
      <w:r>
        <w:rPr>
          <w:rFonts w:ascii="Times New Roman" w:cs="Times New Roman" w:eastAsia="Times New Roman" w:hAnsi="Times New Roman"/>
          <w:sz w:val="24"/>
          <w:szCs w:val="24"/>
        </w:rPr>
        <w:t xml:space="preserve">[14] E. Dickey and A. Bejarano, "GAIDE: A framework for using generative AI to assist in course content development," in Proc. 2024 IEEE Frontiers in Education Conference (FIE), 2024, pp. 1–9, doi: 10.1109/FIE61694.2024.10893132.</w:t>
      </w:r>
    </w:p>
    <w:p>
      <w:pPr>
        <w:spacing w:after="120" w:line="300"/>
        <w:ind w:left="709" w:hanging="709"/>
        <w:jc w:val="left"/>
      </w:pPr>
      <w:r>
        <w:rPr>
          <w:rFonts w:ascii="Times New Roman" w:cs="Times New Roman" w:eastAsia="Times New Roman" w:hAnsi="Times New Roman"/>
          <w:sz w:val="24"/>
          <w:szCs w:val="24"/>
        </w:rPr>
        <w:t xml:space="preserve">[15] D. S. Chai, H. S. Kim, K. N. Kim, Y. Ha, S. S. H. Shin, and S. W. Yoon, "Generative artificial intelligence in instructional system design," Human Resource Development Review, 2025, doi: 10.1177/15344843251320256.</w:t>
      </w:r>
    </w:p>
    <w:p>
      <w:pPr>
        <w:spacing w:after="120" w:line="300"/>
        <w:ind w:left="709" w:hanging="709"/>
        <w:jc w:val="left"/>
      </w:pPr>
      <w:r>
        <w:rPr>
          <w:rFonts w:ascii="Times New Roman" w:cs="Times New Roman" w:eastAsia="Times New Roman" w:hAnsi="Times New Roman"/>
          <w:sz w:val="24"/>
          <w:szCs w:val="24"/>
        </w:rPr>
        <w:t xml:space="preserve">[16]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709" w:hanging="709"/>
        <w:jc w:val="left"/>
      </w:pPr>
      <w:r>
        <w:rPr>
          <w:rFonts w:ascii="Times New Roman" w:cs="Times New Roman" w:eastAsia="Times New Roman" w:hAnsi="Times New Roman"/>
          <w:sz w:val="24"/>
          <w:szCs w:val="24"/>
        </w:rPr>
        <w:t xml:space="preserve">[17] Z. Liu, S. X. Yin, D. H.-L. Goh, and N. F. Chen, "COGENT: A curriculum-oriented framework for generating grade-appropriate educational content," in Proc. 20th Workshop on Innovative Use of NLP for Building Educational Applications (BEA 2025), 2025.</w:t>
      </w:r>
    </w:p>
    <w:p>
      <w:pPr>
        <w:spacing w:after="120" w:line="300"/>
        <w:ind w:left="709" w:hanging="709"/>
        <w:jc w:val="left"/>
      </w:pPr>
      <w:r>
        <w:rPr>
          <w:rFonts w:ascii="Times New Roman" w:cs="Times New Roman" w:eastAsia="Times New Roman" w:hAnsi="Times New Roman"/>
          <w:sz w:val="24"/>
          <w:szCs w:val="24"/>
        </w:rPr>
        <w:t xml:space="preserve">[18] H. Yao, W. Xu, J. Turnau, N. Kellam, and H. Wei, "Instructional agents: Reducing teaching faculty workload through multi-agent instructional design," in Proc. EACL 2026, vol. 1, 2026, pp. 4087–4109.</w:t>
      </w:r>
    </w:p>
    <w:p>
      <w:pPr>
        <w:spacing w:after="120" w:line="300"/>
        <w:ind w:left="709" w:hanging="709"/>
        <w:jc w:val="left"/>
      </w:pPr>
      <w:r>
        <w:rPr>
          <w:rFonts w:ascii="Times New Roman" w:cs="Times New Roman" w:eastAsia="Times New Roman" w:hAnsi="Times New Roman"/>
          <w:sz w:val="24"/>
          <w:szCs w:val="24"/>
        </w:rPr>
        <w:t xml:space="preserve">[19]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709" w:hanging="709"/>
        <w:jc w:val="left"/>
      </w:pPr>
      <w:r>
        <w:rPr>
          <w:rFonts w:ascii="Times New Roman" w:cs="Times New Roman" w:eastAsia="Times New Roman" w:hAnsi="Times New Roman"/>
          <w:sz w:val="24"/>
          <w:szCs w:val="24"/>
        </w:rPr>
        <w:t xml:space="preserve">[20]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709" w:hanging="709"/>
        <w:jc w:val="left"/>
      </w:pPr>
      <w:r>
        <w:rPr>
          <w:rFonts w:ascii="Times New Roman" w:cs="Times New Roman" w:eastAsia="Times New Roman" w:hAnsi="Times New Roman"/>
          <w:sz w:val="24"/>
          <w:szCs w:val="24"/>
        </w:rPr>
        <w:t xml:space="preserve">[21]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709" w:hanging="709"/>
        <w:jc w:val="left"/>
      </w:pPr>
      <w:r>
        <w:rPr>
          <w:rFonts w:ascii="Times New Roman" w:cs="Times New Roman" w:eastAsia="Times New Roman" w:hAnsi="Times New Roman"/>
          <w:sz w:val="24"/>
          <w:szCs w:val="24"/>
        </w:rPr>
        <w:t xml:space="preserve">[22] G. W. Choi, S. H. Kim, D. Lee, and J. Moon, "Utilizing generative AI for instructional design: Exploring strengths, weaknesses, opportunities, and threats," TechTrends, vol. 68, no. 4, pp. 832–844, 2024, doi: 10.1007/s11528-024-00967-w.</w:t>
      </w:r>
    </w:p>
    <w:p>
      <w:pPr>
        <w:spacing w:after="120" w:line="300"/>
        <w:ind w:left="709" w:hanging="709"/>
        <w:jc w:val="left"/>
      </w:pPr>
      <w:r>
        <w:rPr>
          <w:rFonts w:ascii="Times New Roman" w:cs="Times New Roman" w:eastAsia="Times New Roman" w:hAnsi="Times New Roman"/>
          <w:sz w:val="24"/>
          <w:szCs w:val="24"/>
        </w:rPr>
        <w:t xml:space="preserve">[23]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709" w:hanging="709"/>
        <w:jc w:val="left"/>
      </w:pPr>
      <w:r>
        <w:rPr>
          <w:rFonts w:ascii="Times New Roman" w:cs="Times New Roman" w:eastAsia="Times New Roman" w:hAnsi="Times New Roman"/>
          <w:sz w:val="24"/>
          <w:szCs w:val="24"/>
        </w:rPr>
        <w:t xml:space="preserve">[24]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709" w:hanging="709"/>
        <w:jc w:val="left"/>
      </w:pPr>
      <w:r>
        <w:rPr>
          <w:rFonts w:ascii="Times New Roman" w:cs="Times New Roman" w:eastAsia="Times New Roman" w:hAnsi="Times New Roman"/>
          <w:sz w:val="24"/>
          <w:szCs w:val="24"/>
        </w:rPr>
        <w:t xml:space="preserve">[25]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709" w:hanging="709"/>
        <w:jc w:val="left"/>
      </w:pPr>
      <w:r>
        <w:rPr>
          <w:rFonts w:ascii="Times New Roman" w:cs="Times New Roman" w:eastAsia="Times New Roman" w:hAnsi="Times New Roman"/>
          <w:sz w:val="24"/>
          <w:szCs w:val="24"/>
        </w:rPr>
        <w:t xml:space="preserve">[26]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709" w:hanging="709"/>
        <w:jc w:val="left"/>
      </w:pPr>
      <w:r>
        <w:rPr>
          <w:rFonts w:ascii="Times New Roman" w:cs="Times New Roman" w:eastAsia="Times New Roman" w:hAnsi="Times New Roman"/>
          <w:sz w:val="24"/>
          <w:szCs w:val="24"/>
        </w:rPr>
        <w:t xml:space="preserve">[27] F. Miao and W. Holmes, Guidance for Generative AI in Education and Research. Paris, France: UNESCO, 2023. [Online]. Available: https://www.unesco.org/en/articles/guidance-generative-ai-education-and-research</w:t>
      </w:r>
    </w:p>
    <w:p>
      <w:pPr>
        <w:spacing w:after="120" w:line="300"/>
        <w:ind w:left="709" w:hanging="709"/>
        <w:jc w:val="left"/>
      </w:pPr>
      <w:r>
        <w:rPr>
          <w:rFonts w:ascii="Times New Roman" w:cs="Times New Roman" w:eastAsia="Times New Roman" w:hAnsi="Times New Roman"/>
          <w:sz w:val="24"/>
          <w:szCs w:val="24"/>
        </w:rPr>
        <w:t xml:space="preserve">[28]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709" w:hanging="709"/>
        <w:jc w:val="left"/>
      </w:pPr>
      <w:r>
        <w:rPr>
          <w:rFonts w:ascii="Times New Roman" w:cs="Times New Roman" w:eastAsia="Times New Roman" w:hAnsi="Times New Roman"/>
          <w:sz w:val="24"/>
          <w:szCs w:val="24"/>
        </w:rPr>
        <w:t xml:space="preserve">[29]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709" w:hanging="709"/>
        <w:jc w:val="left"/>
      </w:pPr>
      <w:r>
        <w:rPr>
          <w:rFonts w:ascii="Times New Roman" w:cs="Times New Roman" w:eastAsia="Times New Roman" w:hAnsi="Times New Roman"/>
          <w:sz w:val="24"/>
          <w:szCs w:val="24"/>
        </w:rPr>
        <w:t xml:space="preserve">[30]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709" w:hanging="709"/>
        <w:jc w:val="left"/>
      </w:pPr>
      <w:r>
        <w:rPr>
          <w:rFonts w:ascii="Times New Roman" w:cs="Times New Roman" w:eastAsia="Times New Roman" w:hAnsi="Times New Roman"/>
          <w:sz w:val="24"/>
          <w:szCs w:val="24"/>
        </w:rPr>
        <w:t xml:space="preserve">[31] Quality Matters, QM Higher Education Rubric, 7th ed. Annapolis, MD, USA: Quality Matters, 2023. [Online]. Available: https://www.qualitymatters.org/qa-resources/rubric-standards/higher-ed-rubric</w:t>
      </w:r>
    </w:p>
    <w:p>
      <w:pPr>
        <w:spacing w:after="120" w:line="300"/>
        <w:ind w:left="709" w:hanging="709"/>
        <w:jc w:val="left"/>
      </w:pPr>
      <w:r>
        <w:rPr>
          <w:rFonts w:ascii="Times New Roman" w:cs="Times New Roman" w:eastAsia="Times New Roman" w:hAnsi="Times New Roman"/>
          <w:sz w:val="24"/>
          <w:szCs w:val="24"/>
        </w:rPr>
        <w:t xml:space="preserve">[32]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709" w:hanging="709"/>
        <w:jc w:val="left"/>
      </w:pPr>
      <w:r>
        <w:rPr>
          <w:rFonts w:ascii="Times New Roman" w:cs="Times New Roman" w:eastAsia="Times New Roman" w:hAnsi="Times New Roman"/>
          <w:sz w:val="24"/>
          <w:szCs w:val="24"/>
        </w:rPr>
        <w:t xml:space="preserve">[33] L. Zheng et al., "Judging LLM-as-a-judge with MT-Bench and Chatbot Arena," in Advances in Neural Information Processing Systems 36 (NeurIPS 2023), Datasets and Benchmarks Track, 2023. [Online]. Available: https://arxiv.org/abs/2306.05685</w:t>
      </w:r>
    </w:p>
    <w:p>
      <w:pPr>
        <w:spacing w:after="120" w:line="300"/>
        <w:ind w:left="709" w:hanging="709"/>
        <w:jc w:val="left"/>
      </w:pPr>
      <w:r>
        <w:rPr>
          <w:rFonts w:ascii="Times New Roman" w:cs="Times New Roman" w:eastAsia="Times New Roman" w:hAnsi="Times New Roman"/>
          <w:sz w:val="24"/>
          <w:szCs w:val="24"/>
        </w:rPr>
        <w:t xml:space="preserve">[34] D. Li et al., "From generation to judgment: Opportunities and challenges of LLM-as-a-judge," in Proc. 2025 Conference on Empirical Methods in Natural Language Processing (EMNLP), 2025. [Online]. Available: https://arxiv.org/abs/2411.16594</w:t>
      </w:r>
    </w:p>
    <w:p>
      <w:pPr>
        <w:spacing w:after="120" w:line="300"/>
        <w:ind w:left="709" w:hanging="709"/>
        <w:jc w:val="left"/>
      </w:pPr>
      <w:r>
        <w:rPr>
          <w:rFonts w:ascii="Times New Roman" w:cs="Times New Roman" w:eastAsia="Times New Roman" w:hAnsi="Times New Roman"/>
          <w:sz w:val="24"/>
          <w:szCs w:val="24"/>
        </w:rPr>
        <w:t xml:space="preserve">[35] "Challenges and recommendations for LLMs-as-a-judge in multilingual settings and low-resource languages," 2026, arXiv:2607.02235.</w:t>
      </w:r>
    </w:p>
    <w:p>
      <w:pPr>
        <w:spacing w:after="120" w:line="300"/>
        <w:ind w:left="709" w:hanging="709"/>
        <w:jc w:val="left"/>
      </w:pPr>
      <w:r>
        <w:rPr>
          <w:rFonts w:ascii="Times New Roman" w:cs="Times New Roman" w:eastAsia="Times New Roman" w:hAnsi="Times New Roman"/>
          <w:sz w:val="24"/>
          <w:szCs w:val="24"/>
        </w:rPr>
        <w:t xml:space="preserve">[36]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709" w:hanging="709"/>
        <w:jc w:val="left"/>
      </w:pPr>
      <w:r>
        <w:rPr>
          <w:rFonts w:ascii="Times New Roman" w:cs="Times New Roman" w:eastAsia="Times New Roman" w:hAnsi="Times New Roman"/>
          <w:sz w:val="24"/>
          <w:szCs w:val="24"/>
        </w:rPr>
        <w:t xml:space="preserve">[37] Q. Huang, C. Lv, L. Lu, and S. Tu, "Evaluating the quality of AI-generated digital educational resources for university teaching and learning," Systems, vol. 13, no. 3, Art. no. 174, 2025, doi: 10.3390/systems13030174.</w:t>
      </w:r>
    </w:p>
    <w:p>
      <w:pPr>
        <w:spacing w:after="120" w:line="300"/>
        <w:ind w:left="709" w:hanging="709"/>
        <w:jc w:val="left"/>
      </w:pPr>
      <w:r>
        <w:rPr>
          <w:rFonts w:ascii="Times New Roman" w:cs="Times New Roman" w:eastAsia="Times New Roman" w:hAnsi="Times New Roman"/>
          <w:sz w:val="24"/>
          <w:szCs w:val="24"/>
        </w:rPr>
        <w:t xml:space="preserve">[38] P. Denny, H. Khosravi, A. Hellas, J. Leinonen, and S. Sarsa, "Can we trust AI-generated educational content? Comparative analysis of human and AI-generated learning resources," 2023, arXiv:2306.10509.</w:t>
      </w:r>
    </w:p>
    <w:p>
      <w:pPr>
        <w:spacing w:after="120" w:line="300"/>
        <w:ind w:left="709" w:hanging="709"/>
        <w:jc w:val="left"/>
      </w:pPr>
      <w:r>
        <w:rPr>
          <w:rFonts w:ascii="Times New Roman" w:cs="Times New Roman" w:eastAsia="Times New Roman" w:hAnsi="Times New Roman"/>
          <w:sz w:val="24"/>
          <w:szCs w:val="24"/>
        </w:rPr>
        <w:t xml:space="preserve">[39] W. H. Walters and E. I. Wilder, "Fabrication and errors in the bibliographic citations generated by ChatGPT," Scientific Reports, vol. 13, 2023, doi: 10.1038/s41598-023-41032-5.</w:t>
      </w:r>
    </w:p>
    <w:p>
      <w:pPr>
        <w:spacing w:after="120" w:line="300"/>
        <w:ind w:left="709" w:hanging="709"/>
        <w:jc w:val="left"/>
      </w:pPr>
      <w:r>
        <w:rPr>
          <w:rFonts w:ascii="Times New Roman" w:cs="Times New Roman" w:eastAsia="Times New Roman" w:hAnsi="Times New Roman"/>
          <w:sz w:val="24"/>
          <w:szCs w:val="24"/>
        </w:rPr>
        <w:t xml:space="preserve">[40] G. Kurdi, J. Leo, B. Parsia, U. Sattler, and S. Al-Emari, "A systematic review of automatic question generation for educational purposes," International Journal of Artificial Intelligence in Education, vol. 30, no. 1, pp. 121–204, 2020, doi: 10.1007/s40593-019-00186-y.</w:t>
      </w:r>
    </w:p>
    <w:p>
      <w:pPr>
        <w:spacing w:after="120" w:line="300"/>
        <w:ind w:left="709" w:hanging="709"/>
        <w:jc w:val="left"/>
      </w:pPr>
      <w:r>
        <w:rPr>
          <w:rFonts w:ascii="Times New Roman" w:cs="Times New Roman" w:eastAsia="Times New Roman" w:hAnsi="Times New Roman"/>
          <w:sz w:val="24"/>
          <w:szCs w:val="24"/>
        </w:rPr>
        <w:t xml:space="preserve">[41] Plain Language — Part 1: Governing Principles and Guidelines, ISO 24495-1:2023, International Organization for Standardization, Geneva, Switzerland, 2023.</w:t>
      </w:r>
    </w:p>
    <w:p>
      <w:pPr>
        <w:spacing w:after="120" w:line="300"/>
        <w:ind w:left="709" w:hanging="709"/>
        <w:jc w:val="left"/>
      </w:pPr>
      <w:r>
        <w:rPr>
          <w:rFonts w:ascii="Times New Roman" w:cs="Times New Roman" w:eastAsia="Times New Roman" w:hAnsi="Times New Roman"/>
          <w:sz w:val="24"/>
          <w:szCs w:val="24"/>
        </w:rPr>
        <w:t xml:space="preserve">[42] CAST, Universal Design for Learning Guidelines, version 3.0. Lynnfield, MA, USA: CAST, 2024. [Online]. Available: https://udlguidelines.cast.org</w:t>
      </w:r>
    </w:p>
    <w:p>
      <w:pPr>
        <w:spacing w:after="120" w:line="300"/>
        <w:ind w:left="709" w:hanging="709"/>
        <w:jc w:val="left"/>
      </w:pPr>
      <w:r>
        <w:rPr>
          <w:rFonts w:ascii="Times New Roman" w:cs="Times New Roman" w:eastAsia="Times New Roman" w:hAnsi="Times New Roman"/>
          <w:sz w:val="24"/>
          <w:szCs w:val="24"/>
        </w:rPr>
        <w:t xml:space="preserve">[43] G. W. Choi and J. Y. Seo, "Accessibility, usability, and universal design for learning: Discussion of three key LX/UX elements for inclusive learning design," TechTrends, vol. 68, no. 5, pp. 936–945, 2024, doi: 10.1007/s11528-024-00987-6.</w:t>
      </w:r>
    </w:p>
    <w:p>
      <w:pPr>
        <w:spacing w:after="120" w:line="300"/>
        <w:ind w:left="709" w:hanging="709"/>
        <w:jc w:val="left"/>
      </w:pPr>
      <w:r>
        <w:rPr>
          <w:rFonts w:ascii="Times New Roman" w:cs="Times New Roman" w:eastAsia="Times New Roman" w:hAnsi="Times New Roman"/>
          <w:sz w:val="24"/>
          <w:szCs w:val="24"/>
        </w:rPr>
        <w:t xml:space="preserve">[44] M. Hadra, K. Cambridge, and M. Mesbah, "Evaluating the accuracy and reliability of AI content detectors in academic contexts," International Journal for Educational Integrity, vol. 22, Art. no. 4, 2026, doi: 10.1007/s40979-026-00213-1.</w:t>
      </w:r>
    </w:p>
    <w:p>
      <w:pPr>
        <w:spacing w:after="120" w:line="300"/>
        <w:ind w:left="709" w:hanging="709"/>
        <w:jc w:val="left"/>
      </w:pPr>
      <w:r>
        <w:rPr>
          <w:rFonts w:ascii="Times New Roman" w:cs="Times New Roman" w:eastAsia="Times New Roman" w:hAnsi="Times New Roman"/>
          <w:sz w:val="24"/>
          <w:szCs w:val="24"/>
        </w:rPr>
        <w:t xml:space="preserve">[45] M. Perkins, "Academic integrity considerations of AI large language models in the post-pandemic era: ChatGPT and beyond," Journal of University Teaching &amp; Learning Practice, vol. 20, no. 2, Art. no. 7, 2023, doi: 10.53761/1.20.02.07.</w:t>
      </w:r>
    </w:p>
    <w:sectPr>
      <w:pgSz w:w="11906" w:h="16838" w:orient="portrait"/>
      <w:pgMar w:top="1440" w:right="144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before="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2026-08-17T15:46:08.930Z</dcterms:created>
  <dcterms:modified xsi:type="dcterms:W3CDTF">2026-08-17T15:46:08.930Z</dcterms:modified>
</cp:coreProperties>
</file>

<file path=docProps/custom.xml><?xml version="1.0" encoding="utf-8"?>
<Properties xmlns="http://schemas.openxmlformats.org/officeDocument/2006/custom-properties" xmlns:vt="http://schemas.openxmlformats.org/officeDocument/2006/docPropsVTypes"/>
</file>