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[фамилия],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 xml:space="preserve">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Clark и Mayer дефинират електронното обучение като обучение, доставяно чрез цифрово устройство, чието предназначение е да подпомага ученето, като изрично подчертават, че определящият признак не е технологията носител, а съчетанието от учебно съдържание и педагогически методи за неговото представяне [1, гл. 1].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 xml:space="preserve">Понятието се нуждае и от разграничаване от съседни на него термини, които в практиката често се смесват. Електронното обучение обозначава формата на организация на учебния процес; електронната образователна среда — технологичната платформа, в която той протича; а електронното учебно съдържание е самият учебен материал, който средата поднася и формата организира.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 xml:space="preserve">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 xml:space="preserve">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 xml:space="preserve">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[1, гл. 4 и 9].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[3].</w:t>
      </w:r>
    </w:p>
    <w:p>
      <w:pPr>
        <w:spacing w:after="120" w:line="360"/>
        <w:ind w:firstLine="709"/>
        <w:jc w:val="both"/>
      </w:pPr>
      <w:r>
        <w:rPr>
          <w:rFonts w:ascii="Times New Roman" w:cs="Times New Roman" w:eastAsia="Times New Roman" w:hAnsi="Times New Roman"/>
          <w:sz w:val="24"/>
          <w:szCs w:val="24"/>
        </w:rPr>
        <w:t xml:space="preserve">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[4].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 xml:space="preserve">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[5].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при това по публично обявен график: широко използвани софтуерни рамки издават основни версии веднъж или два пъти годишно, а поддръжката на всяка версия е ограничена във времето [6].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709"/>
        <w:jc w:val="both"/>
      </w:pPr>
      <w:r>
        <w:rPr>
          <w:rFonts w:ascii="Times New Roman" w:cs="Times New Roman" w:eastAsia="Times New Roman" w:hAnsi="Times New Roman"/>
          <w:sz w:val="24"/>
          <w:szCs w:val="24"/>
        </w:rPr>
        <w:t xml:space="preserve">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придобила значение едва през последните години, е произходът на съдържанието: създадено изцяло от преподавател или автор, адаптирано от съществуващи ресурси, или генерирано с помощта на инструменти с изкуствен интелект [7].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както ще бъде показано в следващите части на работата,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За целите на настоящата разработка, и в съответствие с препоръчителното ограничение на обхвата, апробирането на предложения в трета глава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Тези изисквания могат да бъдат групирани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 xml:space="preserve">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[8,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 xml:space="preserve">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[9].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709"/>
        <w:jc w:val="both"/>
      </w:pPr>
      <w:r>
        <w:rPr>
          <w:rFonts w:ascii="Times New Roman" w:cs="Times New Roman" w:eastAsia="Times New Roman" w:hAnsi="Times New Roman"/>
          <w:sz w:val="24"/>
          <w:szCs w:val="24"/>
        </w:rPr>
        <w:t xml:space="preserve">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свързано с изграждането на трайни знания; централното ѝ предписание е външното натоварване да се минимизира, за да остане капацитетът на работната памет за същинското учене [10].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 xml:space="preserve">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 обстоятелство, което всеки модел за оценяване трябва да отчете чрез тълкуване на критериите според вида на материала, а не чрез отделни системи от критерии за всеки вид.</w:t>
      </w:r>
    </w:p>
    <w:p>
      <w:pPr>
        <w:spacing w:after="120" w:line="360"/>
        <w:ind w:firstLine="709"/>
        <w:jc w:val="both"/>
      </w:pPr>
      <w:r>
        <w:rPr>
          <w:rFonts w:ascii="Times New Roman" w:cs="Times New Roman" w:eastAsia="Times New Roman" w:hAnsi="Times New Roman"/>
          <w:sz w:val="24"/>
          <w:szCs w:val="24"/>
        </w:rPr>
        <w:t xml:space="preserve">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по две причини: моделът няма представа за учебното време, а зададеният в заявката обем се спазва приблизително.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 xml:space="preserve">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[1, гл. 13].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 xml:space="preserve">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[2, обл. 2].</w:t>
      </w:r>
    </w:p>
    <w:p>
      <w:pPr>
        <w:spacing w:after="120" w:line="360"/>
        <w:ind w:firstLine="709"/>
        <w:jc w:val="both"/>
      </w:pPr>
      <w:r>
        <w:rPr>
          <w:rFonts w:ascii="Times New Roman" w:cs="Times New Roman" w:eastAsia="Times New Roman" w:hAnsi="Times New Roman"/>
          <w:sz w:val="24"/>
          <w:szCs w:val="24"/>
        </w:rPr>
        <w:t xml:space="preserve">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[1, гл. 12].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 xml:space="preserve">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защо даден отговор е грешен, каква представа стои зад грешката и как тя се преодолява. В самостоятелното електронно обучение това изискване е още по-строго, тъй като обучаемият няма към кого да се обърне при затруднение — обратната връзка е единственият заместител на преподавателския отговор.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 xml:space="preserve">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[11] — което подготвя прехода от изисквания към критерии, предмет на втора глава.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във втора глава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 xml:space="preserve">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В литературата създаваното от тях съдържание се обозначава с обобщаващото понятие AI-генерирано съдържание (AI-generated content, AIGC), а изследванията върху приложението му в образованието нарастват рязко след масовото навлизане на диалоговите системи от типа на ChatGPT в края на 2022 г. [7]. За целите на тезата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 xml:space="preserve">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предсказва следващата единица въз основа на предходните. Втората е контекстният прозорец — ограниченият обем текст, който моделът може да отчита едновременно; при по-дълги материали началото на изложението може да влияе по-слабо върху края му, което е една от причините за наблюдаваната терминологична непоследователност в дълги генерирани текстове. Третата е вероятностният подбор при генерирането: при едни и същи входни данни моделът може да произведе различни изходи, тъй като следващата единица се избира от разпределение, а не еднозначно.</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апробирането в трета глава: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настоящото, и се декларира изрично в точка 3.7.</w:t>
      </w:r>
    </w:p>
    <w:p>
      <w:pPr>
        <w:spacing w:after="120" w:line="360"/>
        <w:ind w:firstLine="709"/>
        <w:jc w:val="both"/>
      </w:pPr>
      <w:r>
        <w:rPr>
          <w:rFonts w:ascii="Times New Roman" w:cs="Times New Roman" w:eastAsia="Times New Roman" w:hAnsi="Times New Roman"/>
          <w:sz w:val="24"/>
          <w:szCs w:val="24"/>
        </w:rPr>
        <w:t xml:space="preserve">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След допълнителна настройка, включително чрез обратна връзка от хора, тези модели придобиват способността да водят диалог, да следват инструкции и да произвеждат свързан, стилистично издържан текст по практически всякаква тема [12].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 xml:space="preserve">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[12]. Систематичните прегледи регистрират приложения по цялата верига на учебния процес — от планирането на курсове през създаването на съдържание до оценяването и обратната връзка [7].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 xml:space="preserve">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извличането на съдържание от външен източник преди генерирането — известно като генериране, обогатено с извличане — привързва отговора към конкретни документи и намалява дела на измислиците.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[13].</w:t>
      </w:r>
    </w:p>
    <w:p>
      <w:pPr>
        <w:spacing w:after="120" w:line="360"/>
        <w:ind w:firstLine="709"/>
        <w:jc w:val="both"/>
      </w:pPr>
      <w:r>
        <w:rPr>
          <w:rFonts w:ascii="Times New Roman" w:cs="Times New Roman" w:eastAsia="Times New Roman" w:hAnsi="Times New Roman"/>
          <w:sz w:val="24"/>
          <w:szCs w:val="24"/>
        </w:rPr>
        <w:t xml:space="preserve">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[12].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 xml:space="preserve">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[13].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 xml:space="preserve">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изведени във втора глава.</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 xml:space="preserve">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могат да бъдат подредени на три равнища — подпомогнато създаване чрез диалог, структурирани рамкови подходи и автономни системни реализации — като систематичните прегледи регистрират приложения и на трите равнища по цялата верига на учебния процес [7].</w:t>
      </w:r>
    </w:p>
    <w:p>
      <w:pPr>
        <w:spacing w:after="120" w:line="360"/>
        <w:ind w:firstLine="709"/>
        <w:jc w:val="both"/>
      </w:pPr>
      <w:r>
        <w:rPr>
          <w:rFonts w:ascii="Times New Roman" w:cs="Times New Roman" w:eastAsia="Times New Roman" w:hAnsi="Times New Roman"/>
          <w:sz w:val="24"/>
          <w:szCs w:val="24"/>
        </w:rPr>
        <w:t xml:space="preserve">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[12].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 xml:space="preserve">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[14].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[15].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 xml:space="preserve">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адаптивен алгоритъм изгражда индивидуален профил на обучаемия, генерира клинични сценарии и тестове съобразно равнището му и анализира допуснатите грешки [16].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 xml:space="preserve">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[17].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различни режими на човешко участие — от одобряване на всяка стъпка до почти пълна автономност [18].</w:t>
      </w:r>
    </w:p>
    <w:p>
      <w:pPr>
        <w:spacing w:after="120" w:line="360"/>
        <w:ind w:firstLine="709"/>
        <w:jc w:val="both"/>
      </w:pPr>
      <w:r>
        <w:rPr>
          <w:rFonts w:ascii="Times New Roman" w:cs="Times New Roman" w:eastAsia="Times New Roman" w:hAnsi="Times New Roman"/>
          <w:sz w:val="24"/>
          <w:szCs w:val="24"/>
        </w:rPr>
        <w:t xml:space="preserve">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показва, че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[19].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Публикуваните описания на инструментални работни процеси в български висши училища съобщават за съкращаване на времето за подготовка на стандартни учебни материали със 75–90 на сто [20], което дава количествено измерение на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 xml:space="preserve">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[21].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 xml:space="preserve">Отделен фактор, който преминава през всички равнища, е формулирането на заявката. Практическите ръководства за преподаватели извеждат повтарящ се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[20].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в трета глава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 xml:space="preserve">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проследимостта е частична: процесът е документиран, но междинните стъпки често не се съхраняват.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 xml:space="preserve">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[22],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 xml:space="preserve">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[23].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 xml:space="preserve">Предимствата са концентрирани около производителността и обхвата. Генеративните инструменти съкращават многократно времето за подготовка на учебни материали, подпомагат преодоляването на творчески блокаж чрез бързо генериране на варианти и идеи и правят възможно създаването на разнообразни версии на един и същ материал — за различни равнища на подготовка, стилове на представяне и формати [22]. Систематичните прегледи добавят към това потенциала за персонализация на учебното съдържание и за подкрепа на обучаемите при самоподготовка в мащаб, непостижим за отделния преподавател [7].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 xml:space="preserve">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при по-сложни теми изложението клони към повърхностност и общи формулировки; а произведеният текст често е педагогически плосък — коректен на пръв поглед, но без осъзната дидактическа логика [22].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 xml:space="preserve">Отвъд слабостите на самите материали стоят рисковете за образователната среда. На първо място е академичната коректност: неотчетеното използване на генерирано съдържание размива границата между собствен и чужд труд — както при обучаемите, така и при преподавателите и авторите на учебни ресурси [12]. Следват рискът от прекомерна зависимост — пренасяне на съществени интелектуални операции върху инструмента, при което се атрофират точно уменията, които обучението трябва да изгради; рисковете за личните данни при работа с комерсиални платформи; и рискът от неравен достъп, при който качеството на учебните материали започва да зависи от достъпа до платени инструменти [22].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 xml:space="preserve">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преобладаващо положително отношение към образователните приложения на изкуствения интелект по трите оценъчни оси,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[24]. За настоящата работа този резултат е съществен, защото описва точно средата, в която моделът за оценяване трябва да работи —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 xml:space="preserve">Към рисковете за обучаемите българските изследвания добавят и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[25].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 xml:space="preserve">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[26]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 xml:space="preserve">Отговорът на литературата не е отказ от инструментите, а отговорно използване: ясни институционални правила, прозрачност и деклариране на употребата, запазване на човешката отговорност за крайния продукт и системна проверка на генерираното съдържание преди то да достигне до обучаемите [12].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 xml:space="preserve">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Систематичните прегледи описват този риск като част от по-широката проблематика на прекомерната зависимост [7], а предложеният в настоящата работа модел го адресира косвено: систематичната проверка на генерирания материал изисква същите професионални операции — съотнасяне с целите, проследяване на логиката, предвиждане на затрудненията — и така запазва част от професионалната стойност на процеса дори когато първоначалният текст е машинен.</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 xml:space="preserve">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отговорността за учебния материал носи изцяло човекът, който го одобрява и предоставя на обучаемите, независимо каква част от текста е генерирана [12].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 xml:space="preserve">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се управлява устойчиво тогава, когато е вградено в институционалната рамка за качество, а не е оставено на индивидуалната преценка на отделния преподавател [26].</w:t>
      </w:r>
    </w:p>
    <w:p>
      <w:pPr>
        <w:spacing w:after="120" w:line="360"/>
        <w:ind w:firstLine="709"/>
        <w:jc w:val="both"/>
      </w:pPr>
      <w:r>
        <w:rPr>
          <w:rFonts w:ascii="Times New Roman" w:cs="Times New Roman" w:eastAsia="Times New Roman" w:hAnsi="Times New Roman"/>
          <w:sz w:val="24"/>
          <w:szCs w:val="24"/>
        </w:rPr>
        <w:t xml:space="preserve">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[27].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 xml:space="preserve">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автора [28].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 xml:space="preserve">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по отношение на съдържание, създадено или манипулирано с генеративни системи [29].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[30].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 xml:space="preserve">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чрез режима за защита на личните данни, който поставя строги условия за обработването им от трети страни [12].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 xml:space="preserve">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[12]. Как това изискване се превръща в проверим критерий — включително предвид ненадеждността на автоматичното разпознаване на генериран текст — е предмет на точка 2.5.</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моделът от трета глава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 xml:space="preserve">Отделен и все още неустановен въпрос е авторскоправният статут на генерираното съдържание. Той има две страни: от една страна, доколко материал, произведен от модел, се ползва със закрила, и от друга — доколко създаването му не нарушава правата върху произведенията, с които моделът е обучаван.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 xml:space="preserve">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сравнителният анализ на ръководни документи за качество от различни образователни контексти показва, че те систематизират до голяма степен едни и същи изисквания за педагогическа издържаност и визуална организация [11], а доказателствено обоснованите принципи на мултимедийното учене предоставят емпирично проверена база, върху която такива критерии могат да стъпят [1, гл. 21].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 xml:space="preserve">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[31].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 xml:space="preserve">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[32].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 xml:space="preserve">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за най-силния модел съвпадението достига около 85 на сто — стойност, надхвърляща съгласуваността между самите човешки оценители, която е около 81 на сто [33]. Систематичният преглед на полето подрежда натрупаните подходи по три оси — какво се оценява, как се оценява и как се измерва самото качество на оценяването — и документира приложението им в широк кръг задачи [34].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 xml:space="preserve">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[34].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и почти навсякъде се използва единствен модел-оценител без независима човешка проверка [35].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модела, разработван в трета глава,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документираните отклонения в преценката на моделите-оценители и принципното съображение,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към която работата се връща в препоръките на точка 3.9.</w:t>
      </w:r>
    </w:p>
    <w:p>
      <w:pPr>
        <w:spacing w:after="120" w:line="360"/>
        <w:ind w:firstLine="709"/>
        <w:jc w:val="both"/>
      </w:pPr>
      <w:r>
        <w:rPr>
          <w:rFonts w:ascii="Times New Roman" w:cs="Times New Roman" w:eastAsia="Times New Roman" w:hAnsi="Times New Roman"/>
          <w:sz w:val="24"/>
          <w:szCs w:val="24"/>
        </w:rPr>
        <w:t xml:space="preserve">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проучване едва около една шеста от генерираното съдържание отговаря на поставените критерии за качество [36].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 xml:space="preserve">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[34].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 xml:space="preserve">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Критериалните листи по правило не съдържат проверка за фактически измислици, защото при добросъвестен човешки автор такава проверка е излишна;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втора глава: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втора глава, а неговият резултат — изискванията към бъдещия модел — се формулира в точка 2.7.</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втора глава.</w:t>
      </w:r>
    </w:p>
    <w:p>
      <w:pPr>
        <w:spacing w:after="120" w:line="360"/>
        <w:ind w:firstLine="709"/>
        <w:jc w:val="both"/>
      </w:pPr>
      <w:r>
        <w:rPr>
          <w:rFonts w:ascii="Times New Roman" w:cs="Times New Roman" w:eastAsia="Times New Roman" w:hAnsi="Times New Roman"/>
          <w:sz w:val="24"/>
          <w:szCs w:val="24"/>
        </w:rPr>
        <w:t xml:space="preserve">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доказала приложимостта си в утвърдени инструменти за оценяване на онлайн курсове; педагогическата съдържателна основа е налична в доказателствено обоснованите принципи на мултимедийното учене и в първите принципи на обучението;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 xml:space="preserve">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[33],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като българския [35]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втора глава: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 xml:space="preserve">[1] R. C. Clark and R. E. Mayer, e-Learning and the Science of Instruction: Proven Guidelines for Consumers and Designers of Multimedia Learning, 5th ed. Hoboken, NJ, USA: Wiley, 2024.</w:t>
      </w:r>
    </w:p>
    <w:p>
      <w:pPr>
        <w:spacing w:after="120" w:line="300"/>
        <w:ind w:left="709" w:hanging="709"/>
        <w:jc w:val="left"/>
      </w:pPr>
      <w:r>
        <w:rPr>
          <w:rFonts w:ascii="Times New Roman" w:cs="Times New Roman" w:eastAsia="Times New Roman" w:hAnsi="Times New Roman"/>
          <w:sz w:val="24"/>
          <w:szCs w:val="24"/>
        </w:rPr>
        <w:t xml:space="preserve">[2]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 xml:space="preserve">[3]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 xml:space="preserve">[4]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 xml:space="preserve">[5]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 xml:space="preserve">[6] Angular Team, "Angular versioning and releases," Angular Documentation, 2026. [Online]. Available: https://angular.dev/reference/releases</w:t>
      </w:r>
    </w:p>
    <w:p>
      <w:pPr>
        <w:spacing w:after="120" w:line="300"/>
        <w:ind w:left="709" w:hanging="709"/>
        <w:jc w:val="left"/>
      </w:pPr>
      <w:r>
        <w:rPr>
          <w:rFonts w:ascii="Times New Roman" w:cs="Times New Roman" w:eastAsia="Times New Roman" w:hAnsi="Times New Roman"/>
          <w:sz w:val="24"/>
          <w:szCs w:val="24"/>
        </w:rPr>
        <w:t xml:space="preserve">[7] X. Chen, Z. Hu, and C. Wang, "Empowering education development through AIGC: A systematic literature review," Education and Information Technologies, vol. 29, no. 13, pp. 17485–17537, 2024, doi: 10.1007/s10639-024-12549-7.</w:t>
      </w:r>
    </w:p>
    <w:p>
      <w:pPr>
        <w:spacing w:after="120" w:line="300"/>
        <w:ind w:left="709" w:hanging="709"/>
        <w:jc w:val="left"/>
      </w:pPr>
      <w:r>
        <w:rPr>
          <w:rFonts w:ascii="Times New Roman" w:cs="Times New Roman" w:eastAsia="Times New Roman" w:hAnsi="Times New Roman"/>
          <w:sz w:val="24"/>
          <w:szCs w:val="24"/>
        </w:rPr>
        <w:t xml:space="preserve">[8]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 xml:space="preserve">[9] J. Biggs, C. Tang, and G. Kennedy, Teaching for Quality Learning at University, 5th ed. London, U.K.: Open University Press, 2022.</w:t>
      </w:r>
    </w:p>
    <w:p>
      <w:pPr>
        <w:spacing w:after="120" w:line="300"/>
        <w:ind w:left="709" w:hanging="709"/>
        <w:jc w:val="left"/>
      </w:pPr>
      <w:r>
        <w:rPr>
          <w:rFonts w:ascii="Times New Roman" w:cs="Times New Roman" w:eastAsia="Times New Roman" w:hAnsi="Times New Roman"/>
          <w:sz w:val="24"/>
          <w:szCs w:val="24"/>
        </w:rPr>
        <w:t xml:space="preserve">[10]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 xml:space="preserve">[11] I. du Preez and L. Jacobs, "Pedagogical and visual design principles for online learning material: Insights from quality guiding documents in diverse educational contexts," Interactive Learning Environments, pp. 1435–1451, 2025, doi: 10.1080/10494820.2025.2523390.</w:t>
      </w:r>
    </w:p>
    <w:p>
      <w:pPr>
        <w:spacing w:after="120" w:line="300"/>
        <w:ind w:left="709" w:hanging="709"/>
        <w:jc w:val="left"/>
      </w:pPr>
      <w:r>
        <w:rPr>
          <w:rFonts w:ascii="Times New Roman" w:cs="Times New Roman" w:eastAsia="Times New Roman" w:hAnsi="Times New Roman"/>
          <w:sz w:val="24"/>
          <w:szCs w:val="24"/>
        </w:rPr>
        <w:t xml:space="preserve">[12]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 xml:space="preserve">[13]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 xml:space="preserve">[14]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 xml:space="preserve">[15] D. S. Chai, H. S. Kim, K. N. Kim, Y. Ha, S. S. H. Shin, and S. W. Yoon, "Generative artificial intelligence in instructional system design," Human Resource Development Review, 2025, doi: 10.1177/15344843251320256.</w:t>
      </w:r>
    </w:p>
    <w:p>
      <w:pPr>
        <w:spacing w:after="120" w:line="300"/>
        <w:ind w:left="709" w:hanging="709"/>
        <w:jc w:val="left"/>
      </w:pPr>
      <w:r>
        <w:rPr>
          <w:rFonts w:ascii="Times New Roman" w:cs="Times New Roman" w:eastAsia="Times New Roman" w:hAnsi="Times New Roman"/>
          <w:sz w:val="24"/>
          <w:szCs w:val="24"/>
        </w:rPr>
        <w:t xml:space="preserve">[16]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 xml:space="preserve">[17] Z. Liu, S. X. Yin, D. H.-L. Goh, and N. F. Chen, "COGENT: A curriculum-oriented framework for generating grade-appropriate educational content," in Proc. 20th Workshop on Innovative Use of NLP for Building Educational Applications (BEA 2025), 2025.</w:t>
      </w:r>
    </w:p>
    <w:p>
      <w:pPr>
        <w:spacing w:after="120" w:line="300"/>
        <w:ind w:left="709" w:hanging="709"/>
        <w:jc w:val="left"/>
      </w:pPr>
      <w:r>
        <w:rPr>
          <w:rFonts w:ascii="Times New Roman" w:cs="Times New Roman" w:eastAsia="Times New Roman" w:hAnsi="Times New Roman"/>
          <w:sz w:val="24"/>
          <w:szCs w:val="24"/>
        </w:rPr>
        <w:t xml:space="preserve">[18] H. Yao, W. Xu, J. Turnau, N. Kellam, and H. Wei, "Instructional agents: Reducing teaching faculty workload through multi-agent instructional design," in Proc. EACL 2026, vol. 1, 2026, pp. 4087–4109.</w:t>
      </w:r>
    </w:p>
    <w:p>
      <w:pPr>
        <w:spacing w:after="120" w:line="300"/>
        <w:ind w:left="709" w:hanging="709"/>
        <w:jc w:val="left"/>
      </w:pPr>
      <w:r>
        <w:rPr>
          <w:rFonts w:ascii="Times New Roman" w:cs="Times New Roman" w:eastAsia="Times New Roman" w:hAnsi="Times New Roman"/>
          <w:sz w:val="24"/>
          <w:szCs w:val="24"/>
        </w:rPr>
        <w:t xml:space="preserve">[19]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 xml:space="preserve">[20]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 xml:space="preserve">[21]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 xml:space="preserve">[22]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 xml:space="preserve">[23]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 xml:space="preserve">[24]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 xml:space="preserve">[25]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 xml:space="preserve">[26] S. J. Warren, E. Boston Vogt, B. Tincher, and J. Yang, "Enhancing quality assurance through strategic artificial intelligence integration: A framework for higher education digital transformation," Quality Assurance in Education, vol. 34, no. 2, pp. 205–222, 2026.</w:t>
      </w:r>
    </w:p>
    <w:p>
      <w:pPr>
        <w:spacing w:after="120" w:line="300"/>
        <w:ind w:left="709" w:hanging="709"/>
        <w:jc w:val="left"/>
      </w:pPr>
      <w:r>
        <w:rPr>
          <w:rFonts w:ascii="Times New Roman" w:cs="Times New Roman" w:eastAsia="Times New Roman" w:hAnsi="Times New Roman"/>
          <w:sz w:val="24"/>
          <w:szCs w:val="24"/>
        </w:rPr>
        <w:t xml:space="preserve">[27]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 xml:space="preserve">[28]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 xml:space="preserve">[29]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 xml:space="preserve">[30]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 xml:space="preserve">[31]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 xml:space="preserve">[32]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 xml:space="preserve">[33]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 xml:space="preserve">[34] D. Li et al., "From generation to judgment: Opportunities and challenges of LLM-as-a-judge," in Proc. 2025 Conference on Empirical Methods in Natural Language Processing (EMNLP), 2025. [Online]. Available: https://arxiv.org/abs/2411.16594</w:t>
      </w:r>
    </w:p>
    <w:p>
      <w:pPr>
        <w:spacing w:after="120" w:line="300"/>
        <w:ind w:left="709" w:hanging="709"/>
        <w:jc w:val="left"/>
      </w:pPr>
      <w:r>
        <w:rPr>
          <w:rFonts w:ascii="Times New Roman" w:cs="Times New Roman" w:eastAsia="Times New Roman" w:hAnsi="Times New Roman"/>
          <w:sz w:val="24"/>
          <w:szCs w:val="24"/>
        </w:rPr>
        <w:t xml:space="preserve">[35]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 xml:space="preserve">[36] С. Гафтанджиева и Р. Донева, „Генеративен изкуствен интелект в образованието: проблеми и решения“, Педагогика, т. 97, кн. 9, с. 1284–1297, 2025, doi: 10.53656/ped2025-9.04.</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2026-08-17T15:46:09.256Z</dcterms:created>
  <dcterms:modified xsi:type="dcterms:W3CDTF">2026-08-17T15:46:09.256Z</dcterms:modified>
</cp:coreProperties>
</file>

<file path=docProps/custom.xml><?xml version="1.0" encoding="utf-8"?>
<Properties xmlns="http://schemas.openxmlformats.org/officeDocument/2006/custom-properties" xmlns:vt="http://schemas.openxmlformats.org/officeDocument/2006/docPropsVTypes"/>
</file>