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line="276"/>
        <w:jc w:val="center"/>
      </w:pPr>
      <w:r>
        <w:rPr>
          <w:rFonts w:ascii="Times New Roman" w:cs="Times New Roman" w:eastAsia="Times New Roman" w:hAnsi="Times New Roman"/>
          <w:b/>
          <w:bCs/>
          <w:sz w:val="28"/>
          <w:szCs w:val="28"/>
        </w:rPr>
        <w:t xml:space="preserve">УНИВЕРСИТЕТ ПО БИБЛИОТЕКОЗНАНИЕ И ИНФОРМАЦИОННИ ТЕХНОЛОГИИ</w:t>
      </w:r>
    </w:p>
    <w:p>
      <w:pPr>
        <w:spacing w:after="100" w:before="0" w:line="276"/>
        <w:jc w:val="center"/>
      </w:pPr>
      <w:r>
        <w:rPr>
          <w:rFonts w:ascii="Times New Roman" w:cs="Times New Roman" w:eastAsia="Times New Roman" w:hAnsi="Times New Roman"/>
          <w:b/>
          <w:bCs/>
          <w:sz w:val="28"/>
          <w:szCs w:val="28"/>
        </w:rPr>
        <w:t xml:space="preserve">КАТЕДРА „………………………………“</w:t>
      </w:r>
    </w:p>
    <w:p>
      <w:pPr>
        <w:spacing w:after="1400" w:before="0" w:line="276"/>
        <w:jc w:val="center"/>
      </w:pPr>
      <w:r>
        <w:rPr>
          <w:rFonts w:ascii="Times New Roman" w:cs="Times New Roman" w:eastAsia="Times New Roman" w:hAnsi="Times New Roman"/>
          <w:b/>
          <w:bCs/>
          <w:sz w:val="28"/>
          <w:szCs w:val="28"/>
        </w:rPr>
        <w:t xml:space="preserve">МАГИСТЪРСКА ПРОГРАМА „………………………………“</w:t>
      </w:r>
    </w:p>
    <w:p>
      <w:pPr>
        <w:spacing w:after="100" w:before="0" w:line="276"/>
        <w:jc w:val="center"/>
      </w:pPr>
      <w:r>
        <w:rPr>
          <w:rFonts w:ascii="Times New Roman" w:cs="Times New Roman" w:eastAsia="Times New Roman" w:hAnsi="Times New Roman"/>
          <w:b/>
          <w:bCs/>
          <w:sz w:val="28"/>
          <w:szCs w:val="28"/>
        </w:rPr>
        <w:t xml:space="preserve">МАГИСТЪРСКА ТЕЗА</w:t>
      </w:r>
    </w:p>
    <w:p>
      <w:pPr>
        <w:spacing w:after="900" w:before="0" w:line="276"/>
        <w:jc w:val="center"/>
      </w:pPr>
      <w:r>
        <w:rPr>
          <w:rFonts w:ascii="Times New Roman" w:cs="Times New Roman" w:eastAsia="Times New Roman" w:hAnsi="Times New Roman"/>
          <w:b w:val="false"/>
          <w:bCs w:val="false"/>
          <w:sz w:val="28"/>
          <w:szCs w:val="28"/>
        </w:rPr>
        <w:t xml:space="preserve">на тема:</w:t>
      </w:r>
    </w:p>
    <w:p>
      <w:pPr>
        <w:spacing w:after="1800" w:before="0" w:line="276"/>
        <w:jc w:val="center"/>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tabs>
          <w:tab w:val="left" w:pos="5000"/>
        </w:tabs>
        <w:spacing w:after="0" w:line="276"/>
      </w:pPr>
      <w:r>
        <w:rPr>
          <w:rFonts w:ascii="Times New Roman" w:cs="Times New Roman" w:eastAsia="Times New Roman" w:hAnsi="Times New Roman"/>
          <w:sz w:val="28"/>
          <w:szCs w:val="28"/>
        </w:rPr>
        <w:t xml:space="preserve">Дипломант:	Научен ръководител:</w:t>
      </w:r>
    </w:p>
    <w:p>
      <w:pPr>
        <w:tabs>
          <w:tab w:val="left" w:pos="5000"/>
        </w:tabs>
        <w:spacing w:after="0" w:line="276"/>
      </w:pPr>
      <w:r>
        <w:rPr>
          <w:rFonts w:ascii="Times New Roman" w:cs="Times New Roman" w:eastAsia="Times New Roman" w:hAnsi="Times New Roman"/>
          <w:sz w:val="28"/>
          <w:szCs w:val="28"/>
        </w:rPr>
        <w:t xml:space="preserve">Александър Грамов	(………………………………)</w:t>
      </w:r>
    </w:p>
    <w:p>
      <w:pPr>
        <w:tabs>
          <w:tab w:val="left" w:pos="5000"/>
        </w:tabs>
        <w:spacing w:after="0" w:line="276"/>
      </w:pPr>
      <w:r>
        <w:rPr>
          <w:rFonts w:ascii="Times New Roman" w:cs="Times New Roman" w:eastAsia="Times New Roman" w:hAnsi="Times New Roman"/>
          <w:sz w:val="28"/>
          <w:szCs w:val="28"/>
        </w:rPr>
        <w:t xml:space="preserve">………………… обучение	</w:t>
      </w:r>
    </w:p>
    <w:p>
      <w:pPr>
        <w:tabs>
          <w:tab w:val="left" w:pos="5000"/>
        </w:tabs>
        <w:spacing w:after="0" w:line="276"/>
      </w:pPr>
      <w:r>
        <w:rPr>
          <w:rFonts w:ascii="Times New Roman" w:cs="Times New Roman" w:eastAsia="Times New Roman" w:hAnsi="Times New Roman"/>
          <w:sz w:val="28"/>
          <w:szCs w:val="28"/>
        </w:rPr>
        <w:t xml:space="preserve">Ф. № …………………	</w:t>
      </w:r>
    </w:p>
    <w:p>
      <w:pPr>
        <w:spacing w:after="0" w:before="1400" w:line="276"/>
        <w:jc w:val="center"/>
      </w:pPr>
      <w:r>
        <w:rPr>
          <w:rFonts w:ascii="Times New Roman" w:cs="Times New Roman" w:eastAsia="Times New Roman" w:hAnsi="Times New Roman"/>
          <w:b w:val="false"/>
          <w:bCs w:val="false"/>
          <w:sz w:val="28"/>
          <w:szCs w:val="28"/>
        </w:rPr>
        <w:t xml:space="preserve">София</w:t>
      </w:r>
    </w:p>
    <w:p>
      <w:pPr>
        <w:spacing w:after="0" w:before="0" w:line="276"/>
        <w:jc w:val="center"/>
      </w:pPr>
      <w:r>
        <w:rPr>
          <w:rFonts w:ascii="Times New Roman" w:cs="Times New Roman" w:eastAsia="Times New Roman" w:hAnsi="Times New Roman"/>
          <w:b w:val="false"/>
          <w:bCs w:val="false"/>
          <w:sz w:val="28"/>
          <w:szCs w:val="28"/>
        </w:rPr>
        <w:t xml:space="preserve">2026</w:t>
      </w:r>
    </w:p>
    <w:p>
      <w:r>
        <w:br w:type="page"/>
      </w:r>
    </w:p>
    <w:p>
      <w:pPr>
        <w:pStyle w:val="Heading1"/>
      </w:pPr>
      <w:r>
        <w:rPr>
          <w:rFonts w:ascii="Times New Roman" w:cs="Times New Roman" w:eastAsia="Times New Roman" w:hAnsi="Times New Roman"/>
          <w:b/>
          <w:bCs/>
          <w:sz w:val="28"/>
          <w:szCs w:val="28"/>
        </w:rPr>
        <w:t xml:space="preserve">РЕЗЮМЕ</w:t>
      </w:r>
    </w:p>
    <w:p>
      <w:pPr>
        <w:spacing w:after="200" w:line="360"/>
        <w:jc w:val="both"/>
      </w:pPr>
      <w:r>
        <w:rPr>
          <w:rFonts w:ascii="Times New Roman" w:cs="Times New Roman" w:eastAsia="Times New Roman" w:hAnsi="Times New Roman"/>
          <w:i/>
          <w:iCs/>
          <w:sz w:val="28"/>
          <w:szCs w:val="28"/>
        </w:rPr>
        <w:t xml:space="preserve">Грамов, А. Модел за оценяване на качеството на електронно учебно съдържание, разработено с генеративни AI инструменти. Научен ръководител ……………………………… . С., 2026. Катедра „………………………………“. Магистърска програма „………………………………“. УниБИТ. 77 с. Брой източници — 45, приложения — 4, таблици — 4.</w:t>
      </w:r>
    </w:p>
    <w:p>
      <w:pPr>
        <w:spacing w:after="120" w:line="360"/>
        <w:ind w:firstLine="1134"/>
        <w:jc w:val="both"/>
      </w:pPr>
      <w:r>
        <w:rPr>
          <w:rFonts w:ascii="Times New Roman" w:cs="Times New Roman" w:eastAsia="Times New Roman" w:hAnsi="Times New Roman"/>
          <w:sz w:val="28"/>
          <w:szCs w:val="28"/>
        </w:rPr>
        <w:t xml:space="preserve">Целта на магистърската теза е да бъде разработен и апробиран модел за оценяване на качеството на електронно учебно съдържание, създадено с генеративни инструменти с изкуствен интелект. Задачите са четири: да се изяснят същността и видовете електронно учебно съдържание и характеристиките на генеративните инструменти; да се анализират съществуващите подходи и критерии за оценяване и типичните дефицити на генерираното съдържание; да се конструира модел с критерии, показатели, скала и процедура за приложение; и моделът да бъде апробиран върху реални генерирани материали.</w:t>
      </w:r>
    </w:p>
    <w:p>
      <w:pPr>
        <w:spacing w:after="120" w:line="360"/>
        <w:ind w:firstLine="1134"/>
        <w:jc w:val="both"/>
      </w:pPr>
      <w:r>
        <w:rPr>
          <w:rFonts w:ascii="Times New Roman" w:cs="Times New Roman" w:eastAsia="Times New Roman" w:hAnsi="Times New Roman"/>
          <w:sz w:val="28"/>
          <w:szCs w:val="28"/>
        </w:rPr>
        <w:t xml:space="preserve">Първа глава изяснява понятийния апарат и очертава границите на приложното поле: видовете електронно учебно съдържание, педагогическите изисквания към него, устройството и ограниченията на големите езикови модели, възможностите им при разработване на учебни материали, свързаните рискове, етичните и правните изисквания и наличните подходи за оценяване на качеството. Втора глава анализира съществуващите критериални системи, извежда четири логически независими области на качеството, съпоставя ги с документираните дефицити на генерираното съдържание и завършва с изрична спецификация на изискванията към бъдещия модел.</w:t>
      </w:r>
    </w:p>
    <w:p>
      <w:pPr>
        <w:spacing w:after="120" w:line="360"/>
        <w:ind w:firstLine="1134"/>
        <w:jc w:val="both"/>
      </w:pPr>
      <w:r>
        <w:rPr>
          <w:rFonts w:ascii="Times New Roman" w:cs="Times New Roman" w:eastAsia="Times New Roman" w:hAnsi="Times New Roman"/>
          <w:sz w:val="28"/>
          <w:szCs w:val="28"/>
        </w:rPr>
        <w:t xml:space="preserve">Трета глава съдържа собствения принос. Разработен е модел с четири оценъчни области — съдържателно качество, дидактическо качество, езикова и структурна пригодност, етична и академична коректност — разгърнати в критерии и общо двадесет и пет проверими показателя. Приета е четиристепенна скала на равнище показател и четиристепенна на равнище област, с изричен праг на допустимост и некомпенсаторно правило за агрегиране: крайното равнище се определя от най-ниската областна оценка, което изключва възможността слабата фактологическа коректност да бъде компенсирана от добър език. Моделът е операционализиран в оценъчна карта и в процедура за верифициране, предвидена за приложение от отделен преподавател с предметна компетентност, без специализирана инфраструктура и без разчитане на автоматични детектори за генериран текст.</w:t>
      </w:r>
    </w:p>
    <w:p>
      <w:pPr>
        <w:spacing w:after="120" w:line="360"/>
        <w:ind w:firstLine="1134"/>
        <w:jc w:val="both"/>
      </w:pPr>
      <w:r>
        <w:rPr>
          <w:rFonts w:ascii="Times New Roman" w:cs="Times New Roman" w:eastAsia="Times New Roman" w:hAnsi="Times New Roman"/>
          <w:sz w:val="28"/>
          <w:szCs w:val="28"/>
        </w:rPr>
        <w:t xml:space="preserve">Апробирането обхваща шест материала — електронен урок, тестови въпроси и указания за самоподготовка, генерирани от два широкодостъпни диалогови инструмента по обща тема от областта на уеб разработката, на български език, при документиран протокол и предварително фиксирани критерии, скала и прагове. [Количествените резултати от апробирането се вписват след попълването на шестте оценъчни карти.] Приносът на работата се състои в система от критерии и показатели, скала и оценъчна матрица, процедура за верифициране и апробиране на модела върху реални генерирани материали.</w:t>
      </w:r>
    </w:p>
    <w:p>
      <w:pPr>
        <w:spacing w:after="200" w:line="360"/>
        <w:jc w:val="both"/>
      </w:pPr>
      <w:r>
        <w:rPr>
          <w:rFonts w:ascii="Times New Roman" w:cs="Times New Roman" w:eastAsia="Times New Roman" w:hAnsi="Times New Roman"/>
          <w:i w:val="false"/>
          <w:iCs w:val="false"/>
          <w:sz w:val="28"/>
          <w:szCs w:val="28"/>
        </w:rPr>
        <w:t xml:space="preserve">Ключови думи: академична коректност; генеративен изкуствен интелект; голям езиков модел; дидактическо качество; електронно учебно съдържание; критерии и показатели; модел за оценяване; оценъчна карта.</w:t>
      </w:r>
    </w:p>
    <w:p>
      <w:r>
        <w:br w:type="page"/>
      </w:r>
    </w:p>
    <w:p>
      <w:pPr>
        <w:pStyle w:val="Heading1"/>
      </w:pPr>
      <w:r>
        <w:rPr>
          <w:rFonts w:ascii="Times New Roman" w:cs="Times New Roman" w:eastAsia="Times New Roman" w:hAnsi="Times New Roman"/>
          <w:b/>
          <w:bCs/>
          <w:sz w:val="28"/>
          <w:szCs w:val="28"/>
        </w:rPr>
        <w:t xml:space="preserve">СЪДЪРЖАНИЕ</w:t>
      </w:r>
    </w:p>
    <w:sdt>
      <w:sdtPr>
        <w:alias w:val="Съдържание"/>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b/>
          <w:bCs/>
          <w:sz w:val="28"/>
          <w:szCs w:val="28"/>
        </w:rPr>
        <w:t xml:space="preserve">УВОД</w:t>
      </w:r>
    </w:p>
    <w:p>
      <w:pPr>
        <w:spacing w:after="120" w:line="360"/>
        <w:ind w:firstLine="1134"/>
        <w:jc w:val="both"/>
      </w:pPr>
      <w:r>
        <w:rPr>
          <w:rFonts w:ascii="Times New Roman" w:cs="Times New Roman" w:eastAsia="Times New Roman" w:hAnsi="Times New Roman"/>
          <w:sz w:val="28"/>
          <w:szCs w:val="28"/>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1134"/>
        <w:jc w:val="both"/>
      </w:pPr>
      <w:r>
        <w:rPr>
          <w:rFonts w:ascii="Times New Roman" w:cs="Times New Roman" w:eastAsia="Times New Roman" w:hAnsi="Times New Roman"/>
          <w:sz w:val="28"/>
          <w:szCs w:val="28"/>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1134"/>
        <w:jc w:val="both"/>
      </w:pPr>
      <w:r>
        <w:rPr>
          <w:rFonts w:ascii="Times New Roman" w:cs="Times New Roman" w:eastAsia="Times New Roman" w:hAnsi="Times New Roman"/>
          <w:sz w:val="28"/>
          <w:szCs w:val="28"/>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1134"/>
        <w:jc w:val="both"/>
      </w:pPr>
      <w:r>
        <w:rPr>
          <w:rFonts w:ascii="Times New Roman" w:cs="Times New Roman" w:eastAsia="Times New Roman" w:hAnsi="Times New Roman"/>
          <w:sz w:val="28"/>
          <w:szCs w:val="28"/>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1134"/>
        <w:jc w:val="both"/>
      </w:pPr>
      <w:r>
        <w:rPr>
          <w:rFonts w:ascii="Times New Roman" w:cs="Times New Roman" w:eastAsia="Times New Roman" w:hAnsi="Times New Roman"/>
          <w:sz w:val="28"/>
          <w:szCs w:val="28"/>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1134"/>
        <w:jc w:val="both"/>
      </w:pPr>
      <w:r>
        <w:rPr>
          <w:rFonts w:ascii="Times New Roman" w:cs="Times New Roman" w:eastAsia="Times New Roman" w:hAnsi="Times New Roman"/>
          <w:sz w:val="28"/>
          <w:szCs w:val="28"/>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8"/>
          <w:szCs w:val="28"/>
        </w:rPr>
        <w:t xml:space="preserve">1.1. Същност и видове електронно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1134"/>
        <w:jc w:val="both"/>
      </w:pPr>
      <w:r>
        <w:rPr>
          <w:rFonts w:ascii="Times New Roman" w:cs="Times New Roman" w:eastAsia="Times New Roman" w:hAnsi="Times New Roman"/>
          <w:sz w:val="28"/>
          <w:szCs w:val="28"/>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[38,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1134"/>
        <w:jc w:val="both"/>
      </w:pPr>
      <w:r>
        <w:rPr>
          <w:rFonts w:ascii="Times New Roman" w:cs="Times New Roman" w:eastAsia="Times New Roman" w:hAnsi="Times New Roman"/>
          <w:sz w:val="28"/>
          <w:szCs w:val="28"/>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1134"/>
        <w:jc w:val="both"/>
      </w:pPr>
      <w:r>
        <w:rPr>
          <w:rFonts w:ascii="Times New Roman" w:cs="Times New Roman" w:eastAsia="Times New Roman" w:hAnsi="Times New Roman"/>
          <w:sz w:val="28"/>
          <w:szCs w:val="28"/>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1134"/>
        <w:jc w:val="both"/>
      </w:pPr>
      <w:r>
        <w:rPr>
          <w:rFonts w:ascii="Times New Roman" w:cs="Times New Roman" w:eastAsia="Times New Roman" w:hAnsi="Times New Roman"/>
          <w:sz w:val="28"/>
          <w:szCs w:val="28"/>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1134"/>
        <w:jc w:val="both"/>
      </w:pPr>
      <w:r>
        <w:rPr>
          <w:rFonts w:ascii="Times New Roman" w:cs="Times New Roman" w:eastAsia="Times New Roman" w:hAnsi="Times New Roman"/>
          <w:sz w:val="28"/>
          <w:szCs w:val="28"/>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1134"/>
        <w:jc w:val="both"/>
      </w:pPr>
      <w:r>
        <w:rPr>
          <w:rFonts w:ascii="Times New Roman" w:cs="Times New Roman" w:eastAsia="Times New Roman" w:hAnsi="Times New Roman"/>
          <w:sz w:val="28"/>
          <w:szCs w:val="28"/>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[38,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[18].</w:t>
      </w:r>
    </w:p>
    <w:p>
      <w:pPr>
        <w:spacing w:after="120" w:line="360"/>
        <w:ind w:firstLine="1134"/>
        <w:jc w:val="both"/>
      </w:pPr>
      <w:r>
        <w:rPr>
          <w:rFonts w:ascii="Times New Roman" w:cs="Times New Roman" w:eastAsia="Times New Roman" w:hAnsi="Times New Roman"/>
          <w:sz w:val="28"/>
          <w:szCs w:val="28"/>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[42].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1134"/>
        <w:jc w:val="both"/>
      </w:pPr>
      <w:r>
        <w:rPr>
          <w:rFonts w:ascii="Times New Roman" w:cs="Times New Roman" w:eastAsia="Times New Roman" w:hAnsi="Times New Roman"/>
          <w:sz w:val="28"/>
          <w:szCs w:val="28"/>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[25].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1134"/>
        <w:jc w:val="both"/>
      </w:pPr>
      <w:r>
        <w:rPr>
          <w:rFonts w:ascii="Times New Roman" w:cs="Times New Roman" w:eastAsia="Times New Roman" w:hAnsi="Times New Roman"/>
          <w:sz w:val="28"/>
          <w:szCs w:val="28"/>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1134"/>
        <w:jc w:val="both"/>
      </w:pPr>
      <w:r>
        <w:rPr>
          <w:rFonts w:ascii="Times New Roman" w:cs="Times New Roman" w:eastAsia="Times New Roman" w:hAnsi="Times New Roman"/>
          <w:sz w:val="28"/>
          <w:szCs w:val="28"/>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1134"/>
        <w:jc w:val="both"/>
      </w:pPr>
      <w:r>
        <w:rPr>
          <w:rFonts w:ascii="Times New Roman" w:cs="Times New Roman" w:eastAsia="Times New Roman" w:hAnsi="Times New Roman"/>
          <w:sz w:val="28"/>
          <w:szCs w:val="28"/>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1134"/>
        <w:jc w:val="both"/>
      </w:pPr>
      <w:r>
        <w:rPr>
          <w:rFonts w:ascii="Times New Roman" w:cs="Times New Roman" w:eastAsia="Times New Roman" w:hAnsi="Times New Roman"/>
          <w:sz w:val="28"/>
          <w:szCs w:val="28"/>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[44].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8"/>
          <w:szCs w:val="28"/>
        </w:rPr>
        <w:t xml:space="preserve">1.2. Педагогически изисквания към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1134"/>
        <w:jc w:val="both"/>
      </w:pPr>
      <w:r>
        <w:rPr>
          <w:rFonts w:ascii="Times New Roman" w:cs="Times New Roman" w:eastAsia="Times New Roman" w:hAnsi="Times New Roman"/>
          <w:sz w:val="28"/>
          <w:szCs w:val="28"/>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[30,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1134"/>
        <w:jc w:val="both"/>
      </w:pPr>
      <w:r>
        <w:rPr>
          <w:rFonts w:ascii="Times New Roman" w:cs="Times New Roman" w:eastAsia="Times New Roman" w:hAnsi="Times New Roman"/>
          <w:sz w:val="28"/>
          <w:szCs w:val="28"/>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[26].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1134"/>
        <w:jc w:val="both"/>
      </w:pPr>
      <w:r>
        <w:rPr>
          <w:rFonts w:ascii="Times New Roman" w:cs="Times New Roman" w:eastAsia="Times New Roman" w:hAnsi="Times New Roman"/>
          <w:sz w:val="28"/>
          <w:szCs w:val="28"/>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[27].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1134"/>
        <w:jc w:val="both"/>
      </w:pPr>
      <w:r>
        <w:rPr>
          <w:rFonts w:ascii="Times New Roman" w:cs="Times New Roman" w:eastAsia="Times New Roman" w:hAnsi="Times New Roman"/>
          <w:sz w:val="28"/>
          <w:szCs w:val="28"/>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1134"/>
        <w:jc w:val="both"/>
      </w:pPr>
      <w:r>
        <w:rPr>
          <w:rFonts w:ascii="Times New Roman" w:cs="Times New Roman" w:eastAsia="Times New Roman" w:hAnsi="Times New Roman"/>
          <w:sz w:val="28"/>
          <w:szCs w:val="28"/>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1134"/>
        <w:jc w:val="both"/>
      </w:pPr>
      <w:r>
        <w:rPr>
          <w:rFonts w:ascii="Times New Roman" w:cs="Times New Roman" w:eastAsia="Times New Roman" w:hAnsi="Times New Roman"/>
          <w:sz w:val="28"/>
          <w:szCs w:val="28"/>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1134"/>
        <w:jc w:val="both"/>
      </w:pPr>
      <w:r>
        <w:rPr>
          <w:rFonts w:ascii="Times New Roman" w:cs="Times New Roman" w:eastAsia="Times New Roman" w:hAnsi="Times New Roman"/>
          <w:sz w:val="28"/>
          <w:szCs w:val="28"/>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[38,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1134"/>
        <w:jc w:val="both"/>
      </w:pPr>
      <w:r>
        <w:rPr>
          <w:rFonts w:ascii="Times New Roman" w:cs="Times New Roman" w:eastAsia="Times New Roman" w:hAnsi="Times New Roman"/>
          <w:sz w:val="28"/>
          <w:szCs w:val="28"/>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1134"/>
        <w:jc w:val="both"/>
      </w:pPr>
      <w:r>
        <w:rPr>
          <w:rFonts w:ascii="Times New Roman" w:cs="Times New Roman" w:eastAsia="Times New Roman" w:hAnsi="Times New Roman"/>
          <w:sz w:val="28"/>
          <w:szCs w:val="28"/>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[38,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1134"/>
        <w:jc w:val="both"/>
      </w:pPr>
      <w:r>
        <w:rPr>
          <w:rFonts w:ascii="Times New Roman" w:cs="Times New Roman" w:eastAsia="Times New Roman" w:hAnsi="Times New Roman"/>
          <w:sz w:val="28"/>
          <w:szCs w:val="28"/>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1134"/>
        <w:jc w:val="both"/>
      </w:pPr>
      <w:r>
        <w:rPr>
          <w:rFonts w:ascii="Times New Roman" w:cs="Times New Roman" w:eastAsia="Times New Roman" w:hAnsi="Times New Roman"/>
          <w:sz w:val="28"/>
          <w:szCs w:val="28"/>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1134"/>
        <w:jc w:val="both"/>
      </w:pPr>
      <w:r>
        <w:rPr>
          <w:rFonts w:ascii="Times New Roman" w:cs="Times New Roman" w:eastAsia="Times New Roman" w:hAnsi="Times New Roman"/>
          <w:sz w:val="28"/>
          <w:szCs w:val="28"/>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[24]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1134"/>
        <w:jc w:val="both"/>
      </w:pPr>
      <w:r>
        <w:rPr>
          <w:rFonts w:ascii="Times New Roman" w:cs="Times New Roman" w:eastAsia="Times New Roman" w:hAnsi="Times New Roman"/>
          <w:sz w:val="28"/>
          <w:szCs w:val="28"/>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8"/>
          <w:szCs w:val="28"/>
        </w:rPr>
        <w:t xml:space="preserve">1.3. Същност и основни характеристики на генеративните инструменти с изкуствен интелект</w:t>
      </w:r>
    </w:p>
    <w:p>
      <w:pPr>
        <w:spacing w:after="120" w:line="360"/>
        <w:ind w:firstLine="1134"/>
        <w:jc w:val="both"/>
      </w:pPr>
      <w:r>
        <w:rPr>
          <w:rFonts w:ascii="Times New Roman" w:cs="Times New Roman" w:eastAsia="Times New Roman" w:hAnsi="Times New Roman"/>
          <w:sz w:val="28"/>
          <w:szCs w:val="28"/>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[44].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1134"/>
        <w:jc w:val="both"/>
      </w:pPr>
      <w:r>
        <w:rPr>
          <w:rFonts w:ascii="Times New Roman" w:cs="Times New Roman" w:eastAsia="Times New Roman" w:hAnsi="Times New Roman"/>
          <w:sz w:val="28"/>
          <w:szCs w:val="28"/>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1134"/>
        <w:jc w:val="both"/>
      </w:pPr>
      <w:r>
        <w:rPr>
          <w:rFonts w:ascii="Times New Roman" w:cs="Times New Roman" w:eastAsia="Times New Roman" w:hAnsi="Times New Roman"/>
          <w:sz w:val="28"/>
          <w:szCs w:val="28"/>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1134"/>
        <w:jc w:val="both"/>
      </w:pPr>
      <w:r>
        <w:rPr>
          <w:rFonts w:ascii="Times New Roman" w:cs="Times New Roman" w:eastAsia="Times New Roman" w:hAnsi="Times New Roman"/>
          <w:sz w:val="28"/>
          <w:szCs w:val="28"/>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[17].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1134"/>
        <w:jc w:val="both"/>
      </w:pPr>
      <w:r>
        <w:rPr>
          <w:rFonts w:ascii="Times New Roman" w:cs="Times New Roman" w:eastAsia="Times New Roman" w:hAnsi="Times New Roman"/>
          <w:sz w:val="28"/>
          <w:szCs w:val="28"/>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[17].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[44].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1134"/>
        <w:jc w:val="both"/>
      </w:pPr>
      <w:r>
        <w:rPr>
          <w:rFonts w:ascii="Times New Roman" w:cs="Times New Roman" w:eastAsia="Times New Roman" w:hAnsi="Times New Roman"/>
          <w:sz w:val="28"/>
          <w:szCs w:val="28"/>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[28].</w:t>
      </w:r>
    </w:p>
    <w:p>
      <w:pPr>
        <w:spacing w:after="120" w:line="360"/>
        <w:ind w:firstLine="1134"/>
        <w:jc w:val="both"/>
      </w:pPr>
      <w:r>
        <w:rPr>
          <w:rFonts w:ascii="Times New Roman" w:cs="Times New Roman" w:eastAsia="Times New Roman" w:hAnsi="Times New Roman"/>
          <w:sz w:val="28"/>
          <w:szCs w:val="28"/>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[17].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1134"/>
        <w:jc w:val="both"/>
      </w:pPr>
      <w:r>
        <w:rPr>
          <w:rFonts w:ascii="Times New Roman" w:cs="Times New Roman" w:eastAsia="Times New Roman" w:hAnsi="Times New Roman"/>
          <w:sz w:val="28"/>
          <w:szCs w:val="28"/>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[28].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1134"/>
        <w:jc w:val="both"/>
      </w:pPr>
      <w:r>
        <w:rPr>
          <w:rFonts w:ascii="Times New Roman" w:cs="Times New Roman" w:eastAsia="Times New Roman" w:hAnsi="Times New Roman"/>
          <w:sz w:val="28"/>
          <w:szCs w:val="28"/>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1134"/>
        <w:jc w:val="both"/>
      </w:pPr>
      <w:r>
        <w:rPr>
          <w:rFonts w:ascii="Times New Roman" w:cs="Times New Roman" w:eastAsia="Times New Roman" w:hAnsi="Times New Roman"/>
          <w:sz w:val="28"/>
          <w:szCs w:val="28"/>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1134"/>
        <w:jc w:val="both"/>
      </w:pPr>
      <w:r>
        <w:rPr>
          <w:rFonts w:ascii="Times New Roman" w:cs="Times New Roman" w:eastAsia="Times New Roman" w:hAnsi="Times New Roman"/>
          <w:sz w:val="28"/>
          <w:szCs w:val="28"/>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1134"/>
        <w:jc w:val="both"/>
      </w:pPr>
      <w:r>
        <w:rPr>
          <w:rFonts w:ascii="Times New Roman" w:cs="Times New Roman" w:eastAsia="Times New Roman" w:hAnsi="Times New Roman"/>
          <w:sz w:val="28"/>
          <w:szCs w:val="28"/>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1134"/>
        <w:jc w:val="both"/>
      </w:pPr>
      <w:r>
        <w:rPr>
          <w:rFonts w:ascii="Times New Roman" w:cs="Times New Roman" w:eastAsia="Times New Roman" w:hAnsi="Times New Roman"/>
          <w:sz w:val="28"/>
          <w:szCs w:val="28"/>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8"/>
          <w:szCs w:val="28"/>
        </w:rPr>
        <w:t xml:space="preserve">1.4. Възможности за използване на генеративни AI инструменти при разработване на учебни материали</w:t>
      </w:r>
    </w:p>
    <w:p>
      <w:pPr>
        <w:spacing w:after="120" w:line="360"/>
        <w:ind w:firstLine="1134"/>
        <w:jc w:val="both"/>
      </w:pPr>
      <w:r>
        <w:rPr>
          <w:rFonts w:ascii="Times New Roman" w:cs="Times New Roman" w:eastAsia="Times New Roman" w:hAnsi="Times New Roman"/>
          <w:sz w:val="28"/>
          <w:szCs w:val="28"/>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[44].</w:t>
      </w:r>
    </w:p>
    <w:p>
      <w:pPr>
        <w:spacing w:after="120" w:line="360"/>
        <w:ind w:firstLine="1134"/>
        <w:jc w:val="both"/>
      </w:pPr>
      <w:r>
        <w:rPr>
          <w:rFonts w:ascii="Times New Roman" w:cs="Times New Roman" w:eastAsia="Times New Roman" w:hAnsi="Times New Roman"/>
          <w:sz w:val="28"/>
          <w:szCs w:val="28"/>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[17].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1134"/>
        <w:jc w:val="both"/>
      </w:pPr>
      <w:r>
        <w:rPr>
          <w:rFonts w:ascii="Times New Roman" w:cs="Times New Roman" w:eastAsia="Times New Roman" w:hAnsi="Times New Roman"/>
          <w:sz w:val="28"/>
          <w:szCs w:val="28"/>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[16].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1134"/>
        <w:jc w:val="both"/>
      </w:pPr>
      <w:r>
        <w:rPr>
          <w:rFonts w:ascii="Times New Roman" w:cs="Times New Roman" w:eastAsia="Times New Roman" w:hAnsi="Times New Roman"/>
          <w:sz w:val="28"/>
          <w:szCs w:val="28"/>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1134"/>
        <w:jc w:val="both"/>
      </w:pPr>
      <w:r>
        <w:rPr>
          <w:rFonts w:ascii="Times New Roman" w:cs="Times New Roman" w:eastAsia="Times New Roman" w:hAnsi="Times New Roman"/>
          <w:sz w:val="28"/>
          <w:szCs w:val="28"/>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[45].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[23].</w:t>
      </w:r>
    </w:p>
    <w:p>
      <w:pPr>
        <w:spacing w:after="120" w:line="360"/>
        <w:ind w:firstLine="1134"/>
        <w:jc w:val="both"/>
      </w:pPr>
      <w:r>
        <w:rPr>
          <w:rFonts w:ascii="Times New Roman" w:cs="Times New Roman" w:eastAsia="Times New Roman" w:hAnsi="Times New Roman"/>
          <w:sz w:val="28"/>
          <w:szCs w:val="28"/>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1134"/>
        <w:jc w:val="both"/>
      </w:pPr>
      <w:r>
        <w:rPr>
          <w:rFonts w:ascii="Times New Roman" w:cs="Times New Roman" w:eastAsia="Times New Roman" w:hAnsi="Times New Roman"/>
          <w:sz w:val="28"/>
          <w:szCs w:val="28"/>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1134"/>
        <w:jc w:val="both"/>
      </w:pPr>
      <w:r>
        <w:rPr>
          <w:rFonts w:ascii="Times New Roman" w:cs="Times New Roman" w:eastAsia="Times New Roman" w:hAnsi="Times New Roman"/>
          <w:sz w:val="28"/>
          <w:szCs w:val="28"/>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1134"/>
        <w:jc w:val="both"/>
      </w:pPr>
      <w:r>
        <w:rPr>
          <w:rFonts w:ascii="Times New Roman" w:cs="Times New Roman" w:eastAsia="Times New Roman" w:hAnsi="Times New Roman"/>
          <w:sz w:val="28"/>
          <w:szCs w:val="28"/>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1134"/>
        <w:jc w:val="both"/>
      </w:pPr>
      <w:r>
        <w:rPr>
          <w:rFonts w:ascii="Times New Roman" w:cs="Times New Roman" w:eastAsia="Times New Roman" w:hAnsi="Times New Roman"/>
          <w:sz w:val="28"/>
          <w:szCs w:val="28"/>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1134"/>
        <w:jc w:val="both"/>
      </w:pPr>
      <w:r>
        <w:rPr>
          <w:rFonts w:ascii="Times New Roman" w:cs="Times New Roman" w:eastAsia="Times New Roman" w:hAnsi="Times New Roman"/>
          <w:sz w:val="28"/>
          <w:szCs w:val="28"/>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8"/>
          <w:szCs w:val="28"/>
        </w:rPr>
        <w:t xml:space="preserve">1.5. Предимства, ограничения и рискове при използването им в образованието</w:t>
      </w:r>
    </w:p>
    <w:p>
      <w:pPr>
        <w:spacing w:after="120" w:line="360"/>
        <w:ind w:firstLine="1134"/>
        <w:jc w:val="both"/>
      </w:pPr>
      <w:r>
        <w:rPr>
          <w:rFonts w:ascii="Times New Roman" w:cs="Times New Roman" w:eastAsia="Times New Roman" w:hAnsi="Times New Roman"/>
          <w:sz w:val="28"/>
          <w:szCs w:val="28"/>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[22], който подрежда разпръснатите в литературата наблюдения в четири взаимно свързани полета.</w:t>
      </w:r>
    </w:p>
    <w:p>
      <w:pPr>
        <w:spacing w:after="120" w:line="360"/>
        <w:ind w:firstLine="1134"/>
        <w:jc w:val="both"/>
      </w:pPr>
      <w:r>
        <w:rPr>
          <w:rFonts w:ascii="Times New Roman" w:cs="Times New Roman" w:eastAsia="Times New Roman" w:hAnsi="Times New Roman"/>
          <w:sz w:val="28"/>
          <w:szCs w:val="28"/>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1134"/>
        <w:jc w:val="both"/>
      </w:pPr>
      <w:r>
        <w:rPr>
          <w:rFonts w:ascii="Times New Roman" w:cs="Times New Roman" w:eastAsia="Times New Roman" w:hAnsi="Times New Roman"/>
          <w:sz w:val="28"/>
          <w:szCs w:val="28"/>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[22].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[44].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1134"/>
        <w:jc w:val="both"/>
      </w:pPr>
      <w:r>
        <w:rPr>
          <w:rFonts w:ascii="Times New Roman" w:cs="Times New Roman" w:eastAsia="Times New Roman" w:hAnsi="Times New Roman"/>
          <w:sz w:val="28"/>
          <w:szCs w:val="28"/>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[22].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1134"/>
        <w:jc w:val="both"/>
      </w:pPr>
      <w:r>
        <w:rPr>
          <w:rFonts w:ascii="Times New Roman" w:cs="Times New Roman" w:eastAsia="Times New Roman" w:hAnsi="Times New Roman"/>
          <w:sz w:val="28"/>
          <w:szCs w:val="28"/>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[17].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[22].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1134"/>
        <w:jc w:val="both"/>
      </w:pPr>
      <w:r>
        <w:rPr>
          <w:rFonts w:ascii="Times New Roman" w:cs="Times New Roman" w:eastAsia="Times New Roman" w:hAnsi="Times New Roman"/>
          <w:sz w:val="28"/>
          <w:szCs w:val="28"/>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1134"/>
        <w:jc w:val="both"/>
      </w:pPr>
      <w:r>
        <w:rPr>
          <w:rFonts w:ascii="Times New Roman" w:cs="Times New Roman" w:eastAsia="Times New Roman" w:hAnsi="Times New Roman"/>
          <w:sz w:val="28"/>
          <w:szCs w:val="28"/>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1134"/>
        <w:jc w:val="both"/>
      </w:pPr>
      <w:r>
        <w:rPr>
          <w:rFonts w:ascii="Times New Roman" w:cs="Times New Roman" w:eastAsia="Times New Roman" w:hAnsi="Times New Roman"/>
          <w:sz w:val="28"/>
          <w:szCs w:val="28"/>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[41] — а вграждането предполага наличието на общ инструмент, по който проверката да се извършва и документира еднакво.</w:t>
      </w:r>
    </w:p>
    <w:p>
      <w:pPr>
        <w:spacing w:after="120" w:line="360"/>
        <w:ind w:firstLine="1134"/>
        <w:jc w:val="both"/>
      </w:pPr>
      <w:r>
        <w:rPr>
          <w:rFonts w:ascii="Times New Roman" w:cs="Times New Roman" w:eastAsia="Times New Roman" w:hAnsi="Times New Roman"/>
          <w:sz w:val="28"/>
          <w:szCs w:val="28"/>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1134"/>
        <w:jc w:val="both"/>
      </w:pPr>
      <w:r>
        <w:rPr>
          <w:rFonts w:ascii="Times New Roman" w:cs="Times New Roman" w:eastAsia="Times New Roman" w:hAnsi="Times New Roman"/>
          <w:sz w:val="28"/>
          <w:szCs w:val="28"/>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[17].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1134"/>
        <w:jc w:val="both"/>
      </w:pPr>
      <w:r>
        <w:rPr>
          <w:rFonts w:ascii="Times New Roman" w:cs="Times New Roman" w:eastAsia="Times New Roman" w:hAnsi="Times New Roman"/>
          <w:sz w:val="28"/>
          <w:szCs w:val="28"/>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1134"/>
        <w:jc w:val="both"/>
      </w:pPr>
      <w:r>
        <w:rPr>
          <w:rFonts w:ascii="Times New Roman" w:cs="Times New Roman" w:eastAsia="Times New Roman" w:hAnsi="Times New Roman"/>
          <w:sz w:val="28"/>
          <w:szCs w:val="28"/>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[44],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8"/>
          <w:szCs w:val="28"/>
        </w:rPr>
        <w:t xml:space="preserve">1.6. Етични, правни и академични изисквания при създаване на съдържание с AI</w:t>
      </w:r>
    </w:p>
    <w:p>
      <w:pPr>
        <w:spacing w:after="120" w:line="360"/>
        <w:ind w:firstLine="1134"/>
        <w:jc w:val="both"/>
      </w:pPr>
      <w:r>
        <w:rPr>
          <w:rFonts w:ascii="Times New Roman" w:cs="Times New Roman" w:eastAsia="Times New Roman" w:hAnsi="Times New Roman"/>
          <w:sz w:val="28"/>
          <w:szCs w:val="28"/>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1134"/>
        <w:jc w:val="both"/>
      </w:pPr>
      <w:r>
        <w:rPr>
          <w:rFonts w:ascii="Times New Roman" w:cs="Times New Roman" w:eastAsia="Times New Roman" w:hAnsi="Times New Roman"/>
          <w:sz w:val="28"/>
          <w:szCs w:val="28"/>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[17].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1134"/>
        <w:jc w:val="both"/>
      </w:pPr>
      <w:r>
        <w:rPr>
          <w:rFonts w:ascii="Times New Roman" w:cs="Times New Roman" w:eastAsia="Times New Roman" w:hAnsi="Times New Roman"/>
          <w:sz w:val="28"/>
          <w:szCs w:val="28"/>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[41].</w:t>
      </w:r>
    </w:p>
    <w:p>
      <w:pPr>
        <w:spacing w:after="120" w:line="360"/>
        <w:ind w:firstLine="1134"/>
        <w:jc w:val="both"/>
      </w:pPr>
      <w:r>
        <w:rPr>
          <w:rFonts w:ascii="Times New Roman" w:cs="Times New Roman" w:eastAsia="Times New Roman" w:hAnsi="Times New Roman"/>
          <w:sz w:val="28"/>
          <w:szCs w:val="28"/>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[19].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1134"/>
        <w:jc w:val="both"/>
      </w:pPr>
      <w:r>
        <w:rPr>
          <w:rFonts w:ascii="Times New Roman" w:cs="Times New Roman" w:eastAsia="Times New Roman" w:hAnsi="Times New Roman"/>
          <w:sz w:val="28"/>
          <w:szCs w:val="28"/>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1134"/>
        <w:jc w:val="both"/>
      </w:pPr>
      <w:r>
        <w:rPr>
          <w:rFonts w:ascii="Times New Roman" w:cs="Times New Roman" w:eastAsia="Times New Roman" w:hAnsi="Times New Roman"/>
          <w:sz w:val="28"/>
          <w:szCs w:val="28"/>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1134"/>
        <w:jc w:val="both"/>
      </w:pPr>
      <w:r>
        <w:rPr>
          <w:rFonts w:ascii="Times New Roman" w:cs="Times New Roman" w:eastAsia="Times New Roman" w:hAnsi="Times New Roman"/>
          <w:sz w:val="28"/>
          <w:szCs w:val="28"/>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1134"/>
        <w:jc w:val="both"/>
      </w:pPr>
      <w:r>
        <w:rPr>
          <w:rFonts w:ascii="Times New Roman" w:cs="Times New Roman" w:eastAsia="Times New Roman" w:hAnsi="Times New Roman"/>
          <w:sz w:val="28"/>
          <w:szCs w:val="28"/>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[17].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1134"/>
        <w:jc w:val="both"/>
      </w:pPr>
      <w:r>
        <w:rPr>
          <w:rFonts w:ascii="Times New Roman" w:cs="Times New Roman" w:eastAsia="Times New Roman" w:hAnsi="Times New Roman"/>
          <w:sz w:val="28"/>
          <w:szCs w:val="28"/>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[17].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1134"/>
        <w:jc w:val="both"/>
      </w:pPr>
      <w:r>
        <w:rPr>
          <w:rFonts w:ascii="Times New Roman" w:cs="Times New Roman" w:eastAsia="Times New Roman" w:hAnsi="Times New Roman"/>
          <w:sz w:val="28"/>
          <w:szCs w:val="28"/>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1134"/>
        <w:jc w:val="both"/>
      </w:pPr>
      <w:r>
        <w:rPr>
          <w:rFonts w:ascii="Times New Roman" w:cs="Times New Roman" w:eastAsia="Times New Roman" w:hAnsi="Times New Roman"/>
          <w:sz w:val="28"/>
          <w:szCs w:val="28"/>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1134"/>
        <w:jc w:val="both"/>
      </w:pPr>
      <w:r>
        <w:rPr>
          <w:rFonts w:ascii="Times New Roman" w:cs="Times New Roman" w:eastAsia="Times New Roman" w:hAnsi="Times New Roman"/>
          <w:sz w:val="28"/>
          <w:szCs w:val="28"/>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8"/>
          <w:szCs w:val="28"/>
        </w:rPr>
        <w:t xml:space="preserve">1.7. Подходи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1134"/>
        <w:jc w:val="both"/>
      </w:pPr>
      <w:r>
        <w:rPr>
          <w:rFonts w:ascii="Times New Roman" w:cs="Times New Roman" w:eastAsia="Times New Roman" w:hAnsi="Times New Roman"/>
          <w:sz w:val="28"/>
          <w:szCs w:val="28"/>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[24], а доказателствено обоснованите принципи на мултимедийното учене предоставят емпирично проверена база, върху която такива критерии могат да стъпят [38,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1134"/>
        <w:jc w:val="both"/>
      </w:pPr>
      <w:r>
        <w:rPr>
          <w:rFonts w:ascii="Times New Roman" w:cs="Times New Roman" w:eastAsia="Times New Roman" w:hAnsi="Times New Roman"/>
          <w:sz w:val="28"/>
          <w:szCs w:val="28"/>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[37].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1134"/>
        <w:jc w:val="both"/>
      </w:pPr>
      <w:r>
        <w:rPr>
          <w:rFonts w:ascii="Times New Roman" w:cs="Times New Roman" w:eastAsia="Times New Roman" w:hAnsi="Times New Roman"/>
          <w:sz w:val="28"/>
          <w:szCs w:val="28"/>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[40].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1134"/>
        <w:jc w:val="both"/>
      </w:pPr>
      <w:r>
        <w:rPr>
          <w:rFonts w:ascii="Times New Roman" w:cs="Times New Roman" w:eastAsia="Times New Roman" w:hAnsi="Times New Roman"/>
          <w:sz w:val="28"/>
          <w:szCs w:val="28"/>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1134"/>
        <w:jc w:val="both"/>
      </w:pPr>
      <w:r>
        <w:rPr>
          <w:rFonts w:ascii="Times New Roman" w:cs="Times New Roman" w:eastAsia="Times New Roman" w:hAnsi="Times New Roman"/>
          <w:sz w:val="28"/>
          <w:szCs w:val="28"/>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[29].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1134"/>
        <w:jc w:val="both"/>
      </w:pPr>
      <w:r>
        <w:rPr>
          <w:rFonts w:ascii="Times New Roman" w:cs="Times New Roman" w:eastAsia="Times New Roman" w:hAnsi="Times New Roman"/>
          <w:sz w:val="28"/>
          <w:szCs w:val="28"/>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1134"/>
        <w:jc w:val="both"/>
      </w:pPr>
      <w:r>
        <w:rPr>
          <w:rFonts w:ascii="Times New Roman" w:cs="Times New Roman" w:eastAsia="Times New Roman" w:hAnsi="Times New Roman"/>
          <w:sz w:val="28"/>
          <w:szCs w:val="28"/>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1134"/>
        <w:jc w:val="both"/>
      </w:pPr>
      <w:r>
        <w:rPr>
          <w:rFonts w:ascii="Times New Roman" w:cs="Times New Roman" w:eastAsia="Times New Roman" w:hAnsi="Times New Roman"/>
          <w:sz w:val="28"/>
          <w:szCs w:val="28"/>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1134"/>
        <w:jc w:val="both"/>
      </w:pPr>
      <w:r>
        <w:rPr>
          <w:rFonts w:ascii="Times New Roman" w:cs="Times New Roman" w:eastAsia="Times New Roman" w:hAnsi="Times New Roman"/>
          <w:sz w:val="28"/>
          <w:szCs w:val="28"/>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1134"/>
        <w:jc w:val="both"/>
      </w:pPr>
      <w:r>
        <w:rPr>
          <w:rFonts w:ascii="Times New Roman" w:cs="Times New Roman" w:eastAsia="Times New Roman" w:hAnsi="Times New Roman"/>
          <w:sz w:val="28"/>
          <w:szCs w:val="28"/>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1134"/>
        <w:jc w:val="both"/>
      </w:pPr>
      <w:r>
        <w:rPr>
          <w:rFonts w:ascii="Times New Roman" w:cs="Times New Roman" w:eastAsia="Times New Roman" w:hAnsi="Times New Roman"/>
          <w:sz w:val="28"/>
          <w:szCs w:val="28"/>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8"/>
          <w:szCs w:val="28"/>
        </w:rPr>
        <w:t xml:space="preserve">ИЗВОДИ ОТ ПЪРВА ГЛАВА</w:t>
      </w:r>
    </w:p>
    <w:p>
      <w:pPr>
        <w:spacing w:after="120" w:line="360"/>
        <w:ind w:firstLine="1134"/>
        <w:jc w:val="both"/>
      </w:pPr>
      <w:r>
        <w:rPr>
          <w:rFonts w:ascii="Times New Roman" w:cs="Times New Roman" w:eastAsia="Times New Roman" w:hAnsi="Times New Roman"/>
          <w:sz w:val="28"/>
          <w:szCs w:val="28"/>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1134"/>
        <w:jc w:val="both"/>
      </w:pPr>
      <w:r>
        <w:rPr>
          <w:rFonts w:ascii="Times New Roman" w:cs="Times New Roman" w:eastAsia="Times New Roman" w:hAnsi="Times New Roman"/>
          <w:sz w:val="28"/>
          <w:szCs w:val="28"/>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1134"/>
        <w:jc w:val="both"/>
      </w:pPr>
      <w:r>
        <w:rPr>
          <w:rFonts w:ascii="Times New Roman" w:cs="Times New Roman" w:eastAsia="Times New Roman" w:hAnsi="Times New Roman"/>
          <w:sz w:val="28"/>
          <w:szCs w:val="28"/>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1134"/>
        <w:jc w:val="both"/>
      </w:pPr>
      <w:r>
        <w:rPr>
          <w:rFonts w:ascii="Times New Roman" w:cs="Times New Roman" w:eastAsia="Times New Roman" w:hAnsi="Times New Roman"/>
          <w:sz w:val="28"/>
          <w:szCs w:val="28"/>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1134"/>
        <w:jc w:val="both"/>
      </w:pPr>
      <w:r>
        <w:rPr>
          <w:rFonts w:ascii="Times New Roman" w:cs="Times New Roman" w:eastAsia="Times New Roman" w:hAnsi="Times New Roman"/>
          <w:sz w:val="28"/>
          <w:szCs w:val="28"/>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1134"/>
        <w:jc w:val="both"/>
      </w:pPr>
      <w:r>
        <w:rPr>
          <w:rFonts w:ascii="Times New Roman" w:cs="Times New Roman" w:eastAsia="Times New Roman" w:hAnsi="Times New Roman"/>
          <w:sz w:val="28"/>
          <w:szCs w:val="28"/>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1134"/>
        <w:jc w:val="both"/>
      </w:pPr>
      <w:r>
        <w:rPr>
          <w:rFonts w:ascii="Times New Roman" w:cs="Times New Roman" w:eastAsia="Times New Roman" w:hAnsi="Times New Roman"/>
          <w:sz w:val="28"/>
          <w:szCs w:val="28"/>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[29],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1134"/>
        <w:jc w:val="both"/>
      </w:pPr>
      <w:r>
        <w:rPr>
          <w:rFonts w:ascii="Times New Roman" w:cs="Times New Roman" w:eastAsia="Times New Roman" w:hAnsi="Times New Roman"/>
          <w:sz w:val="28"/>
          <w:szCs w:val="28"/>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2.1. Съществуващи подходи и критерии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1134"/>
        <w:jc w:val="both"/>
      </w:pPr>
      <w:r>
        <w:rPr>
          <w:rFonts w:ascii="Times New Roman" w:cs="Times New Roman" w:eastAsia="Times New Roman" w:hAnsi="Times New Roman"/>
          <w:sz w:val="28"/>
          <w:szCs w:val="28"/>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1134"/>
        <w:jc w:val="both"/>
      </w:pPr>
      <w:r>
        <w:rPr>
          <w:rFonts w:ascii="Times New Roman" w:cs="Times New Roman" w:eastAsia="Times New Roman" w:hAnsi="Times New Roman"/>
          <w:sz w:val="28"/>
          <w:szCs w:val="28"/>
        </w:rPr>
        <w:t xml:space="preserve">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оригиналност с експертен преглед [7].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1134"/>
        <w:jc w:val="both"/>
      </w:pPr>
      <w:r>
        <w:rPr>
          <w:rFonts w:ascii="Times New Roman" w:cs="Times New Roman" w:eastAsia="Times New Roman" w:hAnsi="Times New Roman"/>
          <w:sz w:val="28"/>
          <w:szCs w:val="28"/>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[36].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1134"/>
        <w:jc w:val="both"/>
      </w:pPr>
      <w:r>
        <w:rPr>
          <w:rFonts w:ascii="Times New Roman" w:cs="Times New Roman" w:eastAsia="Times New Roman" w:hAnsi="Times New Roman"/>
          <w:sz w:val="28"/>
          <w:szCs w:val="28"/>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[45], а мулти-агентните архитектури като Instructional Agents включват вътрешни роли за преглед и проверка на произведените материали [23].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[41].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1134"/>
        <w:jc w:val="both"/>
      </w:pPr>
      <w:r>
        <w:rPr>
          <w:rFonts w:ascii="Times New Roman" w:cs="Times New Roman" w:eastAsia="Times New Roman" w:hAnsi="Times New Roman"/>
          <w:sz w:val="28"/>
          <w:szCs w:val="28"/>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1134"/>
        <w:jc w:val="both"/>
      </w:pPr>
      <w:r>
        <w:rPr>
          <w:rFonts w:ascii="Times New Roman" w:cs="Times New Roman" w:eastAsia="Times New Roman" w:hAnsi="Times New Roman"/>
          <w:sz w:val="28"/>
          <w:szCs w:val="28"/>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8"/>
          <w:szCs w:val="28"/>
        </w:rPr>
        <w:t xml:space="preserve">2.2. Критерии за научна коректност и достоверност на учебното съдържание</w:t>
      </w:r>
    </w:p>
    <w:p>
      <w:pPr>
        <w:spacing w:after="120" w:line="360"/>
        <w:ind w:firstLine="1134"/>
        <w:jc w:val="both"/>
      </w:pPr>
      <w:r>
        <w:rPr>
          <w:rFonts w:ascii="Times New Roman" w:cs="Times New Roman" w:eastAsia="Times New Roman" w:hAnsi="Times New Roman"/>
          <w:sz w:val="28"/>
          <w:szCs w:val="28"/>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1134"/>
        <w:jc w:val="both"/>
      </w:pPr>
      <w:r>
        <w:rPr>
          <w:rFonts w:ascii="Times New Roman" w:cs="Times New Roman" w:eastAsia="Times New Roman" w:hAnsi="Times New Roman"/>
          <w:sz w:val="28"/>
          <w:szCs w:val="28"/>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[17].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[34].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1134"/>
        <w:jc w:val="both"/>
      </w:pPr>
      <w:r>
        <w:rPr>
          <w:rFonts w:ascii="Times New Roman" w:cs="Times New Roman" w:eastAsia="Times New Roman" w:hAnsi="Times New Roman"/>
          <w:sz w:val="28"/>
          <w:szCs w:val="28"/>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1134"/>
        <w:jc w:val="both"/>
      </w:pPr>
      <w:r>
        <w:rPr>
          <w:rFonts w:ascii="Times New Roman" w:cs="Times New Roman" w:eastAsia="Times New Roman" w:hAnsi="Times New Roman"/>
          <w:sz w:val="28"/>
          <w:szCs w:val="28"/>
        </w:rPr>
        <w:t xml:space="preserve">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[11]. Тази публично обявена динамика има две следствия за оценяването. Първото е количествено: за период от три години — типичното време между обучението на един езиков модел и използването на негов изход — предметната област е сменила няколко основни издания, а част от препоръчаните практики са отпаднали.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1134"/>
        <w:jc w:val="both"/>
      </w:pPr>
      <w:r>
        <w:rPr>
          <w:rFonts w:ascii="Times New Roman" w:cs="Times New Roman" w:eastAsia="Times New Roman" w:hAnsi="Times New Roman"/>
          <w:sz w:val="28"/>
          <w:szCs w:val="28"/>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1134"/>
        <w:jc w:val="both"/>
      </w:pPr>
      <w:r>
        <w:rPr>
          <w:rFonts w:ascii="Times New Roman" w:cs="Times New Roman" w:eastAsia="Times New Roman" w:hAnsi="Times New Roman"/>
          <w:sz w:val="28"/>
          <w:szCs w:val="28"/>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[17].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1134"/>
        <w:jc w:val="both"/>
      </w:pPr>
      <w:r>
        <w:rPr>
          <w:rFonts w:ascii="Times New Roman" w:cs="Times New Roman" w:eastAsia="Times New Roman" w:hAnsi="Times New Roman"/>
          <w:sz w:val="28"/>
          <w:szCs w:val="28"/>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[43].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8"/>
          <w:szCs w:val="28"/>
        </w:rPr>
        <w:t xml:space="preserve">2.3. Критерии за дидактическа пригодност и съответствие с учебните цели</w:t>
      </w:r>
    </w:p>
    <w:p>
      <w:pPr>
        <w:spacing w:after="120" w:line="360"/>
        <w:ind w:firstLine="1134"/>
        <w:jc w:val="both"/>
      </w:pPr>
      <w:r>
        <w:rPr>
          <w:rFonts w:ascii="Times New Roman" w:cs="Times New Roman" w:eastAsia="Times New Roman" w:hAnsi="Times New Roman"/>
          <w:sz w:val="28"/>
          <w:szCs w:val="28"/>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1134"/>
        <w:jc w:val="both"/>
      </w:pPr>
      <w:r>
        <w:rPr>
          <w:rFonts w:ascii="Times New Roman" w:cs="Times New Roman" w:eastAsia="Times New Roman" w:hAnsi="Times New Roman"/>
          <w:sz w:val="28"/>
          <w:szCs w:val="28"/>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[38,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[30, с. 44–45].</w:t>
      </w:r>
    </w:p>
    <w:p>
      <w:pPr>
        <w:spacing w:after="120" w:line="360"/>
        <w:ind w:firstLine="1134"/>
        <w:jc w:val="both"/>
      </w:pPr>
      <w:r>
        <w:rPr>
          <w:rFonts w:ascii="Times New Roman" w:cs="Times New Roman" w:eastAsia="Times New Roman" w:hAnsi="Times New Roman"/>
          <w:sz w:val="28"/>
          <w:szCs w:val="28"/>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[45]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1134"/>
        <w:jc w:val="both"/>
      </w:pPr>
      <w:r>
        <w:rPr>
          <w:rFonts w:ascii="Times New Roman" w:cs="Times New Roman" w:eastAsia="Times New Roman" w:hAnsi="Times New Roman"/>
          <w:sz w:val="28"/>
          <w:szCs w:val="28"/>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[20].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1134"/>
        <w:jc w:val="both"/>
      </w:pPr>
      <w:r>
        <w:rPr>
          <w:rFonts w:ascii="Times New Roman" w:cs="Times New Roman" w:eastAsia="Times New Roman" w:hAnsi="Times New Roman"/>
          <w:sz w:val="28"/>
          <w:szCs w:val="28"/>
        </w:rPr>
        <w:t xml:space="preserve">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1134"/>
        <w:jc w:val="both"/>
      </w:pPr>
      <w:r>
        <w:rPr>
          <w:rFonts w:ascii="Times New Roman" w:cs="Times New Roman" w:eastAsia="Times New Roman" w:hAnsi="Times New Roman"/>
          <w:sz w:val="28"/>
          <w:szCs w:val="28"/>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8"/>
          <w:szCs w:val="28"/>
        </w:rPr>
        <w:t xml:space="preserve">2.4. Критерии за езикова яснота, структура и достъпност</w:t>
      </w:r>
    </w:p>
    <w:p>
      <w:pPr>
        <w:spacing w:after="120" w:line="360"/>
        <w:ind w:firstLine="1134"/>
        <w:jc w:val="both"/>
      </w:pPr>
      <w:r>
        <w:rPr>
          <w:rFonts w:ascii="Times New Roman" w:cs="Times New Roman" w:eastAsia="Times New Roman" w:hAnsi="Times New Roman"/>
          <w:sz w:val="28"/>
          <w:szCs w:val="28"/>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1134"/>
        <w:jc w:val="both"/>
      </w:pPr>
      <w:r>
        <w:rPr>
          <w:rFonts w:ascii="Times New Roman" w:cs="Times New Roman" w:eastAsia="Times New Roman" w:hAnsi="Times New Roman"/>
          <w:sz w:val="28"/>
          <w:szCs w:val="28"/>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[17].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1134"/>
        <w:jc w:val="both"/>
      </w:pPr>
      <w:r>
        <w:rPr>
          <w:rFonts w:ascii="Times New Roman" w:cs="Times New Roman" w:eastAsia="Times New Roman" w:hAnsi="Times New Roman"/>
          <w:sz w:val="28"/>
          <w:szCs w:val="28"/>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[35].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1134"/>
        <w:jc w:val="both"/>
      </w:pPr>
      <w:r>
        <w:rPr>
          <w:rFonts w:ascii="Times New Roman" w:cs="Times New Roman" w:eastAsia="Times New Roman" w:hAnsi="Times New Roman"/>
          <w:sz w:val="28"/>
          <w:szCs w:val="28"/>
        </w:rPr>
        <w:t xml:space="preserve">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1134"/>
        <w:jc w:val="both"/>
      </w:pPr>
      <w:r>
        <w:rPr>
          <w:rFonts w:ascii="Times New Roman" w:cs="Times New Roman" w:eastAsia="Times New Roman" w:hAnsi="Times New Roman"/>
          <w:sz w:val="28"/>
          <w:szCs w:val="28"/>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[38,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1134"/>
        <w:jc w:val="both"/>
      </w:pPr>
      <w:r>
        <w:rPr>
          <w:rFonts w:ascii="Times New Roman" w:cs="Times New Roman" w:eastAsia="Times New Roman" w:hAnsi="Times New Roman"/>
          <w:sz w:val="28"/>
          <w:szCs w:val="28"/>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[13].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[21].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8"/>
          <w:szCs w:val="28"/>
        </w:rPr>
        <w:t xml:space="preserve">2.5. Критерии за оригиналност, етична допустимост и академична коректност</w:t>
      </w:r>
    </w:p>
    <w:p>
      <w:pPr>
        <w:spacing w:after="120" w:line="360"/>
        <w:ind w:firstLine="1134"/>
        <w:jc w:val="both"/>
      </w:pPr>
      <w:r>
        <w:rPr>
          <w:rFonts w:ascii="Times New Roman" w:cs="Times New Roman" w:eastAsia="Times New Roman" w:hAnsi="Times New Roman"/>
          <w:sz w:val="28"/>
          <w:szCs w:val="28"/>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1134"/>
        <w:jc w:val="both"/>
      </w:pPr>
      <w:r>
        <w:rPr>
          <w:rFonts w:ascii="Times New Roman" w:cs="Times New Roman" w:eastAsia="Times New Roman" w:hAnsi="Times New Roman"/>
          <w:sz w:val="28"/>
          <w:szCs w:val="28"/>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1134"/>
        <w:jc w:val="both"/>
      </w:pPr>
      <w:r>
        <w:rPr>
          <w:rFonts w:ascii="Times New Roman" w:cs="Times New Roman" w:eastAsia="Times New Roman" w:hAnsi="Times New Roman"/>
          <w:sz w:val="28"/>
          <w:szCs w:val="28"/>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[31].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1134"/>
        <w:jc w:val="both"/>
      </w:pPr>
      <w:r>
        <w:rPr>
          <w:rFonts w:ascii="Times New Roman" w:cs="Times New Roman" w:eastAsia="Times New Roman" w:hAnsi="Times New Roman"/>
          <w:sz w:val="28"/>
          <w:szCs w:val="28"/>
        </w:rPr>
        <w:t xml:space="preserve">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[1].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1134"/>
        <w:jc w:val="both"/>
      </w:pPr>
      <w:r>
        <w:rPr>
          <w:rFonts w:ascii="Times New Roman" w:cs="Times New Roman" w:eastAsia="Times New Roman" w:hAnsi="Times New Roman"/>
          <w:sz w:val="28"/>
          <w:szCs w:val="28"/>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[32].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1134"/>
        <w:jc w:val="both"/>
      </w:pPr>
      <w:r>
        <w:rPr>
          <w:rFonts w:ascii="Times New Roman" w:cs="Times New Roman" w:eastAsia="Times New Roman" w:hAnsi="Times New Roman"/>
          <w:sz w:val="28"/>
          <w:szCs w:val="28"/>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[17].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1134"/>
        <w:jc w:val="both"/>
      </w:pPr>
      <w:r>
        <w:rPr>
          <w:rFonts w:ascii="Times New Roman" w:cs="Times New Roman" w:eastAsia="Times New Roman" w:hAnsi="Times New Roman"/>
          <w:sz w:val="28"/>
          <w:szCs w:val="28"/>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8"/>
          <w:szCs w:val="28"/>
        </w:rPr>
        <w:t xml:space="preserve">2.6. Анализ на типични дефицити в съдържание, създадено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1134"/>
        <w:jc w:val="both"/>
      </w:pPr>
      <w:r>
        <w:rPr>
          <w:rFonts w:ascii="Times New Roman" w:cs="Times New Roman" w:eastAsia="Times New Roman" w:hAnsi="Times New Roman"/>
          <w:sz w:val="28"/>
          <w:szCs w:val="28"/>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[34],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1134"/>
        <w:jc w:val="both"/>
      </w:pPr>
      <w:r>
        <w:rPr>
          <w:rFonts w:ascii="Times New Roman" w:cs="Times New Roman" w:eastAsia="Times New Roman" w:hAnsi="Times New Roman"/>
          <w:sz w:val="28"/>
          <w:szCs w:val="28"/>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[45];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1134"/>
        <w:jc w:val="both"/>
      </w:pPr>
      <w:r>
        <w:rPr>
          <w:rFonts w:ascii="Times New Roman" w:cs="Times New Roman" w:eastAsia="Times New Roman" w:hAnsi="Times New Roman"/>
          <w:sz w:val="28"/>
          <w:szCs w:val="28"/>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[17].</w:t>
      </w:r>
    </w:p>
    <w:p>
      <w:pPr>
        <w:spacing w:after="120" w:line="360"/>
        <w:ind w:firstLine="1134"/>
        <w:jc w:val="both"/>
      </w:pPr>
      <w:r>
        <w:rPr>
          <w:rFonts w:ascii="Times New Roman" w:cs="Times New Roman" w:eastAsia="Times New Roman" w:hAnsi="Times New Roman"/>
          <w:sz w:val="28"/>
          <w:szCs w:val="28"/>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8"/>
          <w:szCs w:val="28"/>
        </w:rPr>
        <w:t xml:space="preserve">2.7. Извеждане на изисквания към бъдещ модел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1134"/>
        <w:jc w:val="both"/>
      </w:pPr>
      <w:r>
        <w:rPr>
          <w:rFonts w:ascii="Times New Roman" w:cs="Times New Roman" w:eastAsia="Times New Roman" w:hAnsi="Times New Roman"/>
          <w:sz w:val="28"/>
          <w:szCs w:val="28"/>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1134"/>
        <w:jc w:val="both"/>
      </w:pPr>
      <w:r>
        <w:rPr>
          <w:rFonts w:ascii="Times New Roman" w:cs="Times New Roman" w:eastAsia="Times New Roman" w:hAnsi="Times New Roman"/>
          <w:sz w:val="28"/>
          <w:szCs w:val="28"/>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1134"/>
        <w:jc w:val="both"/>
      </w:pPr>
      <w:r>
        <w:rPr>
          <w:rFonts w:ascii="Times New Roman" w:cs="Times New Roman" w:eastAsia="Times New Roman" w:hAnsi="Times New Roman"/>
          <w:sz w:val="28"/>
          <w:szCs w:val="28"/>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проследимост на процеса (осигурена процедурно)</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обозначени заети елементи; примери без приписвания, които темата не налага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необозначени заемания; стереотипи в примерите; неотчетена употреба</w:t>
            </w:r>
          </w:p>
        </w:tc>
      </w:tr>
    </w:tbl>
    <w:p>
      <w:pPr>
        <w:spacing w:after="120" w:line="360"/>
        <w:ind w:firstLine="1134"/>
        <w:jc w:val="both"/>
      </w:pPr>
      <w:r>
        <w:rPr>
          <w:rFonts w:ascii="Times New Roman" w:cs="Times New Roman" w:eastAsia="Times New Roman" w:hAnsi="Times New Roman"/>
          <w:sz w:val="28"/>
          <w:szCs w:val="28"/>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8"/>
          <w:szCs w:val="28"/>
        </w:rPr>
        <w:t xml:space="preserve">ИЗВОДИ ОТ ВТОРА ГЛАВА</w:t>
      </w:r>
    </w:p>
    <w:p>
      <w:pPr>
        <w:spacing w:after="120" w:line="360"/>
        <w:ind w:firstLine="1134"/>
        <w:jc w:val="both"/>
      </w:pPr>
      <w:r>
        <w:rPr>
          <w:rFonts w:ascii="Times New Roman" w:cs="Times New Roman" w:eastAsia="Times New Roman" w:hAnsi="Times New Roman"/>
          <w:sz w:val="28"/>
          <w:szCs w:val="28"/>
        </w:rPr>
        <w:t xml:space="preserve">Анализът във втора глава води до следните изводи.</w:t>
      </w:r>
    </w:p>
    <w:p>
      <w:pPr>
        <w:spacing w:after="120" w:line="360"/>
        <w:ind w:firstLine="1134"/>
        <w:jc w:val="both"/>
      </w:pPr>
      <w:r>
        <w:rPr>
          <w:rFonts w:ascii="Times New Roman" w:cs="Times New Roman" w:eastAsia="Times New Roman" w:hAnsi="Times New Roman"/>
          <w:sz w:val="28"/>
          <w:szCs w:val="28"/>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1134"/>
        <w:jc w:val="both"/>
      </w:pPr>
      <w:r>
        <w:rPr>
          <w:rFonts w:ascii="Times New Roman" w:cs="Times New Roman" w:eastAsia="Times New Roman" w:hAnsi="Times New Roman"/>
          <w:sz w:val="28"/>
          <w:szCs w:val="28"/>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1134"/>
        <w:jc w:val="both"/>
      </w:pPr>
      <w:r>
        <w:rPr>
          <w:rFonts w:ascii="Times New Roman" w:cs="Times New Roman" w:eastAsia="Times New Roman" w:hAnsi="Times New Roman"/>
          <w:sz w:val="28"/>
          <w:szCs w:val="28"/>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1134"/>
        <w:jc w:val="both"/>
      </w:pPr>
      <w:r>
        <w:rPr>
          <w:rFonts w:ascii="Times New Roman" w:cs="Times New Roman" w:eastAsia="Times New Roman" w:hAnsi="Times New Roman"/>
          <w:sz w:val="28"/>
          <w:szCs w:val="28"/>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1134"/>
        <w:jc w:val="both"/>
      </w:pPr>
      <w:r>
        <w:rPr>
          <w:rFonts w:ascii="Times New Roman" w:cs="Times New Roman" w:eastAsia="Times New Roman" w:hAnsi="Times New Roman"/>
          <w:sz w:val="28"/>
          <w:szCs w:val="28"/>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3.1. Принципи при разработване на модела</w:t>
      </w:r>
    </w:p>
    <w:p>
      <w:pPr>
        <w:spacing w:after="120" w:line="360"/>
        <w:ind w:firstLine="1134"/>
        <w:jc w:val="both"/>
      </w:pPr>
      <w:r>
        <w:rPr>
          <w:rFonts w:ascii="Times New Roman" w:cs="Times New Roman" w:eastAsia="Times New Roman" w:hAnsi="Times New Roman"/>
          <w:sz w:val="28"/>
          <w:szCs w:val="28"/>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1134"/>
        <w:jc w:val="both"/>
      </w:pPr>
      <w:r>
        <w:rPr>
          <w:rFonts w:ascii="Times New Roman" w:cs="Times New Roman" w:eastAsia="Times New Roman" w:hAnsi="Times New Roman"/>
          <w:sz w:val="28"/>
          <w:szCs w:val="28"/>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1134"/>
        <w:jc w:val="both"/>
      </w:pPr>
      <w:r>
        <w:rPr>
          <w:rFonts w:ascii="Times New Roman" w:cs="Times New Roman" w:eastAsia="Times New Roman" w:hAnsi="Times New Roman"/>
          <w:sz w:val="28"/>
          <w:szCs w:val="28"/>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1134"/>
        <w:jc w:val="both"/>
      </w:pPr>
      <w:r>
        <w:rPr>
          <w:rFonts w:ascii="Times New Roman" w:cs="Times New Roman" w:eastAsia="Times New Roman" w:hAnsi="Times New Roman"/>
          <w:sz w:val="28"/>
          <w:szCs w:val="28"/>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1134"/>
        <w:jc w:val="both"/>
      </w:pPr>
      <w:r>
        <w:rPr>
          <w:rFonts w:ascii="Times New Roman" w:cs="Times New Roman" w:eastAsia="Times New Roman" w:hAnsi="Times New Roman"/>
          <w:sz w:val="28"/>
          <w:szCs w:val="28"/>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8"/>
          <w:szCs w:val="28"/>
        </w:rPr>
        <w:t xml:space="preserve">3.2. Структура на предложения модел</w:t>
      </w:r>
    </w:p>
    <w:p>
      <w:pPr>
        <w:spacing w:after="120" w:line="360"/>
        <w:ind w:firstLine="1134"/>
        <w:jc w:val="both"/>
      </w:pPr>
      <w:r>
        <w:rPr>
          <w:rFonts w:ascii="Times New Roman" w:cs="Times New Roman" w:eastAsia="Times New Roman" w:hAnsi="Times New Roman"/>
          <w:sz w:val="28"/>
          <w:szCs w:val="28"/>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1134"/>
        <w:jc w:val="both"/>
      </w:pPr>
      <w:r>
        <w:rPr>
          <w:rFonts w:ascii="Times New Roman" w:cs="Times New Roman" w:eastAsia="Times New Roman" w:hAnsi="Times New Roman"/>
          <w:sz w:val="28"/>
          <w:szCs w:val="28"/>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1134"/>
        <w:jc w:val="both"/>
      </w:pPr>
      <w:r>
        <w:rPr>
          <w:rFonts w:ascii="Times New Roman" w:cs="Times New Roman" w:eastAsia="Times New Roman" w:hAnsi="Times New Roman"/>
          <w:sz w:val="28"/>
          <w:szCs w:val="28"/>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1134"/>
        <w:jc w:val="both"/>
      </w:pPr>
      <w:r>
        <w:rPr>
          <w:rFonts w:ascii="Times New Roman" w:cs="Times New Roman" w:eastAsia="Times New Roman" w:hAnsi="Times New Roman"/>
          <w:sz w:val="28"/>
          <w:szCs w:val="28"/>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1134"/>
        <w:jc w:val="both"/>
      </w:pPr>
      <w:r>
        <w:rPr>
          <w:rFonts w:ascii="Times New Roman" w:cs="Times New Roman" w:eastAsia="Times New Roman" w:hAnsi="Times New Roman"/>
          <w:sz w:val="28"/>
          <w:szCs w:val="28"/>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8"/>
          <w:szCs w:val="28"/>
        </w:rPr>
        <w:t xml:space="preserve">3.3. Основни области, критерии и показатели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разгръща съдържанието на модела: четирите области, обозначени О1–О4, техните критерии (К) и показатели (П). Кодовете позволяват еднозначно позоваване в оценъчната карта и в анализа на резултатите.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1134"/>
        <w:jc w:val="both"/>
      </w:pPr>
      <w:r>
        <w:rPr>
          <w:rFonts w:ascii="Times New Roman" w:cs="Times New Roman" w:eastAsia="Times New Roman" w:hAnsi="Times New Roman"/>
          <w:sz w:val="28"/>
          <w:szCs w:val="28"/>
        </w:rPr>
        <w:t xml:space="preserve">Област О1 — съдържателно качество — операционализира критериите от точка 2.2 в три критерия. О1.К1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О1.К2 „Актуалност": П1 — съдържанието съответства на актуалното състояние на областта (действаща версия, съвременна терминология, препоръчани практики); П2 — не се представят отпаднали или несъвместими решения като текущи. О1.К3 „Надеждност на източниците": П1 — всички цитирани в материала източници съществуват; П2 — цитираните източници действително съдържат приписаните им твърдения. За материали, които не цитират източници, критерият е неприложим и това се отбелязва с основание в картата; проверимостта на твърденията в такива материали се улавя от О1.К1.П1 и не се отчита повторно.</w:t>
      </w:r>
    </w:p>
    <w:p>
      <w:pPr>
        <w:spacing w:after="120" w:line="360"/>
        <w:ind w:firstLine="1134"/>
        <w:jc w:val="both"/>
      </w:pPr>
      <w:r>
        <w:rPr>
          <w:rFonts w:ascii="Times New Roman" w:cs="Times New Roman" w:eastAsia="Times New Roman" w:hAnsi="Times New Roman"/>
          <w:sz w:val="28"/>
          <w:szCs w:val="28"/>
        </w:rPr>
        <w:t xml:space="preserve">Област О2 — дидактическо качество — пренася критериите от точка 2.3 в четири критерия. О2.К1 „Съответствие с учебните цели": П1 — всяка декларирана цел е покрита от съдържанието; П2 — материалът не съдържа съществени части, необслужващи нито една цел. О2.К2 „Педагогическа последователност": П1 — всяко ключово понятие е въведено с точна дефиниция преди първата си употреба; П2 — изложението е сегментирано на усвоими смислови единици в логичен ред. О2.К3 „Активно учене": П1 — налични са примери и задачи за прилагане на всяка основна цел; П2 — обратната връзка към задачите обяснява, а не само констатира. О2.К4 „Съответствие с аудиторията": П1 — предпоставеното знание не надхвърля декларираното за аудиторията; П2 — обемът на материала съответства на заявения. Вторият показател е обвързан със заявения, а не с някакъв абстрактно подходящ обем по две причини. Първо, заявката е единственият документиран и проверим ориентир: съответствието се установява с преброяване, а не с преценка. Второ, така показателят измерва нещо, което е специфично за генеративните инструменти — доколко изпълняват изрично зададено количествено ограничение. Преобразуването на обема в учебно време остава преценка на преподавателя, който познава курса, и затова не се вписва в модела като отделно изискване.</w:t>
      </w:r>
    </w:p>
    <w:p>
      <w:pPr>
        <w:spacing w:after="120" w:line="360"/>
        <w:ind w:firstLine="1134"/>
        <w:jc w:val="both"/>
      </w:pPr>
      <w:r>
        <w:rPr>
          <w:rFonts w:ascii="Times New Roman" w:cs="Times New Roman" w:eastAsia="Times New Roman" w:hAnsi="Times New Roman"/>
          <w:sz w:val="28"/>
          <w:szCs w:val="28"/>
        </w:rPr>
        <w:t xml:space="preserve">Област О3 — езикова и структурна пригодност — обхваща критериите от точка 2.4 в четири критерия. О3.К1 „Разбираемост и стил": П1 — изказът е адаптиран към равнището на аудиторията; П2 — езикът е естествен, без буквално пренесени чуждоезични конструкции. О3.К2 „Терминологична еднозначност": единственият ѝ показател П1 изисква терминологията да е еднозначна в целия материал — едно понятие да се назовава по един начин и един термин да не означава две неща. О3.К3 „Организация и икономия": П1 — заглавията и деленето отразяват съдържанието; П2 — материалът не съдържа излишен текст без учебна стойност (формулни уводи, повторения, украса). О3.К4 „Достъпност": П1 — материалът е използваем при различни начини на възприемане (алтернативи на визуалното, четивна структура); П2 — оформлението не създава излишни бариери за обучаеми с различни възможности.</w:t>
      </w:r>
    </w:p>
    <w:p>
      <w:pPr>
        <w:spacing w:after="120" w:line="360"/>
        <w:ind w:firstLine="1134"/>
        <w:jc w:val="both"/>
      </w:pPr>
      <w:r>
        <w:rPr>
          <w:rFonts w:ascii="Times New Roman" w:cs="Times New Roman" w:eastAsia="Times New Roman" w:hAnsi="Times New Roman"/>
          <w:sz w:val="28"/>
          <w:szCs w:val="28"/>
        </w:rPr>
        <w:t xml:space="preserve">Област О4 — етична и академична коректност — операционализира точка 2.5 в два критерия. О4.К1 „Оригиналност": П1 — характерни пасажи от материала не показват близост до защитени източници при съпоставка; П2 — действително заетите елементи са обозначени. О4.К2 „Етична допустимост": П1 — примерите не приписват роли, способности или поведение по пол, етнос, възраст или произход, когато предметната материя не го налага; П2 — съдържанието е уместно за възрастта и контекста на аудиторията.</w:t>
      </w:r>
    </w:p>
    <w:p>
      <w:pPr>
        <w:spacing w:after="120" w:line="360"/>
        <w:ind w:firstLine="1134"/>
        <w:jc w:val="both"/>
      </w:pPr>
      <w:r>
        <w:rPr>
          <w:rFonts w:ascii="Times New Roman" w:cs="Times New Roman" w:eastAsia="Times New Roman" w:hAnsi="Times New Roman"/>
          <w:sz w:val="28"/>
          <w:szCs w:val="28"/>
        </w:rPr>
        <w:t xml:space="preserve">Формулировката на О4.К2.П1 заслужава уточнение, тъй като изисква проверимост там, където преценката най-лесно се изражда в мнение. Изискване от вида „материалът не съдържа стереотипи и пристрастия" е отрицание без референт: оценяващият няма спрямо какво да го установи и на практика го приема или отхвърля по усет, което противоречи на принципа за проверимост от точка 3.1. Приетата формулировка обвързва показателя с две наблюдаеми неща — изчерпателния списък на срещанията на лица в примерите и предметната материя на темата. Въпросът става установим: налага ли темата точно това приписване на роли и поведение. Доказателството е изброяване на срещанията, а не впечатление от прочита. Когато материалът изобщо не съдържа примери с лица, което при техническото учебно съдържание е обичайно, показателят се отбелязва като неприложим.</w:t>
      </w:r>
    </w:p>
    <w:p>
      <w:pPr>
        <w:spacing w:after="120" w:line="360"/>
        <w:ind w:firstLine="1134"/>
        <w:jc w:val="both"/>
      </w:pPr>
      <w:r>
        <w:rPr>
          <w:rFonts w:ascii="Times New Roman" w:cs="Times New Roman" w:eastAsia="Times New Roman" w:hAnsi="Times New Roman"/>
          <w:sz w:val="28"/>
          <w:szCs w:val="28"/>
        </w:rPr>
        <w:t xml:space="preserve">Отпадането на трети критерий в тази област също произтича от изискването за проверимост. Първоначалният вариант на модела съдържаше критерий „Прозрачност на произхода" с показатели за декларирана употреба на генеративен инструмент и за документиран процес на създаване. Прилагането му обаче показва, че той не може да приеме стойност, различна от отрицателната: генериран текст не съдържа декларация за собствения си произход, тъй като инструментът няма основание да я постави, а жанрът на учебния материал не я предвижда. Показател, чиято стойност е предизвестена независимо от оценявания материал, не измерва негово свойство и присъствието му в оценъчната карта утежнява оценяването, без да добавя различаване между материалите. Изискването не отпада по същество: то е задължение на лицето, което пуска материала в употреба, а не характеристика на генерирания текст, и затова мястото му е в процедурата по точка 3.6.</w:t>
      </w:r>
    </w:p>
    <w:p>
      <w:pPr>
        <w:spacing w:after="120" w:line="360"/>
        <w:ind w:firstLine="1134"/>
        <w:jc w:val="both"/>
      </w:pPr>
      <w:r>
        <w:rPr>
          <w:rFonts w:ascii="Times New Roman" w:cs="Times New Roman" w:eastAsia="Times New Roman" w:hAnsi="Times New Roman"/>
          <w:sz w:val="28"/>
          <w:szCs w:val="28"/>
        </w:rPr>
        <w:t xml:space="preserve">Така дефинираната система съдържа тринадесет критерия и двадесет и пет проверими твърдения. Дванадесет от критериите имат по два показателя, а О3.К2 — един; асиметрията е предпочетена пред изкуственото разделяне на един въпрос на два, за да се запази правилността на числото. Първоначалният вариант съдържаше и втори показател в тази област — изискване всеки термин да бъде въведен преди употребата си — който обаче се оказа неразличим по същество от О2.К2.П1. Формулировките се разминаваха словесно, но проверката беше една и съща, поради което едно нарушение се отчиташе два пъти и в две различни области, изкривявайки съответните им нива. Двата показателя са слети в О2.К2.П1, а въвеждането на понятията е отнесено към дидактическото качество, тъй като то е въпрос на педагогическа последователност, а не на езикова дисциплина. В О3.К2 остава онова, което наистина е езиково — еднозначността на употребата.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Показателите са формулирани еднакво за трите вида съдържание от обхвата на апробирането, като конкретното им тълкуване се съобразява с вида: при тестови въпроси например О2.К3.П2 се прилага върху обясненията към отговорите, а О1.К1.П2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8"/>
          <w:szCs w:val="28"/>
        </w:rPr>
        <w:t xml:space="preserve">3.4. Скала за оценка и нива на качество</w:t>
      </w:r>
    </w:p>
    <w:p>
      <w:pPr>
        <w:spacing w:after="120" w:line="360"/>
        <w:ind w:firstLine="1134"/>
        <w:jc w:val="both"/>
      </w:pPr>
      <w:r>
        <w:rPr>
          <w:rFonts w:ascii="Times New Roman" w:cs="Times New Roman" w:eastAsia="Times New Roman" w:hAnsi="Times New Roman"/>
          <w:sz w:val="28"/>
          <w:szCs w:val="28"/>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1134"/>
        <w:jc w:val="both"/>
      </w:pPr>
      <w:r>
        <w:rPr>
          <w:rFonts w:ascii="Times New Roman" w:cs="Times New Roman" w:eastAsia="Times New Roman" w:hAnsi="Times New Roman"/>
          <w:sz w:val="28"/>
          <w:szCs w:val="28"/>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или неработещ пример, представени като верни; инструкция, водеща до грешка; неетичен или подвеждащ елемент; скрито заемане на защитен текст.</w:t>
      </w:r>
    </w:p>
    <w:p>
      <w:pPr>
        <w:spacing w:after="120" w:line="360"/>
        <w:ind w:firstLine="1134"/>
        <w:jc w:val="both"/>
      </w:pPr>
      <w:r>
        <w:rPr>
          <w:rFonts w:ascii="Times New Roman" w:cs="Times New Roman" w:eastAsia="Times New Roman" w:hAnsi="Times New Roman"/>
          <w:sz w:val="28"/>
          <w:szCs w:val="28"/>
        </w:rPr>
        <w:t xml:space="preserve">Прагът на допустимост е ниво 2 във всяка от четирите области. Общата категория на материала се определя некомпенсаторно, от най-ниската областна оценка: категория А „готов за използване" — и четирите области на ниво 3; категория Б „използваем след малки корекции" — всички области на ниво 2 или 3; категория В „изисква преработка" — най-ниската област е на ниво 1; категория Г „негоден" — която и да е област на ниво 0. Правилото прави невъзможно точно това, което средното аритметично би позволило: материал с отличен език и невярна фактология да мине за приемлив. В такъв случай материалът е категория Г, а профилът показва еднозначно защо.</w:t>
      </w:r>
    </w:p>
    <w:p>
      <w:pPr>
        <w:spacing w:after="120" w:line="360"/>
        <w:ind w:firstLine="1134"/>
        <w:jc w:val="both"/>
      </w:pPr>
      <w:r>
        <w:rPr>
          <w:rFonts w:ascii="Times New Roman" w:cs="Times New Roman" w:eastAsia="Times New Roman" w:hAnsi="Times New Roman"/>
          <w:sz w:val="28"/>
          <w:szCs w:val="28"/>
        </w:rPr>
        <w:t xml:space="preserve">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(равнище на качество): крайното равнище се определя от минималната областна оценка, Р = min(О1, О2, О3, О4), със съответствие Р = 3 → категория А, Р = 2 → Б, Р = 1 → В, Р = 0 → Г.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допустимите материали са точно тези от категории А и Б.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1134"/>
        <w:jc w:val="both"/>
      </w:pPr>
      <w:r>
        <w:rPr>
          <w:rFonts w:ascii="Times New Roman" w:cs="Times New Roman" w:eastAsia="Times New Roman" w:hAnsi="Times New Roman"/>
          <w:sz w:val="28"/>
          <w:szCs w:val="28"/>
        </w:rPr>
        <w:t xml:space="preserve">Правилата за интерпретация затварят скалата. Резултатът се чете диагностично, а не само класификационно: при категории Б и В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8"/>
          <w:szCs w:val="28"/>
        </w:rPr>
        <w:t xml:space="preserve">3.5. Оценъчна матрица/карта за приложение на модела</w:t>
      </w:r>
    </w:p>
    <w:p>
      <w:pPr>
        <w:spacing w:after="120" w:line="360"/>
        <w:ind w:firstLine="1134"/>
        <w:jc w:val="both"/>
      </w:pPr>
      <w:r>
        <w:rPr>
          <w:rFonts w:ascii="Times New Roman" w:cs="Times New Roman" w:eastAsia="Times New Roman" w:hAnsi="Times New Roman"/>
          <w:sz w:val="28"/>
          <w:szCs w:val="28"/>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аудитория и заявен обем, референтен източник и дата на справката с него,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 Всяко от полетата обслужва конкретен показател: заявеният в заявката обем е референтът на О2.К4.П2, а референтният източник и датата на справката — на двата показателя за актуалност О1.К2.П1 и О1.К2.П2. Показател без деклариран референт не се оценява, а се отбелязва като неприложим с основание.</w:t>
      </w:r>
    </w:p>
    <w:p>
      <w:pPr>
        <w:spacing w:after="120" w:line="360"/>
        <w:ind w:firstLine="1134"/>
        <w:jc w:val="both"/>
      </w:pPr>
      <w:r>
        <w:rPr>
          <w:rFonts w:ascii="Times New Roman" w:cs="Times New Roman" w:eastAsia="Times New Roman" w:hAnsi="Times New Roman"/>
          <w:sz w:val="28"/>
          <w:szCs w:val="28"/>
        </w:rPr>
        <w:t xml:space="preserve">Тялото на картата съдържа двадесет и петте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общата категория по правилата от точка 3.4 и списък на препоръчаните корекции, подреден по тежест.</w:t>
      </w:r>
    </w:p>
    <w:p>
      <w:pPr>
        <w:spacing w:after="120" w:line="360"/>
        <w:ind w:firstLine="1134"/>
        <w:jc w:val="both"/>
      </w:pPr>
      <w:r>
        <w:rPr>
          <w:rFonts w:ascii="Times New Roman" w:cs="Times New Roman" w:eastAsia="Times New Roman" w:hAnsi="Times New Roman"/>
          <w:sz w:val="28"/>
          <w:szCs w:val="28"/>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учебна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Всяко ключово понятие е въведено с точна дефиниция преди първата си употреба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на материала съответства на заявения в заявката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деленето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при различни начини на възприемане</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Оформлението не създава излишни бариери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не приписват роли и поведение по пол, етнос, възраст или произход, когато темата не го налага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1134"/>
        <w:jc w:val="both"/>
      </w:pPr>
      <w:r>
        <w:rPr>
          <w:rFonts w:ascii="Times New Roman" w:cs="Times New Roman" w:eastAsia="Times New Roman" w:hAnsi="Times New Roman"/>
          <w:sz w:val="28"/>
          <w:szCs w:val="28"/>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категория А.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8"/>
          <w:szCs w:val="28"/>
        </w:rPr>
        <w:t xml:space="preserve">3.6. Процедура за верифициране на съдържание, разработено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осем.</w:t>
      </w:r>
    </w:p>
    <w:p>
      <w:pPr>
        <w:spacing w:after="120" w:line="360"/>
        <w:ind w:firstLine="1134"/>
        <w:jc w:val="both"/>
      </w:pPr>
      <w:r>
        <w:rPr>
          <w:rFonts w:ascii="Times New Roman" w:cs="Times New Roman" w:eastAsia="Times New Roman" w:hAnsi="Times New Roman"/>
          <w:sz w:val="28"/>
          <w:szCs w:val="28"/>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аудитория и заявен обем, както и референтният източник за актуалност с датата на справката с него.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1134"/>
        <w:jc w:val="both"/>
      </w:pPr>
      <w:r>
        <w:rPr>
          <w:rFonts w:ascii="Times New Roman" w:cs="Times New Roman" w:eastAsia="Times New Roman" w:hAnsi="Times New Roman"/>
          <w:sz w:val="28"/>
          <w:szCs w:val="28"/>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проверка дали действително заетите елементи са обозначени и преглед на примерите с лица за приписвания, които предметната материя не налага.</w:t>
      </w:r>
    </w:p>
    <w:p>
      <w:pPr>
        <w:spacing w:after="120" w:line="360"/>
        <w:ind w:firstLine="1134"/>
        <w:jc w:val="both"/>
      </w:pPr>
      <w:r>
        <w:rPr>
          <w:rFonts w:ascii="Times New Roman" w:cs="Times New Roman" w:eastAsia="Times New Roman" w:hAnsi="Times New Roman"/>
          <w:sz w:val="28"/>
          <w:szCs w:val="28"/>
        </w:rPr>
        <w:t xml:space="preserve">Стъпка 5 — обобщение. По правилата от точка 3.4 се извеждат четирите областни нива и общата категория,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Категория А означава използване без изменения. Категория Б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Категории В и Г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1134"/>
        <w:jc w:val="both"/>
      </w:pPr>
      <w:r>
        <w:rPr>
          <w:rFonts w:ascii="Times New Roman" w:cs="Times New Roman" w:eastAsia="Times New Roman" w:hAnsi="Times New Roman"/>
          <w:sz w:val="28"/>
          <w:szCs w:val="28"/>
        </w:rPr>
        <w:t xml:space="preserve">Стъпка 7 — деклариране на произхода. Материал, който се пуска в употреба, задължително се придружава от декларация за използвания генеративен инструмент и от запис на процеса на създаване: инструмент, версия, режим на работа, дата, използвана заявка и дали след генерирането е извършена редакция. Изискването е процедурно, а не оценъчно, и това разграничение е принципно. Точка 2.5 установява, че academic integrity при генерирано съдържание не може да бъде проверена в готовия текст, защото автоматичните детектори не са достатъчно надеждни, а на български са и по-неточни. Проверимо остава едно — записът на процеса. Той обаче не е свойство на материала, а действие на лицето, което го предоставя на обучаемите, и затова се предписва като задължителна стъпка, а не като показател в оценъчната карта. Стъпката е и практическото основание на препоръката към заявката, формулирана в точка 3.9.</w:t>
      </w:r>
    </w:p>
    <w:p>
      <w:pPr>
        <w:spacing w:after="120" w:line="360"/>
        <w:ind w:firstLine="1134"/>
        <w:jc w:val="both"/>
      </w:pPr>
      <w:r>
        <w:rPr>
          <w:rFonts w:ascii="Times New Roman" w:cs="Times New Roman" w:eastAsia="Times New Roman" w:hAnsi="Times New Roman"/>
          <w:sz w:val="28"/>
          <w:szCs w:val="28"/>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8"/>
          <w:szCs w:val="28"/>
        </w:rPr>
        <w:t xml:space="preserve">3.7. Апробиране на модела върху избрани електронни учебни материали</w:t>
      </w:r>
    </w:p>
    <w:p>
      <w:pPr>
        <w:spacing w:after="120" w:line="360"/>
        <w:ind w:firstLine="1134"/>
        <w:jc w:val="both"/>
      </w:pPr>
      <w:r>
        <w:rPr>
          <w:rFonts w:ascii="Times New Roman" w:cs="Times New Roman" w:eastAsia="Times New Roman" w:hAnsi="Times New Roman"/>
          <w:sz w:val="28"/>
          <w:szCs w:val="28"/>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w:t>
      </w:r>
    </w:p>
    <w:p>
      <w:pPr>
        <w:spacing w:after="120" w:line="360"/>
        <w:ind w:firstLine="1134"/>
        <w:jc w:val="both"/>
      </w:pPr>
      <w:r>
        <w:rPr>
          <w:rFonts w:ascii="Times New Roman" w:cs="Times New Roman" w:eastAsia="Times New Roman" w:hAnsi="Times New Roman"/>
          <w:sz w:val="28"/>
          <w:szCs w:val="28"/>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1134"/>
        <w:jc w:val="both"/>
      </w:pPr>
      <w:r>
        <w:rPr>
          <w:rFonts w:ascii="Times New Roman" w:cs="Times New Roman" w:eastAsia="Times New Roman" w:hAnsi="Times New Roman"/>
          <w:sz w:val="28"/>
          <w:szCs w:val="28"/>
        </w:rPr>
        <w:t xml:space="preserve">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[11],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1134"/>
        <w:jc w:val="both"/>
      </w:pPr>
      <w:r>
        <w:rPr>
          <w:rFonts w:ascii="Times New Roman" w:cs="Times New Roman" w:eastAsia="Times New Roman" w:hAnsi="Times New Roman"/>
          <w:sz w:val="28"/>
          <w:szCs w:val="28"/>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1134"/>
        <w:jc w:val="both"/>
      </w:pPr>
      <w:r>
        <w:rPr>
          <w:rFonts w:ascii="Times New Roman" w:cs="Times New Roman" w:eastAsia="Times New Roman" w:hAnsi="Times New Roman"/>
          <w:sz w:val="28"/>
          <w:szCs w:val="28"/>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петте показателя, доказателства за всяка констатация, областни нива, обща категория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Тъй като при избрания дизайн оценяването се извършва от един експерт, а моделът изисква предметна компетентност, основанията за нея се декларират изрично. Критериите, скалата и праговете са фиксирани преди генерирането и оценяването на материалите и не са променяни в хода им.</w:t>
      </w:r>
    </w:p>
    <w:p>
      <w:pPr>
        <w:spacing w:after="120" w:line="360"/>
        <w:ind w:firstLine="1134"/>
        <w:jc w:val="both"/>
      </w:pPr>
      <w:r>
        <w:rPr>
          <w:rFonts w:ascii="Times New Roman" w:cs="Times New Roman" w:eastAsia="Times New Roman" w:hAnsi="Times New Roman"/>
          <w:sz w:val="28"/>
          <w:szCs w:val="28"/>
        </w:rPr>
        <w:t xml:space="preserve">Компетентността на оценителя се основава на четири обстоятелства. Първо, професионален опит в разработката на уеб приложения с продължителност над десет години, от които осем — непосредствена работа с рамката Angular. Този период обхваща множество основни издания на рамката, включително миграции между тях, което е пряко относимо към проверката по показателите за актуалност: тя изисква познаване не само на текущото състояние, но и на това кои конструкции са отпаднали и в кое издание. Второ, професионална практика в прегледа на програмен код — дейност, която по същността си представлява систематично оценяване на чужд текст срещу предварително приети критерии и която формира именно уменията, необходими при прилагането на оценъчна карта: разграничаване на съществено от несъществено, обосноваване на всяка констатация с конкретно място в текста и формулиране на препоръка за преработка. Трето, опит в обучението и наставничеството на по-млади специалисти, който осигурява необходимия за дидактическите показатели поглед върху типичните затруднения на начинаещите в тази предметна област. Четвърто, висше образование в професионално направление „Информатика и компютърни науки“ и активна професионална работа с генеративни инструменти, което позволява реалистична преценка на техните възможности и ограничения.</w:t>
      </w:r>
    </w:p>
    <w:p>
      <w:pPr>
        <w:spacing w:after="120" w:line="360"/>
        <w:ind w:firstLine="1134"/>
        <w:jc w:val="both"/>
      </w:pPr>
      <w:r>
        <w:rPr>
          <w:rFonts w:ascii="Times New Roman" w:cs="Times New Roman" w:eastAsia="Times New Roman" w:hAnsi="Times New Roman"/>
          <w:sz w:val="28"/>
          <w:szCs w:val="28"/>
        </w:rPr>
        <w:t xml:space="preserve">Декларирането на компетентността налага и уточняване на нейните граници. Предметната и технологичната експертиза на оценителя обхваща съдържателната и техническата проверка на материалите — верността на твърденията, работоспособността и актуалността на примерите, уместността на терминологията. Педагогическата преценка при показателите от област О2 се опира на подготовката в рамките на настоящата магистърска програма и на опита в обучение на специалисти, но не на професионална преподавателска квалификация. Това обстоятелство се отчита като ограничение на апробирането наред с останалите и е допълнителен довод в полза на бъдеща проверка на междуоценителската съгласуваност с участието на действащ преподавател.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1134"/>
        <w:jc w:val="both"/>
      </w:pPr>
      <w:r>
        <w:rPr>
          <w:rFonts w:ascii="Times New Roman" w:cs="Times New Roman" w:eastAsia="Times New Roman" w:hAnsi="Times New Roman"/>
          <w:sz w:val="28"/>
          <w:szCs w:val="28"/>
        </w:rPr>
        <w:t xml:space="preserve">[Резултатите от оценяването на шестте материала — обобщена таблица на областните нива и категориите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1134" w:hanging="1134"/>
        <w:jc w:val="left"/>
      </w:pPr>
      <w:r>
        <w:rPr>
          <w:rFonts w:ascii="Times New Roman" w:cs="Times New Roman" w:eastAsia="Times New Roman" w:hAnsi="Times New Roman"/>
          <w:sz w:val="28"/>
          <w:szCs w:val="28"/>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1134" w:hanging="1134"/>
        <w:jc w:val="left"/>
      </w:pPr>
      <w:r>
        <w:rPr>
          <w:rFonts w:ascii="Times New Roman" w:cs="Times New Roman" w:eastAsia="Times New Roman" w:hAnsi="Times New Roman"/>
          <w:sz w:val="28"/>
          <w:szCs w:val="28"/>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1134" w:hanging="1134"/>
        <w:jc w:val="left"/>
      </w:pPr>
      <w:r>
        <w:rPr>
          <w:rFonts w:ascii="Times New Roman" w:cs="Times New Roman" w:eastAsia="Times New Roman" w:hAnsi="Times New Roman"/>
          <w:sz w:val="28"/>
          <w:szCs w:val="28"/>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1134" w:hanging="1134"/>
        <w:jc w:val="left"/>
      </w:pPr>
      <w:r>
        <w:rPr>
          <w:rFonts w:ascii="Times New Roman" w:cs="Times New Roman" w:eastAsia="Times New Roman" w:hAnsi="Times New Roman"/>
          <w:sz w:val="28"/>
          <w:szCs w:val="28"/>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1134" w:hanging="1134"/>
        <w:jc w:val="left"/>
      </w:pPr>
      <w:r>
        <w:rPr>
          <w:rFonts w:ascii="Times New Roman" w:cs="Times New Roman" w:eastAsia="Times New Roman" w:hAnsi="Times New Roman"/>
          <w:sz w:val="28"/>
          <w:szCs w:val="28"/>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1134" w:hanging="1134"/>
        <w:jc w:val="left"/>
      </w:pPr>
      <w:r>
        <w:rPr>
          <w:rFonts w:ascii="Times New Roman" w:cs="Times New Roman" w:eastAsia="Times New Roman" w:hAnsi="Times New Roman"/>
          <w:sz w:val="28"/>
          <w:szCs w:val="28"/>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1134" w:hanging="1134"/>
        <w:jc w:val="left"/>
      </w:pPr>
      <w:r>
        <w:rPr>
          <w:rFonts w:ascii="Times New Roman" w:cs="Times New Roman" w:eastAsia="Times New Roman" w:hAnsi="Times New Roman"/>
          <w:sz w:val="28"/>
          <w:szCs w:val="28"/>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1134" w:hanging="1134"/>
        <w:jc w:val="left"/>
      </w:pPr>
      <w:r>
        <w:rPr>
          <w:rFonts w:ascii="Times New Roman" w:cs="Times New Roman" w:eastAsia="Times New Roman" w:hAnsi="Times New Roman"/>
          <w:sz w:val="28"/>
          <w:szCs w:val="28"/>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1134" w:hanging="1134"/>
        <w:jc w:val="left"/>
      </w:pPr>
      <w:r>
        <w:rPr>
          <w:rFonts w:ascii="Times New Roman" w:cs="Times New Roman" w:eastAsia="Times New Roman" w:hAnsi="Times New Roman"/>
          <w:sz w:val="28"/>
          <w:szCs w:val="28"/>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1134" w:hanging="1134"/>
        <w:jc w:val="left"/>
      </w:pPr>
      <w:r>
        <w:rPr>
          <w:rFonts w:ascii="Times New Roman" w:cs="Times New Roman" w:eastAsia="Times New Roman" w:hAnsi="Times New Roman"/>
          <w:sz w:val="28"/>
          <w:szCs w:val="28"/>
        </w:rPr>
        <w:t xml:space="preserve">[10] "Challenges and recommendations for LLMs-as-a-judge in multilingual settings and low-resource languages," 2026, arXiv:2607.02235.</w:t>
      </w:r>
    </w:p>
    <w:p>
      <w:pPr>
        <w:spacing w:after="120" w:line="300"/>
        <w:ind w:left="1134" w:hanging="1134"/>
        <w:jc w:val="left"/>
      </w:pPr>
      <w:r>
        <w:rPr>
          <w:rFonts w:ascii="Times New Roman" w:cs="Times New Roman" w:eastAsia="Times New Roman" w:hAnsi="Times New Roman"/>
          <w:sz w:val="28"/>
          <w:szCs w:val="28"/>
        </w:rPr>
        <w:t xml:space="preserve">[11] Angular Team, "Angular versioning and releases," Angular Documentation, 2026. [Online]. Available: https://angular.dev/reference/releases</w:t>
      </w:r>
    </w:p>
    <w:p>
      <w:pPr>
        <w:spacing w:after="120" w:line="300"/>
        <w:ind w:left="1134" w:hanging="1134"/>
        <w:jc w:val="left"/>
      </w:pPr>
      <w:r>
        <w:rPr>
          <w:rFonts w:ascii="Times New Roman" w:cs="Times New Roman" w:eastAsia="Times New Roman" w:hAnsi="Times New Roman"/>
          <w:sz w:val="28"/>
          <w:szCs w:val="28"/>
        </w:rPr>
        <w:t xml:space="preserve">[12] C. Redecker, European Framework for the Digital Competence of Educators: DigCompEdu, Y. Punie, Ed. Luxembourg: Publications Office of the European Union, 2017, JRC107466.</w:t>
      </w:r>
    </w:p>
    <w:p>
      <w:pPr>
        <w:spacing w:after="120" w:line="300"/>
        <w:ind w:left="1134" w:hanging="1134"/>
        <w:jc w:val="left"/>
      </w:pPr>
      <w:r>
        <w:rPr>
          <w:rFonts w:ascii="Times New Roman" w:cs="Times New Roman" w:eastAsia="Times New Roman" w:hAnsi="Times New Roman"/>
          <w:sz w:val="28"/>
          <w:szCs w:val="28"/>
        </w:rPr>
        <w:t xml:space="preserve">[13] CAST, Universal Design for Learning Guidelines, version 3.0. Lynnfield, MA, USA: CAST, 2024. [Online]. Available: https://udlguidelines.cast.org</w:t>
      </w:r>
    </w:p>
    <w:p>
      <w:pPr>
        <w:spacing w:after="120" w:line="300"/>
        <w:ind w:left="1134" w:hanging="1134"/>
        <w:jc w:val="left"/>
      </w:pPr>
      <w:r>
        <w:rPr>
          <w:rFonts w:ascii="Times New Roman" w:cs="Times New Roman" w:eastAsia="Times New Roman" w:hAnsi="Times New Roman"/>
          <w:sz w:val="28"/>
          <w:szCs w:val="28"/>
        </w:rPr>
        <w:t xml:space="preserve">[14] D. Li et al., "From generation to judgment: Opportunities and challenges of LLM-as-a-judge," in Proc. 2025 Conference on Empirical Methods in Natural Language Processing (EMNLP), 2025. [Online]. Available: https://arxiv.org/abs/2411.16594</w:t>
      </w:r>
    </w:p>
    <w:p>
      <w:pPr>
        <w:spacing w:after="120" w:line="300"/>
        <w:ind w:left="1134" w:hanging="1134"/>
        <w:jc w:val="left"/>
      </w:pPr>
      <w:r>
        <w:rPr>
          <w:rFonts w:ascii="Times New Roman" w:cs="Times New Roman" w:eastAsia="Times New Roman" w:hAnsi="Times New Roman"/>
          <w:sz w:val="28"/>
          <w:szCs w:val="28"/>
        </w:rPr>
        <w:t xml:space="preserve">[15] D. S. Chai, H. S. Kim, K. N. Kim, Y. Ha, S. S. H. Shin, and S. W. Yoon, "Generative artificial intelligence in instructional system design," Human Resource Development Review, 2025, doi: 10.1177/15344843251320256.</w:t>
      </w:r>
    </w:p>
    <w:p>
      <w:pPr>
        <w:spacing w:after="120" w:line="300"/>
        <w:ind w:left="1134" w:hanging="1134"/>
        <w:jc w:val="left"/>
      </w:pPr>
      <w:r>
        <w:rPr>
          <w:rFonts w:ascii="Times New Roman" w:cs="Times New Roman" w:eastAsia="Times New Roman" w:hAnsi="Times New Roman"/>
          <w:sz w:val="28"/>
          <w:szCs w:val="28"/>
        </w:rPr>
        <w:t xml:space="preserve">[16] E. Dickey and A. Bejarano, "GAIDE: A framework for using generative AI to assist in course content development," in Proc. 2024 IEEE Frontiers in Education Conference (FIE), 2024, pp. 1–9, doi: 10.1109/FIE61694.2024.10893132.</w:t>
      </w:r>
    </w:p>
    <w:p>
      <w:pPr>
        <w:spacing w:after="120" w:line="300"/>
        <w:ind w:left="1134" w:hanging="1134"/>
        <w:jc w:val="left"/>
      </w:pPr>
      <w:r>
        <w:rPr>
          <w:rFonts w:ascii="Times New Roman" w:cs="Times New Roman" w:eastAsia="Times New Roman" w:hAnsi="Times New Roman"/>
          <w:sz w:val="28"/>
          <w:szCs w:val="28"/>
        </w:rPr>
        <w:t xml:space="preserve">[17] E. Kasneci et al., "ChatGPT for good? On opportunities and challenges of large language models for education," Learning and Individual Differences, vol. 103, Art. no. 102274, 2023, doi: 10.1016/j.lindif.2023.102274.</w:t>
      </w:r>
    </w:p>
    <w:p>
      <w:pPr>
        <w:spacing w:after="120" w:line="300"/>
        <w:ind w:left="1134" w:hanging="1134"/>
        <w:jc w:val="left"/>
      </w:pPr>
      <w:r>
        <w:rPr>
          <w:rFonts w:ascii="Times New Roman" w:cs="Times New Roman" w:eastAsia="Times New Roman" w:hAnsi="Times New Roman"/>
          <w:sz w:val="28"/>
          <w:szCs w:val="28"/>
        </w:rPr>
        <w:t xml:space="preserve">[18] E. Staneviciene and G. Žekienė, "The use of multimedia in the teaching and learning process of higher education: A systematic review," Sustainability, vol. 17, no. 19, Art. no. 8859, 2025, doi: 10.3390/su17198859.</w:t>
      </w:r>
    </w:p>
    <w:p>
      <w:pPr>
        <w:spacing w:after="120" w:line="300"/>
        <w:ind w:left="1134" w:hanging="1134"/>
        <w:jc w:val="left"/>
      </w:pPr>
      <w:r>
        <w:rPr>
          <w:rFonts w:ascii="Times New Roman" w:cs="Times New Roman" w:eastAsia="Times New Roman" w:hAnsi="Times New Roman"/>
          <w:sz w:val="28"/>
          <w:szCs w:val="28"/>
        </w:rPr>
        <w:t xml:space="preserve">[19] F. Miao and W. Holmes, Guidance for Generative AI in Education and Research. Paris, France: UNESCO, 2023. [Online]. Available: https://www.unesco.org/en/articles/guidance-generative-ai-education-and-research</w:t>
      </w:r>
    </w:p>
    <w:p>
      <w:pPr>
        <w:spacing w:after="120" w:line="300"/>
        <w:ind w:left="1134" w:hanging="1134"/>
        <w:jc w:val="left"/>
      </w:pPr>
      <w:r>
        <w:rPr>
          <w:rFonts w:ascii="Times New Roman" w:cs="Times New Roman" w:eastAsia="Times New Roman" w:hAnsi="Times New Roman"/>
          <w:sz w:val="28"/>
          <w:szCs w:val="28"/>
        </w:rPr>
        <w:t xml:space="preserve">[20]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1134" w:hanging="1134"/>
        <w:jc w:val="left"/>
      </w:pPr>
      <w:r>
        <w:rPr>
          <w:rFonts w:ascii="Times New Roman" w:cs="Times New Roman" w:eastAsia="Times New Roman" w:hAnsi="Times New Roman"/>
          <w:sz w:val="28"/>
          <w:szCs w:val="28"/>
        </w:rPr>
        <w:t xml:space="preserve">[21] G. W. Choi and J. Y. Seo, "Accessibility, usability, and universal design for learning: Discussion of three key LX/UX elements for inclusive learning design," TechTrends, vol. 68, no. 5, pp. 936–945, 2024, doi: 10.1007/s11528-024-00987-6.</w:t>
      </w:r>
    </w:p>
    <w:p>
      <w:pPr>
        <w:spacing w:after="120" w:line="300"/>
        <w:ind w:left="1134" w:hanging="1134"/>
        <w:jc w:val="left"/>
      </w:pPr>
      <w:r>
        <w:rPr>
          <w:rFonts w:ascii="Times New Roman" w:cs="Times New Roman" w:eastAsia="Times New Roman" w:hAnsi="Times New Roman"/>
          <w:sz w:val="28"/>
          <w:szCs w:val="28"/>
        </w:rPr>
        <w:t xml:space="preserve">[22] G. W. Choi, S. H. Kim, D. Lee, and J. Moon, "Utilizing generative AI for instructional design: Exploring strengths, weaknesses, opportunities, and threats," TechTrends, vol. 68, no. 4, pp. 832–844, 2024, doi: 10.1007/s11528-024-00967-w.</w:t>
      </w:r>
    </w:p>
    <w:p>
      <w:pPr>
        <w:spacing w:after="120" w:line="300"/>
        <w:ind w:left="1134" w:hanging="1134"/>
        <w:jc w:val="left"/>
      </w:pPr>
      <w:r>
        <w:rPr>
          <w:rFonts w:ascii="Times New Roman" w:cs="Times New Roman" w:eastAsia="Times New Roman" w:hAnsi="Times New Roman"/>
          <w:sz w:val="28"/>
          <w:szCs w:val="28"/>
        </w:rPr>
        <w:t xml:space="preserve">[23] H. Yao, W. Xu, J. Turnau, N. Kellam, and H. Wei, "Instructional agents: Reducing teaching faculty workload through multi-agent instructional design," in Proc. EACL 2026, vol. 1, 2026, pp. 4087–4109.</w:t>
      </w:r>
    </w:p>
    <w:p>
      <w:pPr>
        <w:spacing w:after="120" w:line="300"/>
        <w:ind w:left="1134" w:hanging="1134"/>
        <w:jc w:val="left"/>
      </w:pPr>
      <w:r>
        <w:rPr>
          <w:rFonts w:ascii="Times New Roman" w:cs="Times New Roman" w:eastAsia="Times New Roman" w:hAnsi="Times New Roman"/>
          <w:sz w:val="28"/>
          <w:szCs w:val="28"/>
        </w:rPr>
        <w:t xml:space="preserve">[24]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1134" w:hanging="1134"/>
        <w:jc w:val="left"/>
      </w:pPr>
      <w:r>
        <w:rPr>
          <w:rFonts w:ascii="Times New Roman" w:cs="Times New Roman" w:eastAsia="Times New Roman" w:hAnsi="Times New Roman"/>
          <w:sz w:val="28"/>
          <w:szCs w:val="28"/>
        </w:rPr>
        <w:t xml:space="preserve">[25] IEEE Standard for Learning Object Metadata, IEEE Std 1484.12.1-2020, IEEE, New York, NY, USA, 2020.</w:t>
      </w:r>
    </w:p>
    <w:p>
      <w:pPr>
        <w:spacing w:after="120" w:line="300"/>
        <w:ind w:left="1134" w:hanging="1134"/>
        <w:jc w:val="left"/>
      </w:pPr>
      <w:r>
        <w:rPr>
          <w:rFonts w:ascii="Times New Roman" w:cs="Times New Roman" w:eastAsia="Times New Roman" w:hAnsi="Times New Roman"/>
          <w:sz w:val="28"/>
          <w:szCs w:val="28"/>
        </w:rPr>
        <w:t xml:space="preserve">[26] J. Biggs, C. Tang, and G. Kennedy, Teaching for Quality Learning at University, 5th ed. London, U.K.: Open University Press, 2022.</w:t>
      </w:r>
    </w:p>
    <w:p>
      <w:pPr>
        <w:spacing w:after="120" w:line="300"/>
        <w:ind w:left="1134" w:hanging="1134"/>
        <w:jc w:val="left"/>
      </w:pPr>
      <w:r>
        <w:rPr>
          <w:rFonts w:ascii="Times New Roman" w:cs="Times New Roman" w:eastAsia="Times New Roman" w:hAnsi="Times New Roman"/>
          <w:sz w:val="28"/>
          <w:szCs w:val="28"/>
        </w:rPr>
        <w:t xml:space="preserve">[27] J. Sweller, J. J. G. van Merriënboer, and F. Paas, "Cognitive architecture and instructional design: 20 years later," Educational Psychology Review, vol. 31, no. 2, pp. 261–292, 2019, doi: 10.1007/s10648-019-09465-5.</w:t>
      </w:r>
    </w:p>
    <w:p>
      <w:pPr>
        <w:spacing w:after="120" w:line="300"/>
        <w:ind w:left="1134" w:hanging="1134"/>
        <w:jc w:val="left"/>
      </w:pPr>
      <w:r>
        <w:rPr>
          <w:rFonts w:ascii="Times New Roman" w:cs="Times New Roman" w:eastAsia="Times New Roman" w:hAnsi="Times New Roman"/>
          <w:sz w:val="28"/>
          <w:szCs w:val="28"/>
        </w:rPr>
        <w:t xml:space="preserve">[28] L. Huang et al., "A survey on hallucination in large language models: Principles, taxonomy, challenges, and open questions," ACM Transactions on Information Systems, vol. 43, no. 2, pp. 1–55, 2025, doi: 10.1145/3703155.</w:t>
      </w:r>
    </w:p>
    <w:p>
      <w:pPr>
        <w:spacing w:after="120" w:line="300"/>
        <w:ind w:left="1134" w:hanging="1134"/>
        <w:jc w:val="left"/>
      </w:pPr>
      <w:r>
        <w:rPr>
          <w:rFonts w:ascii="Times New Roman" w:cs="Times New Roman" w:eastAsia="Times New Roman" w:hAnsi="Times New Roman"/>
          <w:sz w:val="28"/>
          <w:szCs w:val="28"/>
        </w:rPr>
        <w:t xml:space="preserve">[29] L. Zheng et al., "Judging LLM-as-a-judge with MT-Bench and Chatbot Arena," in Advances in Neural Information Processing Systems 36 (NeurIPS 2023), Datasets and Benchmarks Track, 2023. [Online]. Available: https://arxiv.org/abs/2306.05685</w:t>
      </w:r>
    </w:p>
    <w:p>
      <w:pPr>
        <w:spacing w:after="120" w:line="300"/>
        <w:ind w:left="1134" w:hanging="1134"/>
        <w:jc w:val="left"/>
      </w:pPr>
      <w:r>
        <w:rPr>
          <w:rFonts w:ascii="Times New Roman" w:cs="Times New Roman" w:eastAsia="Times New Roman" w:hAnsi="Times New Roman"/>
          <w:sz w:val="28"/>
          <w:szCs w:val="28"/>
        </w:rPr>
        <w:t xml:space="preserve">[30] M. D. Merrill, "First principles of instruction," Educational Technology Research and Development, vol. 50, no. 3, pp. 43–59, 2002, doi: 10.1007/BF02505024.</w:t>
      </w:r>
    </w:p>
    <w:p>
      <w:pPr>
        <w:spacing w:after="120" w:line="300"/>
        <w:ind w:left="1134" w:hanging="1134"/>
        <w:jc w:val="left"/>
      </w:pPr>
      <w:r>
        <w:rPr>
          <w:rFonts w:ascii="Times New Roman" w:cs="Times New Roman" w:eastAsia="Times New Roman" w:hAnsi="Times New Roman"/>
          <w:sz w:val="28"/>
          <w:szCs w:val="28"/>
        </w:rPr>
        <w:t xml:space="preserve">[31] M. Hadra, K. Cambridge, and M. Mesbah, "Evaluating the accuracy and reliability of AI content detectors in academic contexts," International Journal for Educational Integrity, vol. 22, Art. no. 4, 2026, doi: 10.1007/s40979-026-00213-1.</w:t>
      </w:r>
    </w:p>
    <w:p>
      <w:pPr>
        <w:spacing w:after="120" w:line="300"/>
        <w:ind w:left="1134" w:hanging="1134"/>
        <w:jc w:val="left"/>
      </w:pPr>
      <w:r>
        <w:rPr>
          <w:rFonts w:ascii="Times New Roman" w:cs="Times New Roman" w:eastAsia="Times New Roman" w:hAnsi="Times New Roman"/>
          <w:sz w:val="28"/>
          <w:szCs w:val="28"/>
        </w:rPr>
        <w:t xml:space="preserve">[32] M. Perkins, "Academic integrity considerations of AI large language models in the post-pandemic era: ChatGPT and beyond," Journal of University Teaching &amp; Learning Practice, vol. 20, no. 2, Art. no. 7, 2023, doi: 10.53761/1.20.02.07.</w:t>
      </w:r>
    </w:p>
    <w:p>
      <w:pPr>
        <w:spacing w:after="120" w:line="300"/>
        <w:ind w:left="1134" w:hanging="1134"/>
        <w:jc w:val="left"/>
      </w:pPr>
      <w:r>
        <w:rPr>
          <w:rFonts w:ascii="Times New Roman" w:cs="Times New Roman" w:eastAsia="Times New Roman" w:hAnsi="Times New Roman"/>
          <w:sz w:val="28"/>
          <w:szCs w:val="28"/>
        </w:rPr>
        <w:t xml:space="preserve">[33]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1134" w:hanging="1134"/>
        <w:jc w:val="left"/>
      </w:pPr>
      <w:r>
        <w:rPr>
          <w:rFonts w:ascii="Times New Roman" w:cs="Times New Roman" w:eastAsia="Times New Roman" w:hAnsi="Times New Roman"/>
          <w:sz w:val="28"/>
          <w:szCs w:val="28"/>
        </w:rPr>
        <w:t xml:space="preserve">[34] P. Denny, H. Khosravi, A. Hellas, J. Leinonen, and S. Sarsa, "Can we trust AI-generated educational content? Comparative analysis of human and AI-generated learning resources," 2023, arXiv:2306.10509.</w:t>
      </w:r>
    </w:p>
    <w:p>
      <w:pPr>
        <w:spacing w:after="120" w:line="300"/>
        <w:ind w:left="1134" w:hanging="1134"/>
        <w:jc w:val="left"/>
      </w:pPr>
      <w:r>
        <w:rPr>
          <w:rFonts w:ascii="Times New Roman" w:cs="Times New Roman" w:eastAsia="Times New Roman" w:hAnsi="Times New Roman"/>
          <w:sz w:val="28"/>
          <w:szCs w:val="28"/>
        </w:rPr>
        <w:t xml:space="preserve">[35] Plain Language — Part 1: Governing Principles and Guidelines, ISO 24495-1:2023, International Organization for Standardization, Geneva, Switzerland, 2023.</w:t>
      </w:r>
    </w:p>
    <w:p>
      <w:pPr>
        <w:spacing w:after="120" w:line="300"/>
        <w:ind w:left="1134" w:hanging="1134"/>
        <w:jc w:val="left"/>
      </w:pPr>
      <w:r>
        <w:rPr>
          <w:rFonts w:ascii="Times New Roman" w:cs="Times New Roman" w:eastAsia="Times New Roman" w:hAnsi="Times New Roman"/>
          <w:sz w:val="28"/>
          <w:szCs w:val="28"/>
        </w:rPr>
        <w:t xml:space="preserve">[36] Q. Huang, C. Lv, L. Lu, and S. Tu, "Evaluating the quality of AI-generated digital educational resources for university teaching and learning," Systems, vol. 13, no. 3, Art. no. 174, 2025, doi: 10.3390/systems13030174.</w:t>
      </w:r>
    </w:p>
    <w:p>
      <w:pPr>
        <w:spacing w:after="120" w:line="300"/>
        <w:ind w:left="1134" w:hanging="1134"/>
        <w:jc w:val="left"/>
      </w:pPr>
      <w:r>
        <w:rPr>
          <w:rFonts w:ascii="Times New Roman" w:cs="Times New Roman" w:eastAsia="Times New Roman" w:hAnsi="Times New Roman"/>
          <w:sz w:val="28"/>
          <w:szCs w:val="28"/>
        </w:rPr>
        <w:t xml:space="preserve">[37] Quality Matters, QM Higher Education Rubric, 7th ed. Annapolis, MD, USA: Quality Matters, 2023. [Online]. Available: https://www.qualitymatters.org/qa-resources/rubric-standards/higher-ed-rubric</w:t>
      </w:r>
    </w:p>
    <w:p>
      <w:pPr>
        <w:spacing w:after="120" w:line="300"/>
        <w:ind w:left="1134" w:hanging="1134"/>
        <w:jc w:val="left"/>
      </w:pPr>
      <w:r>
        <w:rPr>
          <w:rFonts w:ascii="Times New Roman" w:cs="Times New Roman" w:eastAsia="Times New Roman" w:hAnsi="Times New Roman"/>
          <w:sz w:val="28"/>
          <w:szCs w:val="28"/>
        </w:rPr>
        <w:t xml:space="preserve">[38] R. C. Clark and R. E. Mayer, e-Learning and the Science of Instruction: Proven Guidelines for Consumers and Designers of Multimedia Learning, 5th ed. Hoboken, NJ, USA: Wiley, 2024.</w:t>
      </w:r>
    </w:p>
    <w:p>
      <w:pPr>
        <w:spacing w:after="120" w:line="300"/>
        <w:ind w:left="1134" w:hanging="1134"/>
        <w:jc w:val="left"/>
      </w:pPr>
      <w:r>
        <w:rPr>
          <w:rFonts w:ascii="Times New Roman" w:cs="Times New Roman" w:eastAsia="Times New Roman" w:hAnsi="Times New Roman"/>
          <w:sz w:val="28"/>
          <w:szCs w:val="28"/>
        </w:rPr>
        <w:t xml:space="preserve">[39]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1134" w:hanging="1134"/>
        <w:jc w:val="left"/>
      </w:pPr>
      <w:r>
        <w:rPr>
          <w:rFonts w:ascii="Times New Roman" w:cs="Times New Roman" w:eastAsia="Times New Roman" w:hAnsi="Times New Roman"/>
          <w:sz w:val="28"/>
          <w:szCs w:val="28"/>
        </w:rPr>
        <w:t xml:space="preserve">[40]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1134" w:hanging="1134"/>
        <w:jc w:val="left"/>
      </w:pPr>
      <w:r>
        <w:rPr>
          <w:rFonts w:ascii="Times New Roman" w:cs="Times New Roman" w:eastAsia="Times New Roman" w:hAnsi="Times New Roman"/>
          <w:sz w:val="28"/>
          <w:szCs w:val="28"/>
        </w:rPr>
        <w:t xml:space="preserve">[41]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1134" w:hanging="1134"/>
        <w:jc w:val="left"/>
      </w:pPr>
      <w:r>
        <w:rPr>
          <w:rFonts w:ascii="Times New Roman" w:cs="Times New Roman" w:eastAsia="Times New Roman" w:hAnsi="Times New Roman"/>
          <w:sz w:val="28"/>
          <w:szCs w:val="28"/>
        </w:rPr>
        <w:t xml:space="preserve">[42] UNESCO, Recommendation on Open Educational Resources (OER). Paris, France: UNESCO, 2019. [Online]. Available: https://unesdoc.unesco.org/ark:/48223/pf0000383205</w:t>
      </w:r>
    </w:p>
    <w:p>
      <w:pPr>
        <w:spacing w:after="120" w:line="300"/>
        <w:ind w:left="1134" w:hanging="1134"/>
        <w:jc w:val="left"/>
      </w:pPr>
      <w:r>
        <w:rPr>
          <w:rFonts w:ascii="Times New Roman" w:cs="Times New Roman" w:eastAsia="Times New Roman" w:hAnsi="Times New Roman"/>
          <w:sz w:val="28"/>
          <w:szCs w:val="28"/>
        </w:rPr>
        <w:t xml:space="preserve">[43] W. H. Walters and E. I. Wilder, "Fabrication and errors in the bibliographic citations generated by ChatGPT," Scientific Reports, vol. 13, 2023, doi: 10.1038/s41598-023-41032-5.</w:t>
      </w:r>
    </w:p>
    <w:p>
      <w:pPr>
        <w:spacing w:after="120" w:line="300"/>
        <w:ind w:left="1134" w:hanging="1134"/>
        <w:jc w:val="left"/>
      </w:pPr>
      <w:r>
        <w:rPr>
          <w:rFonts w:ascii="Times New Roman" w:cs="Times New Roman" w:eastAsia="Times New Roman" w:hAnsi="Times New Roman"/>
          <w:sz w:val="28"/>
          <w:szCs w:val="28"/>
        </w:rPr>
        <w:t xml:space="preserve">[44] X. Chen, Z. Hu, and C. Wang, "Empowering education development through AIGC: A systematic literature review," Education and Information Technologies, vol. 29, no. 13, pp. 17485–17537, 2024, doi: 10.1007/s10639-024-12549-7.</w:t>
      </w:r>
    </w:p>
    <w:p>
      <w:pPr>
        <w:spacing w:after="120" w:line="300"/>
        <w:ind w:left="1134" w:hanging="1134"/>
        <w:jc w:val="left"/>
      </w:pPr>
      <w:r>
        <w:rPr>
          <w:rFonts w:ascii="Times New Roman" w:cs="Times New Roman" w:eastAsia="Times New Roman" w:hAnsi="Times New Roman"/>
          <w:sz w:val="28"/>
          <w:szCs w:val="28"/>
        </w:rPr>
        <w:t xml:space="preserve">[45] Z. Liu, S. X. Yin, D. H.-L. Goh, and N. F. Chen, "COGENT: A curriculum-oriented framework for generating grade-appropriate educational content," in Proc. 20th Workshop on Innovative Use of NLP for Building Educational Applications (BEA 2025), 2025.</w:t>
      </w:r>
    </w:p>
    <w:sectPr>
      <w:footerReference w:type="default" r:id="rId7"/>
      <w:footerReference w:type="first" r:id="rId8"/>
      <w:pgSz w:w="11906" w:h="16838" w:orient="portrait"/>
      <w:pgMar w:top="850" w:right="567" w:bottom="85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2026-08-22T08:00:33.088Z</dcterms:created>
  <dcterms:modified xsi:type="dcterms:W3CDTF">2026-08-22T08:00:33.088Z</dcterms:modified>
</cp:coreProperties>
</file>

<file path=docProps/custom.xml><?xml version="1.0" encoding="utf-8"?>
<Properties xmlns="http://schemas.openxmlformats.org/officeDocument/2006/custom-properties" xmlns:vt="http://schemas.openxmlformats.org/officeDocument/2006/docPropsVTypes"/>
</file>