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sz w:val="32"/>
          <w:szCs w:val="32"/>
        </w:rPr>
        <w:t xml:space="preserve">МОДЕЛ ЗА ОЦЕНЯВАНЕ НА КАЧЕСТВОТО НА ЕЛЕКТРОННО УЧЕБНО СЪДЪРЖАНИЕ, РАЗРАБОТЕНО С ГЕНЕРАТИВНИ AI ИНСТРУМЕНТИ</w:t>
      </w:r>
    </w:p>
    <w:p>
      <w:pPr>
        <w:spacing w:after="240" w:line="276"/>
        <w:jc w:val="left"/>
      </w:pPr>
      <w:r>
        <w:rPr>
          <w:rFonts w:ascii="Times New Roman" w:cs="Times New Roman" w:eastAsia="Times New Roman" w:hAnsi="Times New Roman"/>
          <w:i/>
          <w:iCs/>
          <w:color w:val="666666"/>
          <w:sz w:val="20"/>
          <w:szCs w:val="20"/>
        </w:rPr>
        <w:t xml:space="preserve">Работна чернова. Цитиране: IEEE — [номер] по ред на първо цитиране; номерата и списъкът с източници се генерират автоматично при всяко построяване на документа.</w:t>
      </w:r>
    </w:p>
    <w:p>
      <w:pPr>
        <w:pStyle w:val="Heading1"/>
      </w:pPr>
      <w:r>
        <w:rPr>
          <w:rFonts w:ascii="Times New Roman" w:cs="Times New Roman" w:eastAsia="Times New Roman" w:hAnsi="Times New Roman"/>
          <w:b/>
          <w:bCs/>
          <w:sz w:val="28"/>
          <w:szCs w:val="28"/>
        </w:rPr>
        <w:t xml:space="preserve">УВОД</w:t>
      </w:r>
    </w:p>
    <w:p>
      <w:pPr>
        <w:spacing w:after="120" w:line="360"/>
        <w:ind w:firstLine="709"/>
        <w:jc w:val="both"/>
      </w:pPr>
      <w:r>
        <w:rPr>
          <w:rFonts w:ascii="Times New Roman" w:cs="Times New Roman" w:eastAsia="Times New Roman" w:hAnsi="Times New Roman"/>
          <w:sz w:val="24"/>
          <w:szCs w:val="24"/>
        </w:rPr>
        <w:t xml:space="preserve">Масовото навлизане на генеративните инструменти с изкуствен интелект промени за няколко години начина, по който се създава електронно учебно съдържание. Материали, чиято подготовка доскоро изискваше дни, днес се генерират за минути — учебни текстове, тестови въпроси, указания за самоподготовка — и тази възможност вече се използва широко в образователната практика. Скоростта обаче има цена: съдържанието, произведено от вероятностни езикови модели, не носи гаранция за фактическа вярност, педагогическа издържаност или оригиналност, а неговите дефекти са систематично невидими за повърхностен преглед. Между лекотата на създаването и отговорността за качеството се отваря празнина, която образователната практика днес запълва предимно с интуитивна лична преценка. Настоящата работа предлага систематична алтернатива.</w:t>
      </w:r>
    </w:p>
    <w:p>
      <w:pPr>
        <w:spacing w:after="120" w:line="360"/>
        <w:ind w:firstLine="709"/>
        <w:jc w:val="both"/>
      </w:pPr>
      <w:r>
        <w:rPr>
          <w:rFonts w:ascii="Times New Roman" w:cs="Times New Roman" w:eastAsia="Times New Roman" w:hAnsi="Times New Roman"/>
          <w:sz w:val="24"/>
          <w:szCs w:val="24"/>
        </w:rPr>
        <w:t xml:space="preserve">Обект на изследването е електронното учебно съдържание, създавано с генеративни инструменти с изкуствен интелект. Предмет на изследването са качеството на това съдържание — неговите измерения, критерии и типични дефицити — и възможността то да бъде оценявано системно чрез специализиран модел, приложим в практиката на преподавателя.</w:t>
      </w:r>
    </w:p>
    <w:p>
      <w:pPr>
        <w:spacing w:after="120" w:line="360"/>
        <w:ind w:firstLine="709"/>
        <w:jc w:val="both"/>
      </w:pPr>
      <w:r>
        <w:rPr>
          <w:rFonts w:ascii="Times New Roman" w:cs="Times New Roman" w:eastAsia="Times New Roman" w:hAnsi="Times New Roman"/>
          <w:sz w:val="24"/>
          <w:szCs w:val="24"/>
        </w:rPr>
        <w:t xml:space="preserve">Целта на работата е да бъде разработен и апробиран модел за оценяване на качеството на електронно учебно съдържание, създадено с генеративни AI инструменти. Постигането на целта преминава през шест изследователски задачи: първо, да се изяснят същността, видовете и педагогическите изисквания към електронното учебно съдържание и характеристиките на генеративните инструменти; второ, да се анализират съществуващите подходи и критерии за оценяване на качеството и тяхната приложимост към генерирано съдържание; трето, да се систематизират типичните дефицити на генерираното съдържание и да се изведат изисквания към модел за оценяване; четвърто, да се конструира моделът — области, критерии и показатели, скала, оценъчна карта и процедура за приложение; пето, моделът да бъде апробиран върху избрани генерирани учебни материали; и шесто, въз основа на резултатите да се формулират изводи и препоръки за приложение в практиката.</w:t>
      </w:r>
    </w:p>
    <w:p>
      <w:pPr>
        <w:spacing w:after="120" w:line="360"/>
        <w:ind w:firstLine="709"/>
        <w:jc w:val="both"/>
      </w:pPr>
      <w:r>
        <w:rPr>
          <w:rFonts w:ascii="Times New Roman" w:cs="Times New Roman" w:eastAsia="Times New Roman" w:hAnsi="Times New Roman"/>
          <w:sz w:val="24"/>
          <w:szCs w:val="24"/>
        </w:rPr>
        <w:t xml:space="preserve">Изследователската теза на работата е следната: качеството на учебното съдържание, създадено с генеративни инструменти, е структурно негарантирано поради самия принцип на действие на тези инструменти, но може да бъде системно оценявано от отделен преподавател чрез критериален модел с проверими показатели, некомпенсаторна скала с праг на допустимост и документирана, икономична процедура — и такова оценяване е необходимото условие за отговорното използване на генеративните инструменти в обучението.</w:t>
      </w:r>
    </w:p>
    <w:p>
      <w:pPr>
        <w:spacing w:after="120" w:line="360"/>
        <w:ind w:firstLine="709"/>
        <w:jc w:val="both"/>
      </w:pPr>
      <w:r>
        <w:rPr>
          <w:rFonts w:ascii="Times New Roman" w:cs="Times New Roman" w:eastAsia="Times New Roman" w:hAnsi="Times New Roman"/>
          <w:sz w:val="24"/>
          <w:szCs w:val="24"/>
        </w:rPr>
        <w:t xml:space="preserve">За постигане на целта са използвани следните методи: теоретичен анализ и синтез на научната литература; сравнителен анализ на съществуващи подходи, рамки и стандарти за оценяване на качество; моделиране — за конструиране на системата от области, критерии, показатели и правила; и апробиране чрез структурирано експертно оценяване на генерирани материали по документиран протокол.</w:t>
      </w:r>
    </w:p>
    <w:p>
      <w:pPr>
        <w:spacing w:after="120" w:line="360"/>
        <w:ind w:firstLine="709"/>
        <w:jc w:val="both"/>
      </w:pPr>
      <w:r>
        <w:rPr>
          <w:rFonts w:ascii="Times New Roman" w:cs="Times New Roman" w:eastAsia="Times New Roman" w:hAnsi="Times New Roman"/>
          <w:sz w:val="24"/>
          <w:szCs w:val="24"/>
        </w:rPr>
        <w:t xml:space="preserve">Обхватът на работата е съзнателно ограничен, а ограниченията са декларирани изрично. Апробирането обхваща три вида текстово учебно съдържание, генерирани от два широкодостъпни инструмента, върху една предметна област — уеб разработка с рамката Angular — избрана заради професионалната предметна компетентност на автора, необходима за фактологическата проверка; материалите са на български език; оценяването е извършено от един оценител. Тези ограничения определят и границите на изводите: работата се произнася за приложимостта на модела, а не за представително сравнение на генеративни инструменти. Изложението следва структура от три глави: първа глава полага теоретичните основи; втора глава анализира критериите, дефицитите и изискванията към бъдещия модел; трета глава конструира модела и го апробира, завършвайки с препоръки за приложението му в практиката на електронното обучение.</w:t>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6"/>
          <w:szCs w:val="26"/>
        </w:rPr>
        <w:t xml:space="preserve">1.1. Същност и видове електронно учебно съдържание</w:t>
      </w:r>
    </w:p>
    <w:p>
      <w:pPr>
        <w:spacing w:after="120" w:line="360"/>
        <w:ind w:firstLine="709"/>
        <w:jc w:val="both"/>
      </w:pPr>
      <w:r>
        <w:rPr>
          <w:rFonts w:ascii="Times New Roman" w:cs="Times New Roman" w:eastAsia="Times New Roman" w:hAnsi="Times New Roman"/>
          <w:sz w:val="24"/>
          <w:szCs w:val="24"/>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[1,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709"/>
        <w:jc w:val="both"/>
      </w:pPr>
      <w:r>
        <w:rPr>
          <w:rFonts w:ascii="Times New Roman" w:cs="Times New Roman" w:eastAsia="Times New Roman" w:hAnsi="Times New Roman"/>
          <w:sz w:val="24"/>
          <w:szCs w:val="24"/>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[2, обл. 2].</w:t>
      </w:r>
    </w:p>
    <w:p>
      <w:pPr>
        <w:spacing w:after="120" w:line="360"/>
        <w:ind w:firstLine="709"/>
        <w:jc w:val="both"/>
      </w:pPr>
      <w:r>
        <w:rPr>
          <w:rFonts w:ascii="Times New Roman" w:cs="Times New Roman" w:eastAsia="Times New Roman" w:hAnsi="Times New Roman"/>
          <w:sz w:val="24"/>
          <w:szCs w:val="24"/>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709"/>
        <w:jc w:val="both"/>
      </w:pPr>
      <w:r>
        <w:rPr>
          <w:rFonts w:ascii="Times New Roman" w:cs="Times New Roman" w:eastAsia="Times New Roman" w:hAnsi="Times New Roman"/>
          <w:sz w:val="24"/>
          <w:szCs w:val="24"/>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[1,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[3].</w:t>
      </w:r>
    </w:p>
    <w:p>
      <w:pPr>
        <w:spacing w:after="120" w:line="360"/>
        <w:ind w:firstLine="709"/>
        <w:jc w:val="both"/>
      </w:pPr>
      <w:r>
        <w:rPr>
          <w:rFonts w:ascii="Times New Roman" w:cs="Times New Roman" w:eastAsia="Times New Roman" w:hAnsi="Times New Roman"/>
          <w:sz w:val="24"/>
          <w:szCs w:val="24"/>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[4].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709"/>
        <w:jc w:val="both"/>
      </w:pPr>
      <w:r>
        <w:rPr>
          <w:rFonts w:ascii="Times New Roman" w:cs="Times New Roman" w:eastAsia="Times New Roman" w:hAnsi="Times New Roman"/>
          <w:sz w:val="24"/>
          <w:szCs w:val="24"/>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[5].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pStyle w:val="Heading2"/>
      </w:pPr>
      <w:r>
        <w:rPr>
          <w:rFonts w:ascii="Times New Roman" w:cs="Times New Roman" w:eastAsia="Times New Roman" w:hAnsi="Times New Roman"/>
          <w:b/>
          <w:bCs/>
          <w:sz w:val="26"/>
          <w:szCs w:val="26"/>
        </w:rPr>
        <w:t xml:space="preserve">1.2. Педагогически изисквания към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709"/>
        <w:jc w:val="both"/>
      </w:pPr>
      <w:r>
        <w:rPr>
          <w:rFonts w:ascii="Times New Roman" w:cs="Times New Roman" w:eastAsia="Times New Roman" w:hAnsi="Times New Roman"/>
          <w:sz w:val="24"/>
          <w:szCs w:val="24"/>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[6,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709"/>
        <w:jc w:val="both"/>
      </w:pPr>
      <w:r>
        <w:rPr>
          <w:rFonts w:ascii="Times New Roman" w:cs="Times New Roman" w:eastAsia="Times New Roman" w:hAnsi="Times New Roman"/>
          <w:sz w:val="24"/>
          <w:szCs w:val="24"/>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[7].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709"/>
        <w:jc w:val="both"/>
      </w:pPr>
      <w:r>
        <w:rPr>
          <w:rFonts w:ascii="Times New Roman" w:cs="Times New Roman" w:eastAsia="Times New Roman" w:hAnsi="Times New Roman"/>
          <w:sz w:val="24"/>
          <w:szCs w:val="24"/>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[1,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709"/>
        <w:jc w:val="both"/>
      </w:pPr>
      <w:r>
        <w:rPr>
          <w:rFonts w:ascii="Times New Roman" w:cs="Times New Roman" w:eastAsia="Times New Roman" w:hAnsi="Times New Roman"/>
          <w:sz w:val="24"/>
          <w:szCs w:val="24"/>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[2, обл. 2].</w:t>
      </w:r>
    </w:p>
    <w:p>
      <w:pPr>
        <w:spacing w:after="120" w:line="360"/>
        <w:ind w:firstLine="709"/>
        <w:jc w:val="both"/>
      </w:pPr>
      <w:r>
        <w:rPr>
          <w:rFonts w:ascii="Times New Roman" w:cs="Times New Roman" w:eastAsia="Times New Roman" w:hAnsi="Times New Roman"/>
          <w:sz w:val="24"/>
          <w:szCs w:val="24"/>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[1,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709"/>
        <w:jc w:val="both"/>
      </w:pPr>
      <w:r>
        <w:rPr>
          <w:rFonts w:ascii="Times New Roman" w:cs="Times New Roman" w:eastAsia="Times New Roman" w:hAnsi="Times New Roman"/>
          <w:sz w:val="24"/>
          <w:szCs w:val="24"/>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[8]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pStyle w:val="Heading2"/>
      </w:pPr>
      <w:r>
        <w:rPr>
          <w:rFonts w:ascii="Times New Roman" w:cs="Times New Roman" w:eastAsia="Times New Roman" w:hAnsi="Times New Roman"/>
          <w:b/>
          <w:bCs/>
          <w:sz w:val="26"/>
          <w:szCs w:val="26"/>
        </w:rPr>
        <w:t xml:space="preserve">1.3. Същност и основни характеристики на генеративните инструменти с изкуствен интелект</w:t>
      </w:r>
    </w:p>
    <w:p>
      <w:pPr>
        <w:spacing w:after="120" w:line="360"/>
        <w:ind w:firstLine="709"/>
        <w:jc w:val="both"/>
      </w:pPr>
      <w:r>
        <w:rPr>
          <w:rFonts w:ascii="Times New Roman" w:cs="Times New Roman" w:eastAsia="Times New Roman" w:hAnsi="Times New Roman"/>
          <w:sz w:val="24"/>
          <w:szCs w:val="24"/>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[5].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709"/>
        <w:jc w:val="both"/>
      </w:pPr>
      <w:r>
        <w:rPr>
          <w:rFonts w:ascii="Times New Roman" w:cs="Times New Roman" w:eastAsia="Times New Roman" w:hAnsi="Times New Roman"/>
          <w:sz w:val="24"/>
          <w:szCs w:val="24"/>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[9].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709"/>
        <w:jc w:val="both"/>
      </w:pPr>
      <w:r>
        <w:rPr>
          <w:rFonts w:ascii="Times New Roman" w:cs="Times New Roman" w:eastAsia="Times New Roman" w:hAnsi="Times New Roman"/>
          <w:sz w:val="24"/>
          <w:szCs w:val="24"/>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[9].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[5].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709"/>
        <w:jc w:val="both"/>
      </w:pPr>
      <w:r>
        <w:rPr>
          <w:rFonts w:ascii="Times New Roman" w:cs="Times New Roman" w:eastAsia="Times New Roman" w:hAnsi="Times New Roman"/>
          <w:sz w:val="24"/>
          <w:szCs w:val="24"/>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[9].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709"/>
        <w:jc w:val="both"/>
      </w:pPr>
      <w:r>
        <w:rPr>
          <w:rFonts w:ascii="Times New Roman" w:cs="Times New Roman" w:eastAsia="Times New Roman" w:hAnsi="Times New Roman"/>
          <w:sz w:val="24"/>
          <w:szCs w:val="24"/>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[10].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709"/>
        <w:jc w:val="both"/>
      </w:pPr>
      <w:r>
        <w:rPr>
          <w:rFonts w:ascii="Times New Roman" w:cs="Times New Roman" w:eastAsia="Times New Roman" w:hAnsi="Times New Roman"/>
          <w:sz w:val="24"/>
          <w:szCs w:val="24"/>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709"/>
        <w:jc w:val="both"/>
      </w:pPr>
      <w:r>
        <w:rPr>
          <w:rFonts w:ascii="Times New Roman" w:cs="Times New Roman" w:eastAsia="Times New Roman" w:hAnsi="Times New Roman"/>
          <w:sz w:val="24"/>
          <w:szCs w:val="24"/>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6"/>
          <w:szCs w:val="26"/>
        </w:rPr>
        <w:t xml:space="preserve">1.4. Възможности за използване на генеративни AI инструменти при разработване на учебни материали</w:t>
      </w:r>
    </w:p>
    <w:p>
      <w:pPr>
        <w:spacing w:after="120" w:line="360"/>
        <w:ind w:firstLine="709"/>
        <w:jc w:val="both"/>
      </w:pPr>
      <w:r>
        <w:rPr>
          <w:rFonts w:ascii="Times New Roman" w:cs="Times New Roman" w:eastAsia="Times New Roman" w:hAnsi="Times New Roman"/>
          <w:sz w:val="24"/>
          <w:szCs w:val="24"/>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[5].</w:t>
      </w:r>
    </w:p>
    <w:p>
      <w:pPr>
        <w:spacing w:after="120" w:line="360"/>
        <w:ind w:firstLine="709"/>
        <w:jc w:val="both"/>
      </w:pPr>
      <w:r>
        <w:rPr>
          <w:rFonts w:ascii="Times New Roman" w:cs="Times New Roman" w:eastAsia="Times New Roman" w:hAnsi="Times New Roman"/>
          <w:sz w:val="24"/>
          <w:szCs w:val="24"/>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[9].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709"/>
        <w:jc w:val="both"/>
      </w:pPr>
      <w:r>
        <w:rPr>
          <w:rFonts w:ascii="Times New Roman" w:cs="Times New Roman" w:eastAsia="Times New Roman" w:hAnsi="Times New Roman"/>
          <w:sz w:val="24"/>
          <w:szCs w:val="24"/>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[11].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[12].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709"/>
        <w:jc w:val="both"/>
      </w:pPr>
      <w:r>
        <w:rPr>
          <w:rFonts w:ascii="Times New Roman" w:cs="Times New Roman" w:eastAsia="Times New Roman" w:hAnsi="Times New Roman"/>
          <w:sz w:val="24"/>
          <w:szCs w:val="24"/>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[13].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[14].</w:t>
      </w:r>
    </w:p>
    <w:p>
      <w:pPr>
        <w:spacing w:after="120" w:line="360"/>
        <w:ind w:firstLine="709"/>
        <w:jc w:val="both"/>
      </w:pPr>
      <w:r>
        <w:rPr>
          <w:rFonts w:ascii="Times New Roman" w:cs="Times New Roman" w:eastAsia="Times New Roman" w:hAnsi="Times New Roman"/>
          <w:sz w:val="24"/>
          <w:szCs w:val="24"/>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709"/>
        <w:jc w:val="both"/>
      </w:pPr>
      <w:r>
        <w:rPr>
          <w:rFonts w:ascii="Times New Roman" w:cs="Times New Roman" w:eastAsia="Times New Roman" w:hAnsi="Times New Roman"/>
          <w:sz w:val="24"/>
          <w:szCs w:val="24"/>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pStyle w:val="Heading2"/>
      </w:pPr>
      <w:r>
        <w:rPr>
          <w:rFonts w:ascii="Times New Roman" w:cs="Times New Roman" w:eastAsia="Times New Roman" w:hAnsi="Times New Roman"/>
          <w:b/>
          <w:bCs/>
          <w:sz w:val="26"/>
          <w:szCs w:val="26"/>
        </w:rPr>
        <w:t xml:space="preserve">1.5. Предимства, ограничения и рискове при използването им в образованието</w:t>
      </w:r>
    </w:p>
    <w:p>
      <w:pPr>
        <w:spacing w:after="120" w:line="360"/>
        <w:ind w:firstLine="709"/>
        <w:jc w:val="both"/>
      </w:pPr>
      <w:r>
        <w:rPr>
          <w:rFonts w:ascii="Times New Roman" w:cs="Times New Roman" w:eastAsia="Times New Roman" w:hAnsi="Times New Roman"/>
          <w:sz w:val="24"/>
          <w:szCs w:val="24"/>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[15], който подрежда разпръснатите в литературата наблюдения в четири взаимно свързани полета.</w:t>
      </w:r>
    </w:p>
    <w:p>
      <w:pPr>
        <w:spacing w:after="120" w:line="360"/>
        <w:ind w:firstLine="709"/>
        <w:jc w:val="both"/>
      </w:pPr>
      <w:r>
        <w:rPr>
          <w:rFonts w:ascii="Times New Roman" w:cs="Times New Roman" w:eastAsia="Times New Roman" w:hAnsi="Times New Roman"/>
          <w:sz w:val="24"/>
          <w:szCs w:val="24"/>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[16].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709"/>
        <w:jc w:val="both"/>
      </w:pPr>
      <w:r>
        <w:rPr>
          <w:rFonts w:ascii="Times New Roman" w:cs="Times New Roman" w:eastAsia="Times New Roman" w:hAnsi="Times New Roman"/>
          <w:sz w:val="24"/>
          <w:szCs w:val="24"/>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[15].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[5].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709"/>
        <w:jc w:val="both"/>
      </w:pPr>
      <w:r>
        <w:rPr>
          <w:rFonts w:ascii="Times New Roman" w:cs="Times New Roman" w:eastAsia="Times New Roman" w:hAnsi="Times New Roman"/>
          <w:sz w:val="24"/>
          <w:szCs w:val="24"/>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[15].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709"/>
        <w:jc w:val="both"/>
      </w:pPr>
      <w:r>
        <w:rPr>
          <w:rFonts w:ascii="Times New Roman" w:cs="Times New Roman" w:eastAsia="Times New Roman" w:hAnsi="Times New Roman"/>
          <w:sz w:val="24"/>
          <w:szCs w:val="24"/>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[9].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[15].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709"/>
        <w:jc w:val="both"/>
      </w:pPr>
      <w:r>
        <w:rPr>
          <w:rFonts w:ascii="Times New Roman" w:cs="Times New Roman" w:eastAsia="Times New Roman" w:hAnsi="Times New Roman"/>
          <w:sz w:val="24"/>
          <w:szCs w:val="24"/>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[9].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6"/>
          <w:szCs w:val="26"/>
        </w:rPr>
        <w:t xml:space="preserve">1.6. Етични, правни и академични изисквания при създаване на съдържание с AI</w:t>
      </w:r>
    </w:p>
    <w:p>
      <w:pPr>
        <w:spacing w:after="120" w:line="360"/>
        <w:ind w:firstLine="709"/>
        <w:jc w:val="both"/>
      </w:pPr>
      <w:r>
        <w:rPr>
          <w:rFonts w:ascii="Times New Roman" w:cs="Times New Roman" w:eastAsia="Times New Roman" w:hAnsi="Times New Roman"/>
          <w:sz w:val="24"/>
          <w:szCs w:val="24"/>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709"/>
        <w:jc w:val="both"/>
      </w:pPr>
      <w:r>
        <w:rPr>
          <w:rFonts w:ascii="Times New Roman" w:cs="Times New Roman" w:eastAsia="Times New Roman" w:hAnsi="Times New Roman"/>
          <w:sz w:val="24"/>
          <w:szCs w:val="24"/>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[9].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709"/>
        <w:jc w:val="both"/>
      </w:pPr>
      <w:r>
        <w:rPr>
          <w:rFonts w:ascii="Times New Roman" w:cs="Times New Roman" w:eastAsia="Times New Roman" w:hAnsi="Times New Roman"/>
          <w:sz w:val="24"/>
          <w:szCs w:val="24"/>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[17].</w:t>
      </w:r>
    </w:p>
    <w:p>
      <w:pPr>
        <w:spacing w:after="120" w:line="360"/>
        <w:ind w:firstLine="709"/>
        <w:jc w:val="both"/>
      </w:pPr>
      <w:r>
        <w:rPr>
          <w:rFonts w:ascii="Times New Roman" w:cs="Times New Roman" w:eastAsia="Times New Roman" w:hAnsi="Times New Roman"/>
          <w:sz w:val="24"/>
          <w:szCs w:val="24"/>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[18].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709"/>
        <w:jc w:val="both"/>
      </w:pPr>
      <w:r>
        <w:rPr>
          <w:rFonts w:ascii="Times New Roman" w:cs="Times New Roman" w:eastAsia="Times New Roman" w:hAnsi="Times New Roman"/>
          <w:sz w:val="24"/>
          <w:szCs w:val="24"/>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[9].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709"/>
        <w:jc w:val="both"/>
      </w:pPr>
      <w:r>
        <w:rPr>
          <w:rFonts w:ascii="Times New Roman" w:cs="Times New Roman" w:eastAsia="Times New Roman" w:hAnsi="Times New Roman"/>
          <w:sz w:val="24"/>
          <w:szCs w:val="24"/>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[9].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709"/>
        <w:jc w:val="both"/>
      </w:pPr>
      <w:r>
        <w:rPr>
          <w:rFonts w:ascii="Times New Roman" w:cs="Times New Roman" w:eastAsia="Times New Roman" w:hAnsi="Times New Roman"/>
          <w:sz w:val="24"/>
          <w:szCs w:val="24"/>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pStyle w:val="Heading2"/>
      </w:pPr>
      <w:r>
        <w:rPr>
          <w:rFonts w:ascii="Times New Roman" w:cs="Times New Roman" w:eastAsia="Times New Roman" w:hAnsi="Times New Roman"/>
          <w:b/>
          <w:bCs/>
          <w:sz w:val="26"/>
          <w:szCs w:val="26"/>
        </w:rPr>
        <w:t xml:space="preserve">1.7. Подходи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709"/>
        <w:jc w:val="both"/>
      </w:pPr>
      <w:r>
        <w:rPr>
          <w:rFonts w:ascii="Times New Roman" w:cs="Times New Roman" w:eastAsia="Times New Roman" w:hAnsi="Times New Roman"/>
          <w:sz w:val="24"/>
          <w:szCs w:val="24"/>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[8], а доказателствено обоснованите принципи на мултимедийното учене предоставят емпирично проверена база, върху която такива критерии могат да стъпят [1,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709"/>
        <w:jc w:val="both"/>
      </w:pPr>
      <w:r>
        <w:rPr>
          <w:rFonts w:ascii="Times New Roman" w:cs="Times New Roman" w:eastAsia="Times New Roman" w:hAnsi="Times New Roman"/>
          <w:sz w:val="24"/>
          <w:szCs w:val="24"/>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[19].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709"/>
        <w:jc w:val="both"/>
      </w:pPr>
      <w:r>
        <w:rPr>
          <w:rFonts w:ascii="Times New Roman" w:cs="Times New Roman" w:eastAsia="Times New Roman" w:hAnsi="Times New Roman"/>
          <w:sz w:val="24"/>
          <w:szCs w:val="24"/>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[20].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709"/>
        <w:jc w:val="both"/>
      </w:pPr>
      <w:r>
        <w:rPr>
          <w:rFonts w:ascii="Times New Roman" w:cs="Times New Roman" w:eastAsia="Times New Roman" w:hAnsi="Times New Roman"/>
          <w:sz w:val="24"/>
          <w:szCs w:val="24"/>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709"/>
        <w:jc w:val="both"/>
      </w:pPr>
      <w:r>
        <w:rPr>
          <w:rFonts w:ascii="Times New Roman" w:cs="Times New Roman" w:eastAsia="Times New Roman" w:hAnsi="Times New Roman"/>
          <w:sz w:val="24"/>
          <w:szCs w:val="24"/>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pStyle w:val="Heading2"/>
      </w:pPr>
      <w:r>
        <w:rPr>
          <w:rFonts w:ascii="Times New Roman" w:cs="Times New Roman" w:eastAsia="Times New Roman" w:hAnsi="Times New Roman"/>
          <w:b/>
          <w:bCs/>
          <w:sz w:val="26"/>
          <w:szCs w:val="26"/>
        </w:rPr>
        <w:t xml:space="preserve">Изводи от първа глава</w:t>
      </w:r>
    </w:p>
    <w:p>
      <w:pPr>
        <w:spacing w:after="120" w:line="360"/>
        <w:ind w:firstLine="709"/>
        <w:jc w:val="both"/>
      </w:pPr>
      <w:r>
        <w:rPr>
          <w:rFonts w:ascii="Times New Roman" w:cs="Times New Roman" w:eastAsia="Times New Roman" w:hAnsi="Times New Roman"/>
          <w:sz w:val="24"/>
          <w:szCs w:val="24"/>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709"/>
        <w:jc w:val="both"/>
      </w:pPr>
      <w:r>
        <w:rPr>
          <w:rFonts w:ascii="Times New Roman" w:cs="Times New Roman" w:eastAsia="Times New Roman" w:hAnsi="Times New Roman"/>
          <w:sz w:val="24"/>
          <w:szCs w:val="24"/>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709"/>
        <w:jc w:val="both"/>
      </w:pPr>
      <w:r>
        <w:rPr>
          <w:rFonts w:ascii="Times New Roman" w:cs="Times New Roman" w:eastAsia="Times New Roman" w:hAnsi="Times New Roman"/>
          <w:sz w:val="24"/>
          <w:szCs w:val="24"/>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709"/>
        <w:jc w:val="both"/>
      </w:pPr>
      <w:r>
        <w:rPr>
          <w:rFonts w:ascii="Times New Roman" w:cs="Times New Roman" w:eastAsia="Times New Roman" w:hAnsi="Times New Roman"/>
          <w:sz w:val="24"/>
          <w:szCs w:val="24"/>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709"/>
        <w:jc w:val="both"/>
      </w:pPr>
      <w:r>
        <w:rPr>
          <w:rFonts w:ascii="Times New Roman" w:cs="Times New Roman" w:eastAsia="Times New Roman" w:hAnsi="Times New Roman"/>
          <w:sz w:val="24"/>
          <w:szCs w:val="24"/>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709"/>
        <w:jc w:val="both"/>
      </w:pPr>
      <w:r>
        <w:rPr>
          <w:rFonts w:ascii="Times New Roman" w:cs="Times New Roman" w:eastAsia="Times New Roman" w:hAnsi="Times New Roman"/>
          <w:sz w:val="24"/>
          <w:szCs w:val="24"/>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pStyle w:val="Heading1"/>
      </w:pPr>
      <w:r>
        <w:rPr>
          <w:rFonts w:ascii="Times New Roman" w:cs="Times New Roman" w:eastAsia="Times New Roman" w:hAnsi="Times New Roman"/>
          <w:b/>
          <w:bCs/>
          <w:sz w:val="28"/>
          <w:szCs w:val="28"/>
        </w:rPr>
        <w:t xml:space="preserve">ГЛАВА ВТОРА. Анализ на критерии и показатели за качество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6"/>
          <w:szCs w:val="26"/>
        </w:rPr>
        <w:t xml:space="preserve">2.1. Съществуващи подходи и критерии за оценяване на качеството на електронното учебно съдържание</w:t>
      </w:r>
    </w:p>
    <w:p>
      <w:pPr>
        <w:spacing w:after="120" w:line="360"/>
        <w:ind w:firstLine="709"/>
        <w:jc w:val="both"/>
      </w:pPr>
      <w:r>
        <w:rPr>
          <w:rFonts w:ascii="Times New Roman" w:cs="Times New Roman" w:eastAsia="Times New Roman" w:hAnsi="Times New Roman"/>
          <w:sz w:val="24"/>
          <w:szCs w:val="24"/>
        </w:rPr>
        <w:t xml:space="preserve">Първа глава установи, че традиционните подходи за оценяване не са конструирани за съдържание, създадено с генеративни инструменти. Настоящата точка проследява как литературата от последните години запълва тази празнина и какви подходи и критерии се предлагат конкретно за AI-генерирано учебно съдържание, за да се установи върху какво може да стъпи собственият модел и къде съществуващите решения остават недостатъчни. Прегледът обособява три семейства подходи.</w:t>
      </w:r>
    </w:p>
    <w:p>
      <w:pPr>
        <w:spacing w:after="120" w:line="360"/>
        <w:ind w:firstLine="709"/>
        <w:jc w:val="both"/>
      </w:pPr>
      <w:r>
        <w:rPr>
          <w:rFonts w:ascii="Times New Roman" w:cs="Times New Roman" w:eastAsia="Times New Roman" w:hAnsi="Times New Roman"/>
          <w:sz w:val="24"/>
          <w:szCs w:val="24"/>
        </w:rPr>
        <w:t xml:space="preserve">Първото семейство адаптира наследената критериална традиция: съществуващите системи от критерии за качество на електронно съдържание — педагогически, езикови, визуални — се прилагат към генерираните материали без съществена промяна. Тази линия има солидна основа, тъй като, както беше показано в първа глава, педагогическите изисквания не зависят от произхода на съдържанието. Слабостта ѝ е огледална: критериите, създадени при допускането за добросъвестен човешки автор, не съдържат проверките, които спецификата на генерирането прави задължителни — систематична проверка за фактически измислици, за измислени източници, за шаблонност и за скрита неоригиналност.</w:t>
      </w:r>
    </w:p>
    <w:p>
      <w:pPr>
        <w:spacing w:after="120" w:line="360"/>
        <w:ind w:firstLine="709"/>
        <w:jc w:val="both"/>
      </w:pPr>
      <w:r>
        <w:rPr>
          <w:rFonts w:ascii="Times New Roman" w:cs="Times New Roman" w:eastAsia="Times New Roman" w:hAnsi="Times New Roman"/>
          <w:sz w:val="24"/>
          <w:szCs w:val="24"/>
        </w:rPr>
        <w:t xml:space="preserve">Второто семейство разработва нови, специално предназначени за AI-генерирани ресурси оценъчни рамки. Показателен пример е изследването на Huang и колектив, което конструира и апробира подход за оценяване на качеството на AI-генерирани дигитални образователни ресурси във висшето образование, съчетаващ множество измерения на качеството — съдържателни, педагогически и технологични — в единна оценъчна процедура [21]. Значението на тази линия за настоящата работа е двойно: тя доказва осъществимостта на специализирано оценяване и едновременно с това показва, че полето е още в началото си — предложените рамки са малко на брой, апробирани върху ограничени извадки и не са достигнали до утвърден, широко приет стандарт.</w:t>
      </w:r>
    </w:p>
    <w:p>
      <w:pPr>
        <w:spacing w:after="120" w:line="360"/>
        <w:ind w:firstLine="709"/>
        <w:jc w:val="both"/>
      </w:pPr>
      <w:r>
        <w:rPr>
          <w:rFonts w:ascii="Times New Roman" w:cs="Times New Roman" w:eastAsia="Times New Roman" w:hAnsi="Times New Roman"/>
          <w:sz w:val="24"/>
          <w:szCs w:val="24"/>
        </w:rPr>
        <w:t xml:space="preserve">Третото семейство вгражда контрола на качеството в самия процес на генериране. Системите от типа на COGENT налагат педагогически ограничения още при създаването на съдържанието [13], а мулти-агентните архитектури като Instructional Agents включват вътрешни роли за преглед и проверка на произведените материали [14]. На институционално равнище същата логика се проявява в рамки, които интегрират изкуствения интелект в системите за осигуряване на качеството на висшето образование [17]. Силата на това семейство е превенцията — дефектите се ограничават на входа; слабостта му е, че вграденият контрол е достъпен само за онзи, който контролира системата, и остава непрозрачен за крайния потребител на съдържанието — преподавателя, който получава готов материал.</w:t>
      </w:r>
    </w:p>
    <w:p>
      <w:pPr>
        <w:spacing w:after="120" w:line="360"/>
        <w:ind w:firstLine="709"/>
        <w:jc w:val="both"/>
      </w:pPr>
      <w:r>
        <w:rPr>
          <w:rFonts w:ascii="Times New Roman" w:cs="Times New Roman" w:eastAsia="Times New Roman" w:hAnsi="Times New Roman"/>
          <w:sz w:val="24"/>
          <w:szCs w:val="24"/>
        </w:rPr>
        <w:t xml:space="preserve">Съпоставката на трите семейства по три оси — какво се оценява (отделният материал, процесът на създаване или институционалната система), кой оценява (експерт, автоматизиран механизъм или комбинация) и кога настъпва оценяването (преди или след достигането на материала до обучаемите) — откроява обща картина на фрагментарност. Наследените критерии оценяват материала, но пропускат AI-специфичните рискове; новите рамки ги улавят, но са малобройни и неутвърдени; вграденият контрол действа превантивно, но е недостъпен за масовата практика на преподавателя, който работи чрез диалог с общодостъпен инструмент. Интегриран, практически приложим модел, който да съчетава критериалната традиция със специфичните за генерираното съдържание проверки и да е използваем от отделния преподавател без специализирана инфраструктура — тъкмо какъвто настоящата работа си поставя за цел — в прегледаната литература не се открива.</w:t>
      </w:r>
    </w:p>
    <w:p>
      <w:pPr>
        <w:spacing w:after="120" w:line="360"/>
        <w:ind w:firstLine="709"/>
        <w:jc w:val="both"/>
      </w:pPr>
      <w:r>
        <w:rPr>
          <w:rFonts w:ascii="Times New Roman" w:cs="Times New Roman" w:eastAsia="Times New Roman" w:hAnsi="Times New Roman"/>
          <w:sz w:val="24"/>
          <w:szCs w:val="24"/>
        </w:rPr>
        <w:t xml:space="preserve">Този извод задава програмата на останалата част от главата: точки 2.2–2.5 анализират последователно четирите семейства критерии, от които такъв модел трябва да се изгради — научна коректност и достоверност, дидактическа пригодност, езикова яснота и достъпност, оригиналност и етична допустимост; точка 2.6 систематизира типичните дефицити на генерираното съдържание, срещу които критериите трябва да бъдат чувствителни; а точка 2.7 обобщава анализа в изисквания към бъдещия модел.</w:t>
      </w:r>
    </w:p>
    <w:p>
      <w:pPr>
        <w:pStyle w:val="Heading2"/>
      </w:pPr>
      <w:r>
        <w:rPr>
          <w:rFonts w:ascii="Times New Roman" w:cs="Times New Roman" w:eastAsia="Times New Roman" w:hAnsi="Times New Roman"/>
          <w:b/>
          <w:bCs/>
          <w:sz w:val="26"/>
          <w:szCs w:val="26"/>
        </w:rPr>
        <w:t xml:space="preserve">2.2. Критерии за научна коректност и достоверност на учебното съдържание</w:t>
      </w:r>
    </w:p>
    <w:p>
      <w:pPr>
        <w:spacing w:after="120" w:line="360"/>
        <w:ind w:firstLine="709"/>
        <w:jc w:val="both"/>
      </w:pPr>
      <w:r>
        <w:rPr>
          <w:rFonts w:ascii="Times New Roman" w:cs="Times New Roman" w:eastAsia="Times New Roman" w:hAnsi="Times New Roman"/>
          <w:sz w:val="24"/>
          <w:szCs w:val="24"/>
        </w:rPr>
        <w:t xml:space="preserve">Научната коректност е първата и базова област на качеството: учебен материал, който съобщава неверни факти, компрометира самата цел на обучението, независимо колко добре е структуриран и оформен. Заглавието на точката очертава четирите ѝ измерения — точност, актуалност, надеждност и съответствие с източниците. При съдържание с човешки автор тези свойства обикновено се приемат по подразбиране въз основа на доверието в квалификацията и добросъвестността на автора; при генерирано съдържание, както показа първа глава, такова доверие няма върху какво да стъпи и всяко от измеренията трябва да бъде превърнато в изрична проверка.</w:t>
      </w:r>
    </w:p>
    <w:p>
      <w:pPr>
        <w:spacing w:after="120" w:line="360"/>
        <w:ind w:firstLine="709"/>
        <w:jc w:val="both"/>
      </w:pPr>
      <w:r>
        <w:rPr>
          <w:rFonts w:ascii="Times New Roman" w:cs="Times New Roman" w:eastAsia="Times New Roman" w:hAnsi="Times New Roman"/>
          <w:sz w:val="24"/>
          <w:szCs w:val="24"/>
        </w:rPr>
        <w:t xml:space="preserve">Точността засяга верността на отделните твърдения. Спецификата на генерираното съдържание тук е двойна. От една страна, халюцинациите правят възможни грешки от вид, който при добросъвестен човешки автор практически не се среща — уверено формулирани, но изцяло измислени факти, данни и източници [9]. От друга страна, тези грешки не са маркирани стилистично: сравнителните изследвания показват, че генерираните учебни ресурси са трудно различими от човешките по възприемано качество и повърхностни белези [22]. Следствието за критериите е принципно — проверката на точността не може да разчита на усета на четящия за „съмнителен текст", а трябва да се извършва твърдение по твърдение, срещу независими източници: учебна литература, официална документация, стандарти.</w:t>
      </w:r>
    </w:p>
    <w:p>
      <w:pPr>
        <w:spacing w:after="120" w:line="360"/>
        <w:ind w:firstLine="709"/>
        <w:jc w:val="both"/>
      </w:pPr>
      <w:r>
        <w:rPr>
          <w:rFonts w:ascii="Times New Roman" w:cs="Times New Roman" w:eastAsia="Times New Roman" w:hAnsi="Times New Roman"/>
          <w:sz w:val="24"/>
          <w:szCs w:val="24"/>
        </w:rPr>
        <w:t xml:space="preserve">Актуалността произтича от начина на обучение на езиковите модели: техните знания отразяват състоянието на обучителните данни към минал момент и не се обновяват сами. Рискът е системен и е особено остър в бързо развиващи се области — каквито са например софтуерните технологии, където интерфейси, версии и препоръчани практики се променят на месеци. Генериран материал може да описва коректно вчерашното състояние на дадена технология и с това да бъде практически вреден днес. Показателят, който критерият изисква, е съответствие на съдържанието с актуалното състояние на областта — актуална версия, действащ стандарт, съвременна терминология — проверено към момента на използване, а не към момента на генериране.</w:t>
      </w:r>
    </w:p>
    <w:p>
      <w:pPr>
        <w:spacing w:after="120" w:line="360"/>
        <w:ind w:firstLine="709"/>
        <w:jc w:val="both"/>
      </w:pPr>
      <w:r>
        <w:rPr>
          <w:rFonts w:ascii="Times New Roman" w:cs="Times New Roman" w:eastAsia="Times New Roman" w:hAnsi="Times New Roman"/>
          <w:sz w:val="24"/>
          <w:szCs w:val="24"/>
        </w:rPr>
        <w:t xml:space="preserve">Надеждността и съответствието с източниците образуват третото и четвъртото измерение, които при генерирано съдържание се сливат в едно практическо изискване: проследимост. Генерираният текст може да се позовава на несъществуващи публикации или да приписва на реални източници твърдения, които те не съдържат — дефект, познат и документиран в литературата за халюцинациите [9]. Затова критерият изисква всяко съществено твърдение в учебния материал да бъде проследимо до проверим източник, а всеки цитиран източник да бъде проверен в две стъпки: първо, че съществува, и второ, че действително казва онова, което му се приписва. За учебно съдържание, което по правило представя утвърдено знание, това изискване е изпълнимо — то съвпада с нормалната практика на добросъвестния автор — но при генериран материал трябва да бъде извършено от проверяващия, защото не е било извършено от никого при създаването.</w:t>
      </w:r>
    </w:p>
    <w:p>
      <w:pPr>
        <w:spacing w:after="120" w:line="360"/>
        <w:ind w:firstLine="709"/>
        <w:jc w:val="both"/>
      </w:pPr>
      <w:r>
        <w:rPr>
          <w:rFonts w:ascii="Times New Roman" w:cs="Times New Roman" w:eastAsia="Times New Roman" w:hAnsi="Times New Roman"/>
          <w:sz w:val="24"/>
          <w:szCs w:val="24"/>
        </w:rPr>
        <w:t xml:space="preserve">Мащабът на проблема с източниците е измерен и емпирично. Изследване върху 636 библиографски позовавания, генерирани от два широко използвани диалогови модела, установява, че при по-стария модел 55% от цитатите са изцяло измислени, а при по-новия — 18%, като и сред реално съществуващите цитати съществена част съдържа значими грешки [23]. Данните показват две неща едновременно: че новите поколения модели намаляват честотата на измислените източници и че дори при най-добрите тя остава далеч от пренебрежима. Критерият за проследимост следователно не може да бъде отслабен с аргумента за технологичния напредък — по-рядката грешка е също толкова невидима за читателя, колкото и честата.</w:t>
      </w:r>
    </w:p>
    <w:p>
      <w:pPr>
        <w:spacing w:after="120" w:line="360"/>
        <w:ind w:firstLine="709"/>
        <w:jc w:val="both"/>
      </w:pPr>
      <w:r>
        <w:rPr>
          <w:rFonts w:ascii="Times New Roman" w:cs="Times New Roman" w:eastAsia="Times New Roman" w:hAnsi="Times New Roman"/>
          <w:sz w:val="24"/>
          <w:szCs w:val="24"/>
        </w:rPr>
        <w:t xml:space="preserve">Обобщено, критериите за научна коректност на генерираното учебно съдържание не се различават по форма от класическите — точност, актуалност, надеждност, съответствие с източниците — но операционализацията им се обръща: от презумпция за коректност, оборвана по изключение, към проверка на всяко съществено твърдение, при която коректността се установява, а не се предполага. В този вид — като проверими показатели на равнище твърдение и източник — критериите от настоящата точка ще влязат в съдържателната област „научна коректност" на модела в трета глава. Научно коректното съдържание обаче може да бъде дидактически негодно; критериите, които оценяват пригодността му за учебни цели, са предмет на следващата точка.</w:t>
      </w:r>
    </w:p>
    <w:p>
      <w:pPr>
        <w:pStyle w:val="Heading2"/>
      </w:pPr>
      <w:r>
        <w:rPr>
          <w:rFonts w:ascii="Times New Roman" w:cs="Times New Roman" w:eastAsia="Times New Roman" w:hAnsi="Times New Roman"/>
          <w:b/>
          <w:bCs/>
          <w:sz w:val="26"/>
          <w:szCs w:val="26"/>
        </w:rPr>
        <w:t xml:space="preserve">2.3. Критерии за дидактическа пригодност и съответствие с учебните цели</w:t>
      </w:r>
    </w:p>
    <w:p>
      <w:pPr>
        <w:spacing w:after="120" w:line="360"/>
        <w:ind w:firstLine="709"/>
        <w:jc w:val="both"/>
      </w:pPr>
      <w:r>
        <w:rPr>
          <w:rFonts w:ascii="Times New Roman" w:cs="Times New Roman" w:eastAsia="Times New Roman" w:hAnsi="Times New Roman"/>
          <w:sz w:val="24"/>
          <w:szCs w:val="24"/>
        </w:rPr>
        <w:t xml:space="preserve">Дидактическата пригодност е втората област на качеството и е логически независима от първата: материал с безупречна фактология може да бъде негоден за обучение — зле подреден, несъобразен с аудиторията, лишен от упражнения и обратна връзка. Критериите в тази област произтичат пряко от педагогическите изисквания, формулирани в точка 1.2; задачата на настоящата точка е да ги превърне от изисквания към създаването в проверими критерии за оценяване на готов материал.</w:t>
      </w:r>
    </w:p>
    <w:p>
      <w:pPr>
        <w:spacing w:after="120" w:line="360"/>
        <w:ind w:firstLine="709"/>
        <w:jc w:val="both"/>
      </w:pPr>
      <w:r>
        <w:rPr>
          <w:rFonts w:ascii="Times New Roman" w:cs="Times New Roman" w:eastAsia="Times New Roman" w:hAnsi="Times New Roman"/>
          <w:sz w:val="24"/>
          <w:szCs w:val="24"/>
        </w:rPr>
        <w:t xml:space="preserve">Първият критерий е съответствието с учебните цели: всеки елемент от съдържанието трябва да обслужва поне една формулирана цел, а всяка цел да бъде покрита от съдържанието и от средствата за проверка. Вторият е педагогическата логика на изложението — последователност, съответстваща на учебната логика на дисциплината, сегментиране на смислови единици и въвеждане на понятията преди употребата им [1, гл. 13]; проверимият показател е дали обучаем с декларираните предварителни знания може да следва изложението, без да се натъква на неизведени понятия. Третият критерий е активното учене: наличие на примери, задачи за прилагане и съдържателна обратна връзка — операционализация на принципите за демонстрация и прилагане [6, с. 44–45].</w:t>
      </w:r>
    </w:p>
    <w:p>
      <w:pPr>
        <w:spacing w:after="120" w:line="360"/>
        <w:ind w:firstLine="709"/>
        <w:jc w:val="both"/>
      </w:pPr>
      <w:r>
        <w:rPr>
          <w:rFonts w:ascii="Times New Roman" w:cs="Times New Roman" w:eastAsia="Times New Roman" w:hAnsi="Times New Roman"/>
          <w:sz w:val="24"/>
          <w:szCs w:val="24"/>
        </w:rPr>
        <w:t xml:space="preserve">Спецификата на генерираното съдържание в тази област е по-фина, отколкото при научната коректност, и затова по-коварна. Езиковият модел възпроизвежда формата на учебния текст убедително — определения, примери, обобщения се редуват в познат ритъм — но зад формата няма модел на конкретната аудитория, на нейните предварителни знания и на учебната програма, в която материалът трябва да се вгради. Опитът на системите за контролирано генериране потвърждава това от обратната страна: за да бъде генерираното съдържание съобразено с учебната програма и с равнището на обучаемите, тези ограничения трябва да бъдат вградени изрично в процеса на генериране [13] — а при масовата практика на диалогово създаване такова вграждане липсва, освен ако преподавателят не го е внесъл сам чрез заявката.</w:t>
      </w:r>
    </w:p>
    <w:p>
      <w:pPr>
        <w:spacing w:after="120" w:line="360"/>
        <w:ind w:firstLine="709"/>
        <w:jc w:val="both"/>
      </w:pPr>
      <w:r>
        <w:rPr>
          <w:rFonts w:ascii="Times New Roman" w:cs="Times New Roman" w:eastAsia="Times New Roman" w:hAnsi="Times New Roman"/>
          <w:sz w:val="24"/>
          <w:szCs w:val="24"/>
        </w:rPr>
        <w:t xml:space="preserve">Полезна отправна точка дава и по-старият, предгенеративен клон на автоматичното създаване на учебни материали — автоматичното генериране на тестови въпроси. Систематичният преглед на 93 изследвания в тази област показва, че още преди големите езикови модели полето е разработило подробни изисквания към качеството на генерираните въпроси — свързаност с учебното съдържание, еднозначност на верния отговор, правдоподобност на грешните алтернативи — и че оценяването им системно изисква човешка експертна проверка [24]. Този опит е пряко приложим към днешните инструменти: изискванията към качеството на въпросите не зависят от технологията на генериране, а необходимостта от експертна проверка се е запазвала при всяка досегашна технологична смяна.</w:t>
      </w:r>
    </w:p>
    <w:p>
      <w:pPr>
        <w:spacing w:after="120" w:line="360"/>
        <w:ind w:firstLine="709"/>
        <w:jc w:val="both"/>
      </w:pPr>
      <w:r>
        <w:rPr>
          <w:rFonts w:ascii="Times New Roman" w:cs="Times New Roman" w:eastAsia="Times New Roman" w:hAnsi="Times New Roman"/>
          <w:sz w:val="24"/>
          <w:szCs w:val="24"/>
        </w:rPr>
        <w:t xml:space="preserve">Оттук следва и четвъртият критерий — приложимост в конкретния учебен контекст. Генерираният материал по подразбиране е „среден": написан за неопределен обучаем, в неопределен курс, с неопределен обем. Проверката трябва да установи дали материалът е използваем такъв, какъвто е, в конкретните условия — вписва ли се в отделеното учебно време, съответства ли на формата на обучението, стъпва ли на действително изучаваното преди него и подготвя ли следващото. Показателите тук са контекстуални по природа и затова не могат да бъдат проверени от никого другиго освен от преподавателя, който познава курса — още един аргумент, че моделът за оценяване трябва да бъде инструмент в ръцете на преподавателя, а не автоматизирана процедура.</w:t>
      </w:r>
    </w:p>
    <w:p>
      <w:pPr>
        <w:spacing w:after="120" w:line="360"/>
        <w:ind w:firstLine="709"/>
        <w:jc w:val="both"/>
      </w:pPr>
      <w:r>
        <w:rPr>
          <w:rFonts w:ascii="Times New Roman" w:cs="Times New Roman" w:eastAsia="Times New Roman" w:hAnsi="Times New Roman"/>
          <w:sz w:val="24"/>
          <w:szCs w:val="24"/>
        </w:rPr>
        <w:t xml:space="preserve">Обобщено, критериите за дидактическа пригодност — съответствие с целите, педагогическа логика, активно учене, приложимост в контекста — наследяват съдържанието си от установената педагогическа традиция, но при генерирано съдържание тежестта им нараства: формата на учебния текст вече не е свидетелство за педагогически замисъл, защото се възпроизвежда механично. Материалът трябва да бъде проверен именно по същество, а не по вид. Следващата точка разглежда третата област на качеството — езиковата яснота, структурата и достъпността на изложението.</w:t>
      </w:r>
    </w:p>
    <w:p>
      <w:pPr>
        <w:pStyle w:val="Heading2"/>
      </w:pPr>
      <w:r>
        <w:rPr>
          <w:rFonts w:ascii="Times New Roman" w:cs="Times New Roman" w:eastAsia="Times New Roman" w:hAnsi="Times New Roman"/>
          <w:b/>
          <w:bCs/>
          <w:sz w:val="26"/>
          <w:szCs w:val="26"/>
        </w:rPr>
        <w:t xml:space="preserve">2.4. Критерии за езикова яснота, структура и достъпност</w:t>
      </w:r>
    </w:p>
    <w:p>
      <w:pPr>
        <w:spacing w:after="120" w:line="360"/>
        <w:ind w:firstLine="709"/>
        <w:jc w:val="both"/>
      </w:pPr>
      <w:r>
        <w:rPr>
          <w:rFonts w:ascii="Times New Roman" w:cs="Times New Roman" w:eastAsia="Times New Roman" w:hAnsi="Times New Roman"/>
          <w:sz w:val="24"/>
          <w:szCs w:val="24"/>
        </w:rPr>
        <w:t xml:space="preserve">Третата област на качеството обхваща формата на изложението и е независима от предходните две: съдържание с вярна фактология и смислен педагогически замисъл може да бъде изложено неразбираемо, неорганизирано или недостъпно за част от обучаемите. Критериите в тази област се групират в три направления — езикова яснота, текстова и визуална организация, и достъпност.</w:t>
      </w:r>
    </w:p>
    <w:p>
      <w:pPr>
        <w:spacing w:after="120" w:line="360"/>
        <w:ind w:firstLine="709"/>
        <w:jc w:val="both"/>
      </w:pPr>
      <w:r>
        <w:rPr>
          <w:rFonts w:ascii="Times New Roman" w:cs="Times New Roman" w:eastAsia="Times New Roman" w:hAnsi="Times New Roman"/>
          <w:sz w:val="24"/>
          <w:szCs w:val="24"/>
        </w:rPr>
        <w:t xml:space="preserve">Езиковата яснота включва разбираемост на изказа, стил, адаптиран към възрастта и подготовката на аудиторията, и последователна употреба на терминологията — всеки термин да бъде въведен преди употребата си и да се използва еднозначно в целия материал. Спецификата на генерираното съдържание тук е парадоксална: езикът му е плавен по подразбиране, затова рискът не е в очевидната неграмотност, а в по-фини дефекти — терминологична непоследователност между отделни части на материала, произведени с различни заявки; стилова монотонност, която уморява при по-дълго изложение; а при езици с по-слабо покритие в обучителните данни, каквито са и по-малките европейски езици, — неестествени конструкции и буквално пренесени чуждоезични обрати [9]. Плавността на повърхността маскира тези дефекти, затова проверката изисква четене на целия материал в последователност, а не преглед на откъси.</w:t>
      </w:r>
    </w:p>
    <w:p>
      <w:pPr>
        <w:spacing w:after="120" w:line="360"/>
        <w:ind w:firstLine="709"/>
        <w:jc w:val="both"/>
      </w:pPr>
      <w:r>
        <w:rPr>
          <w:rFonts w:ascii="Times New Roman" w:cs="Times New Roman" w:eastAsia="Times New Roman" w:hAnsi="Times New Roman"/>
          <w:sz w:val="24"/>
          <w:szCs w:val="24"/>
        </w:rPr>
        <w:t xml:space="preserve">Критерият за разбираемост има и международно утвърдена операционализация: стандартът за ясен език ISO 24495-1 определя ясната комуникация чрез четири принципа, които поставят читателя в центъра — читателят да получава относимата за него информация, да може да я намери, да я разбере и да може да я използва [25]. Пренесени върху учебното съдържание, тези принципи превръщат разбираемостта от интуитивна преценка в проверими въпроси: намира ли обучаемият необходимото на очакваното място, разбира ли го при първо четене, може ли да го приложи. При генериран текст стандартът е полезен именно защото разграничава плавността от яснотата — текст, който се чете гладко, може да не отговаря на нито един от четирите принципа.</w:t>
      </w:r>
    </w:p>
    <w:p>
      <w:pPr>
        <w:spacing w:after="120" w:line="360"/>
        <w:ind w:firstLine="709"/>
        <w:jc w:val="both"/>
      </w:pPr>
      <w:r>
        <w:rPr>
          <w:rFonts w:ascii="Times New Roman" w:cs="Times New Roman" w:eastAsia="Times New Roman" w:hAnsi="Times New Roman"/>
          <w:sz w:val="24"/>
          <w:szCs w:val="24"/>
        </w:rPr>
        <w:t xml:space="preserve">Текстовата и визуалната организация обхваща разчленяването на изложението — заглавия, които отразяват съдържанието, смислово обособени части, откроени определения и примери — и икономията на изразните средства: изследванията върху мултимедийното учене показват, че добавянето на несъществен текст, изображения или украса не е неутрално, а активно вреди на ученето [1, гл. 9]. При генерирано съдържание този критерий е особено уместен, тъй като езиковите модели са склонни към многословие и към шаблонни уводни и заключителни формули, които заемат място, без да носят учебна стойност.</w:t>
      </w:r>
    </w:p>
    <w:p>
      <w:pPr>
        <w:spacing w:after="120" w:line="360"/>
        <w:ind w:firstLine="709"/>
        <w:jc w:val="both"/>
      </w:pPr>
      <w:r>
        <w:rPr>
          <w:rFonts w:ascii="Times New Roman" w:cs="Times New Roman" w:eastAsia="Times New Roman" w:hAnsi="Times New Roman"/>
          <w:sz w:val="24"/>
          <w:szCs w:val="24"/>
        </w:rPr>
        <w:t xml:space="preserve">Третото направление е достъпността в широкия ѝ смисъл. Рамката на универсалния дизайн за учене (UDL) изисква учебното съдържание да предоставя множество средства за представяне на информацията, за ангажиране на обучаемите и за изразяване на наученото, така че материалът да бъде използваем от обучаеми с различни възможности и предпочитания [26]. В литературата за дизайна на учебния опит достъпността, използваемостта и универсалният дизайн се разглеждат като три допълващи се елемента на приобщаващия дизайн — свързани, но неподменяеми един с друг [27]. Генерираният текст не изпълнява тези изисквания по подразбиране: той е едноканален — плътен текст без алтернативи за възприемане — и придобива достъпни характеристики само ако те са изрично поискани при генерирането или добавени при редакцията.</w:t>
      </w:r>
    </w:p>
    <w:p>
      <w:pPr>
        <w:spacing w:after="120" w:line="360"/>
        <w:ind w:firstLine="709"/>
        <w:jc w:val="both"/>
      </w:pPr>
      <w:r>
        <w:rPr>
          <w:rFonts w:ascii="Times New Roman" w:cs="Times New Roman" w:eastAsia="Times New Roman" w:hAnsi="Times New Roman"/>
          <w:sz w:val="24"/>
          <w:szCs w:val="24"/>
        </w:rPr>
        <w:t xml:space="preserve">Обобщено, критериите за езикова яснота, структура и достъпност — разбираемост и адаптиран стил, терминологична последователност, организация и икономия на изложението, съответствие с изискванията за достъпност — имат утвърдено съдържание, но при генерирано съдържание променят посоката на подозрението: проблемите не са там, където текстът изглежда зле, а там, където изглежда добре. Гладкостта на изказа е свойство на механизма на генериране, не свидетелство за качество на комуникацията. Остава четвъртата област — допустимостта на съдържанието от гледна точка на оригиналност, етика и академична коректност — предмет на следващата точка.</w:t>
      </w:r>
    </w:p>
    <w:p>
      <w:pPr>
        <w:pStyle w:val="Heading2"/>
      </w:pPr>
      <w:r>
        <w:rPr>
          <w:rFonts w:ascii="Times New Roman" w:cs="Times New Roman" w:eastAsia="Times New Roman" w:hAnsi="Times New Roman"/>
          <w:b/>
          <w:bCs/>
          <w:sz w:val="26"/>
          <w:szCs w:val="26"/>
        </w:rPr>
        <w:t xml:space="preserve">2.5. Критерии за оригиналност, етична допустимост и академична коректност</w:t>
      </w:r>
    </w:p>
    <w:p>
      <w:pPr>
        <w:spacing w:after="120" w:line="360"/>
        <w:ind w:firstLine="709"/>
        <w:jc w:val="both"/>
      </w:pPr>
      <w:r>
        <w:rPr>
          <w:rFonts w:ascii="Times New Roman" w:cs="Times New Roman" w:eastAsia="Times New Roman" w:hAnsi="Times New Roman"/>
          <w:sz w:val="24"/>
          <w:szCs w:val="24"/>
        </w:rPr>
        <w:t xml:space="preserve">Четвъртата област на качеството се различава по природа от предходните три: тя не пита дали съдържанието работи като учебен материал, а дали е допустимо да бъде използвано изобщо. Критериите тук операционализират етичните и академичните изисквания от точка 1.6 на равнището на конкретния материал и обхващат оригиналността, етичната допустимост на съдържанието и академичната коректност на употребата.</w:t>
      </w:r>
    </w:p>
    <w:p>
      <w:pPr>
        <w:spacing w:after="120" w:line="360"/>
        <w:ind w:firstLine="709"/>
        <w:jc w:val="both"/>
      </w:pPr>
      <w:r>
        <w:rPr>
          <w:rFonts w:ascii="Times New Roman" w:cs="Times New Roman" w:eastAsia="Times New Roman" w:hAnsi="Times New Roman"/>
          <w:sz w:val="24"/>
          <w:szCs w:val="24"/>
        </w:rPr>
        <w:t xml:space="preserve">Оригиналността засяга отношението на генерирания текст към съществуващи произведения. Езиковият модел може да възпроизведе защитен текст в близка до дословната форма, без да сигнализира за това, и може да преразкаже чуждо изложение без указание за източника — и в двата случая материалът изглежда оригинален, без да бъде. Проверимите показатели са два: близост до съществуващи източници, установявана чрез съпоставка на характерни пасажи с достъпната литература по темата, и коректно обозначаване на действително заетите елементи — определения, класификации, примери с установен произход.</w:t>
      </w:r>
    </w:p>
    <w:p>
      <w:pPr>
        <w:spacing w:after="120" w:line="360"/>
        <w:ind w:firstLine="709"/>
        <w:jc w:val="both"/>
      </w:pPr>
      <w:r>
        <w:rPr>
          <w:rFonts w:ascii="Times New Roman" w:cs="Times New Roman" w:eastAsia="Times New Roman" w:hAnsi="Times New Roman"/>
          <w:sz w:val="24"/>
          <w:szCs w:val="24"/>
        </w:rPr>
        <w:t xml:space="preserve">Изкушението е тази проверка да бъде възложена на автоматизирани детектори за генериран текст. Емпиричните оценки обаче показват, че точността и надеждността на такива детектори в академичен контекст са недостатъчни — те произвеждат както фалшиви обвинения срещу човешки текст, така и пропуски на действително генериран, а резултатите им се влияят от езика и от редакцията на текста [28]. Следствието за модела е принципно: критерият за оригиналност и академична коректност не може да бъде операционализиран чрез показанието на детектор. Устойчивата алтернатива е процедурна — декларирана употреба на генеративни инструменти, проследимост на процеса на създаване и съдържателна съпоставка с източниците — при която коректността се осигурява от документирания процес, а не се гадае от готовия текст.</w:t>
      </w:r>
    </w:p>
    <w:p>
      <w:pPr>
        <w:spacing w:after="120" w:line="360"/>
        <w:ind w:firstLine="709"/>
        <w:jc w:val="both"/>
      </w:pPr>
      <w:r>
        <w:rPr>
          <w:rFonts w:ascii="Times New Roman" w:cs="Times New Roman" w:eastAsia="Times New Roman" w:hAnsi="Times New Roman"/>
          <w:sz w:val="24"/>
          <w:szCs w:val="24"/>
        </w:rPr>
        <w:t xml:space="preserve">Развитието на институционалните политики потвърждава тази посока. Анализите на академичната почтеност след масовото навлизане на диалоговите модели показват изместване от първоначалните забрани към регулирана и декларирана употреба: постижимата цел не е откриването на всяка генерирана дума, а ясни правила кога употребата е допустима, как се декларира и кой носи отговорност за крайния текст [29]. Този развой съвпада с извода на настоящата работа — устойчивата операционализация на критерия е процедурна, а не детекционна — и го пренася от отделния материал към равнището на институционалните правила, в които оценъчният модел може да се вгради.</w:t>
      </w:r>
    </w:p>
    <w:p>
      <w:pPr>
        <w:spacing w:after="120" w:line="360"/>
        <w:ind w:firstLine="709"/>
        <w:jc w:val="both"/>
      </w:pPr>
      <w:r>
        <w:rPr>
          <w:rFonts w:ascii="Times New Roman" w:cs="Times New Roman" w:eastAsia="Times New Roman" w:hAnsi="Times New Roman"/>
          <w:sz w:val="24"/>
          <w:szCs w:val="24"/>
        </w:rPr>
        <w:t xml:space="preserve">Етичната допустимост на самото съдържание образува втората половина на областта. Генерираният материал може да съдържа елементи, наследени от обучителните данни: стереотипизиращи примери и роли, пристрастия към определени групи, гледни точки, представени като безспорни, или съдържание, неподходящо за възрастта и контекста на аудиторията [9]. Тези елементи рядко са очевидни — те се проявяват в подбора на примерите, в подразбиращите се допускания, в това кой присъства и кой отсъства от илюстрациите на материала. Проверимите показатели включват преглед на примерите и казусите за стереотипи и пристрастия, съответствие на съдържанието с възрастта и културния контекст на обучаемите и отсъствие на подвеждащи внушения, представени като установено знание.</w:t>
      </w:r>
    </w:p>
    <w:p>
      <w:pPr>
        <w:spacing w:after="120" w:line="360"/>
        <w:ind w:firstLine="709"/>
        <w:jc w:val="both"/>
      </w:pPr>
      <w:r>
        <w:rPr>
          <w:rFonts w:ascii="Times New Roman" w:cs="Times New Roman" w:eastAsia="Times New Roman" w:hAnsi="Times New Roman"/>
          <w:sz w:val="24"/>
          <w:szCs w:val="24"/>
        </w:rPr>
        <w:t xml:space="preserve">Обобщено, четвъртата област се отличава с това, че е най-слабо податлива на автоматизация и в най-голяма степен опира до професионалната и етичната преценка на проверяващия: инструментите за автоматично откриване са ненадеждни, а стереотипите и пристрастията изискват човешка чувствителност към контекста. С това анализът на четирите критерийни области — научна коректност, дидактическа пригодност, езикова яснота и достъпност, оригиналност и етична допустимост — е завършен. Преди тези критерии да бъдат обобщени в изисквания към модела, е необходимо да се систематизира срещу какво точно те трябва да бъдат чувствителни: типичните, повтарящи се дефицити на съдържанието, създавано с генеративни инструменти. Това е предмет на следващата точка.</w:t>
      </w:r>
    </w:p>
    <w:p>
      <w:pPr>
        <w:pStyle w:val="Heading2"/>
      </w:pPr>
      <w:r>
        <w:rPr>
          <w:rFonts w:ascii="Times New Roman" w:cs="Times New Roman" w:eastAsia="Times New Roman" w:hAnsi="Times New Roman"/>
          <w:b/>
          <w:bCs/>
          <w:sz w:val="26"/>
          <w:szCs w:val="26"/>
        </w:rPr>
        <w:t xml:space="preserve">2.6. Анализ на типични дефицити в съдържание, създадено с генеративни AI инструменти</w:t>
      </w:r>
    </w:p>
    <w:p>
      <w:pPr>
        <w:spacing w:after="120" w:line="360"/>
        <w:ind w:firstLine="709"/>
        <w:jc w:val="both"/>
      </w:pPr>
      <w:r>
        <w:rPr>
          <w:rFonts w:ascii="Times New Roman" w:cs="Times New Roman" w:eastAsia="Times New Roman" w:hAnsi="Times New Roman"/>
          <w:sz w:val="24"/>
          <w:szCs w:val="24"/>
        </w:rPr>
        <w:t xml:space="preserve">Дефицитите на генерираното съдържание бяха споменавани в хода на изложението многократно, но разпръснато — като ограничения на инструментите в точка 1.3, като рискове в точка 1.5 и като специфика на отделните критерийни области в точки 2.2–2.5. Настоящата точка ги събира в обща типология, защото за целите на модела дефицитите не са любопитни куриози, а точният списък от явления, срещу които критериите трябва да бъдат чувствителни. Типологията следва четирите критерийни области.</w:t>
      </w:r>
    </w:p>
    <w:p>
      <w:pPr>
        <w:spacing w:after="120" w:line="360"/>
        <w:ind w:firstLine="709"/>
        <w:jc w:val="both"/>
      </w:pPr>
      <w:r>
        <w:rPr>
          <w:rFonts w:ascii="Times New Roman" w:cs="Times New Roman" w:eastAsia="Times New Roman" w:hAnsi="Times New Roman"/>
          <w:sz w:val="24"/>
          <w:szCs w:val="24"/>
        </w:rPr>
        <w:t xml:space="preserve">В областта на съдържателното качество типичните дефицити са фактическите неточности и халюцинациите — измислени факти, данни и източници, поднесени с непоклатима езикова увереност — и системната опасност от остарялост на информацията спрямо актуалното състояние на областта. Определящата характеристика на тези дефицити не е тяхната честота, а тяхната невидимост: сравнителните изследвания показват, че генерираните учебни ресурси са неразличими от човешките по повърхностни белези [22], така че дефектите не се набиват на очи, а се откриват само при целенасочена проверка. Затова рискът трябва да се оценява не по вероятността за поява на грешка, а по цената на нейния пропуск — фактическа грешка в учебен материал се възпроизвежда в знанията на всеки обучаем, който учи по него.</w:t>
      </w:r>
    </w:p>
    <w:p>
      <w:pPr>
        <w:spacing w:after="120" w:line="360"/>
        <w:ind w:firstLine="709"/>
        <w:jc w:val="both"/>
      </w:pPr>
      <w:r>
        <w:rPr>
          <w:rFonts w:ascii="Times New Roman" w:cs="Times New Roman" w:eastAsia="Times New Roman" w:hAnsi="Times New Roman"/>
          <w:sz w:val="24"/>
          <w:szCs w:val="24"/>
        </w:rPr>
        <w:t xml:space="preserve">В дидактическата област типичните дефицити са логическите пропуски — стъпки в изложението, които моделът прескача като очевидни, защото не поддържа модел на предварителните знания на обучаемия; липсата на педагогическа последователност — форма на учебен текст без осъзнат замисъл зад реда на представяне; несъобразеността с конкретната аудитория и учебна програма, която системите за контролирано генериране компенсират именно защото я констатират като системен проблем [13]; и еднотипните, повърхностни упражнения без съдържателна обратна връзка. Общото между тези дефицити е, че нито един от тях не прави материала очевидно негоден — той изглежда като учебен текст и точно затова преминава незабелязан през безкритичен преглед.</w:t>
      </w:r>
    </w:p>
    <w:p>
      <w:pPr>
        <w:spacing w:after="120" w:line="360"/>
        <w:ind w:firstLine="709"/>
        <w:jc w:val="both"/>
      </w:pPr>
      <w:r>
        <w:rPr>
          <w:rFonts w:ascii="Times New Roman" w:cs="Times New Roman" w:eastAsia="Times New Roman" w:hAnsi="Times New Roman"/>
          <w:sz w:val="24"/>
          <w:szCs w:val="24"/>
        </w:rPr>
        <w:t xml:space="preserve">В езиково-структурната област се натрупват дефицитите на формата: шаблонността — еднообразен ритъм на изложението, формулни уводи и заключения, повтарящи се конструкции; многословието, което разрежда учебната стойност; терминологичната непоследователност между части, генерирани с отделни заявки; а при по-слабо покритите в обучителните данни езици — неестествени конструкции и буквално пренесени чуждоезични обрати. В четвъртата област — оригиналност и етична допустимост — типичните дефицити са скритата близост до съществуващи източници, която материалът не обозначава, и наследените от данните стереотипи и пристрастия в примерите и допусканията [9].</w:t>
      </w:r>
    </w:p>
    <w:p>
      <w:pPr>
        <w:spacing w:after="120" w:line="360"/>
        <w:ind w:firstLine="709"/>
        <w:jc w:val="both"/>
      </w:pPr>
      <w:r>
        <w:rPr>
          <w:rFonts w:ascii="Times New Roman" w:cs="Times New Roman" w:eastAsia="Times New Roman" w:hAnsi="Times New Roman"/>
          <w:sz w:val="24"/>
          <w:szCs w:val="24"/>
        </w:rPr>
        <w:t xml:space="preserve">Систематизацията позволява извод с пряко конструктивно значение за модела. Дефицитите на генерираното съдържание са предвидими по вид, макар и непредвидими по място: не може да се каже къде в конкретния материал ще се появи халюцинация или логически пропуск, но може да се каже с висока увереност какви категории дефекти изобщо се срещат и в коя критерийна област попада всяка от тях. Точно това свойство прави систематичното оценяване възможно — типологията на дефицитите се превръща в списък от контролни точки, всяка от които се проверява от определен показател на модела. Съответствието между дефицити, области и показатели е представено обобщено в таблицата на следващата точка, която извежда пълните изисквания към модела.</w:t>
      </w:r>
    </w:p>
    <w:p>
      <w:pPr>
        <w:pStyle w:val="Heading2"/>
      </w:pPr>
      <w:r>
        <w:rPr>
          <w:rFonts w:ascii="Times New Roman" w:cs="Times New Roman" w:eastAsia="Times New Roman" w:hAnsi="Times New Roman"/>
          <w:b/>
          <w:bCs/>
          <w:sz w:val="26"/>
          <w:szCs w:val="26"/>
        </w:rPr>
        <w:t xml:space="preserve">2.7. Извеждане на изисквания към бъдещ модел за оценяване</w:t>
      </w:r>
    </w:p>
    <w:p>
      <w:pPr>
        <w:spacing w:after="120" w:line="360"/>
        <w:ind w:firstLine="709"/>
        <w:jc w:val="both"/>
      </w:pPr>
      <w:r>
        <w:rPr>
          <w:rFonts w:ascii="Times New Roman" w:cs="Times New Roman" w:eastAsia="Times New Roman" w:hAnsi="Times New Roman"/>
          <w:sz w:val="24"/>
          <w:szCs w:val="24"/>
        </w:rPr>
        <w:t xml:space="preserve">Настоящата точка изпълнява свързващата функция на втора глава: тя обобщава резултатите от целия дотук извършен анализ в изрична спецификация — списък от изисквания, срещу които моделът в трета глава ще бъде конструиран и по които след апробирането ще може да бъде проверено дали конструкцията е успешна. Изискванията се групират в три равнища: към съдържанието на модела, към измерването и към процедурата за приложение.</w:t>
      </w:r>
    </w:p>
    <w:p>
      <w:pPr>
        <w:spacing w:after="120" w:line="360"/>
        <w:ind w:firstLine="709"/>
        <w:jc w:val="both"/>
      </w:pPr>
      <w:r>
        <w:rPr>
          <w:rFonts w:ascii="Times New Roman" w:cs="Times New Roman" w:eastAsia="Times New Roman" w:hAnsi="Times New Roman"/>
          <w:sz w:val="24"/>
          <w:szCs w:val="24"/>
        </w:rPr>
        <w:t xml:space="preserve">Изискванията към съдържанието произтичат от точки 2.2–2.6. Първо, моделът трябва да покрива четирите критерийни области — научна коректност и достоверност, дидактическа пригодност, езикова яснота, структура и достъпност, и оригиналност, етична допустимост и академична коректност — тъй като те са логически независими една от друга и дефицит в която и да е от тях компрометира материала. Второ, всяка област трябва да бъде разгърната в критерии с проверими показатели, формулирани на определеното в анализа равнище: за научната коректност — на равнище отделно твърдение и отделен източник; за дидактическата пригодност — на равнище структура и учебна цел; за езиковата област — на равнище цялостен прочит; за четвъртата област — на равнище процес на създаване. Трето, показателите трябва да са чувствителни към типичните дефицити от точка 2.6 — всеки установен клас дефекти да се улавя от поне един показател, иначе моделът има сляпо петно точно там, където рисковете са документирани.</w:t>
      </w:r>
    </w:p>
    <w:p>
      <w:pPr>
        <w:spacing w:after="120" w:line="360"/>
        <w:ind w:firstLine="709"/>
        <w:jc w:val="both"/>
      </w:pPr>
      <w:r>
        <w:rPr>
          <w:rFonts w:ascii="Times New Roman" w:cs="Times New Roman" w:eastAsia="Times New Roman" w:hAnsi="Times New Roman"/>
          <w:sz w:val="24"/>
          <w:szCs w:val="24"/>
        </w:rPr>
        <w:t xml:space="preserve">Изискванията към измерването засягат скалата и интерпретацията. Скалата следва да има малък брой ясно разграничими нива с описателни дефиниции — достатъчно, за да разграничава годно от негодно и да откроява посоката на необходимата преработка, но не толкова, че разликата между съседни нива да стане въпрос на вкус. Необходим е изричен праг на допустимост: равнище, под което материалът не се използва без преработка, независимо от резултатите в останалите области. Оттук следва и правилото за агрегиране: областите не се компенсират взаимно — слабата научна коректност не се изкупува от отличен език — затова общата оценка не може да бъде просто средно аритметично, а трябва да отчита прага във всяка област поотделно.</w:t>
      </w:r>
    </w:p>
    <w:p>
      <w:pPr>
        <w:spacing w:after="120" w:line="360"/>
        <w:ind w:firstLine="709"/>
        <w:jc w:val="both"/>
      </w:pPr>
      <w:r>
        <w:rPr>
          <w:rFonts w:ascii="Times New Roman" w:cs="Times New Roman" w:eastAsia="Times New Roman" w:hAnsi="Times New Roman"/>
          <w:sz w:val="24"/>
          <w:szCs w:val="24"/>
        </w:rPr>
        <w:t xml:space="preserve">Изискванията към процедурата произтичат от точки 2.1 и 2.5. Моделът трябва да бъде приложим от отделен преподавател с предметна компетентност, без специализирана инфраструктура и без разчитане на автоматични детектори, чиято ненадеждност беше показана. Процедурата трябва да предписва ред на проверката — съдържателната коректност преди формата, тъй като няма смисъл да се шлифова изказът на неверен текст — и да завършва с документиран резултат: попълнена оценъчна карта, която прави оценката проследима и съпоставима между материали и оценители. Накрая, процедурата трябва да бъде икономична: проверката на генериран материал има смисъл само ако е осезаемо по-евтина от написването му наново. Обобщеното съответствие между области, критерии, показатели и улавяни дефицити е представено в Таблица 1.</w:t>
      </w:r>
    </w:p>
    <w:p>
      <w:pPr>
        <w:spacing w:after="120" w:before="200"/>
        <w:jc w:val="center"/>
      </w:pPr>
      <w:r>
        <w:rPr>
          <w:rFonts w:ascii="Times New Roman" w:cs="Times New Roman" w:eastAsia="Times New Roman" w:hAnsi="Times New Roman"/>
          <w:i/>
          <w:iCs/>
          <w:sz w:val="20"/>
          <w:szCs w:val="20"/>
        </w:rPr>
        <w:t xml:space="preserve">Таблица 1. Съответствие между критерийни области, критерии, показатели и типични дефицити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715"/>
        <w:gridCol w:w="2000"/>
      </w:tblGrid>
      <w:tr>
        <w:tc>
          <w:tcPr>
            <w:tcW w:type="dxa" w:w="175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Област</w:t>
            </w:r>
          </w:p>
        </w:tc>
        <w:tc>
          <w:tcPr>
            <w:tcW w:type="dxa" w:w="23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Критерии</w:t>
            </w:r>
          </w:p>
        </w:tc>
        <w:tc>
          <w:tcPr>
            <w:tcW w:type="dxa" w:w="2715"/>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Примерни показатели</w:t>
            </w:r>
          </w:p>
        </w:tc>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Улавяни дефицити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Научна коректност и достоверност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точност; актуалност; надеждност и съответствие с източниците</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всяко съществено твърдение е проверено срещу независим източник; съответствие с актуалната версия/стандарт; цитираните източници съществуват и казват приписаното им</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халюцинации; измислени източници; остаряла информация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Дидактическа пригодност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съответствие с целите; педагогическа логика; активно учене; приложимост в контекста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всяка цел е покрита; понятията са въведени преди употреба; налични са задачи със съдържателна обратна връзка; материалът се вписва в курса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логически пропуски; липса на педагогическа последователност; несъобразеност с аудиторията; еднотипни упражнения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Езикова яснота, структура и достъпност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разбираемост и стил; терминологична последователност; организация и икономия; достъпност (UDL)</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изказ, адаптиран към аудиторията; еднозначна терминология; без излишно съдържание; алтернативи за възприемане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шаблонност; многословие; терминологична непоследователност; калки и неестествени конструкции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етика и академична коректност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етична допустимост; декларирана употреба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съпоставка на характерни пасажи с източници; преглед за стереотипи и пристрастия; документиран процес на създаване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скрита близост до източници; стереотипи; неотчетена употреба</w:t>
            </w:r>
          </w:p>
        </w:tc>
      </w:tr>
    </w:tbl>
    <w:p>
      <w:pPr>
        <w:spacing w:after="120" w:line="360"/>
        <w:ind w:firstLine="709"/>
        <w:jc w:val="both"/>
      </w:pPr>
      <w:r>
        <w:rPr>
          <w:rFonts w:ascii="Times New Roman" w:cs="Times New Roman" w:eastAsia="Times New Roman" w:hAnsi="Times New Roman"/>
          <w:sz w:val="24"/>
          <w:szCs w:val="24"/>
        </w:rPr>
        <w:t xml:space="preserve">Така формулираната спецификация затваря аналитичната част на работата и определя еднозначно задачата на трета глава: да конструира модел, който покрива четирите области с критерии и проверими показатели, измерва ги по скала с праг на допустимост и некомпенсаторно агрегиране, и се прилага по документирана, икономична процедура, изпълнима от отделен преподавател. Всеки елемент на модела в трета глава ще може да бъде съотнесен към конкретно изискване от настоящата точка, а апробирането в точки 3.7–3.8 ще провери дали изискванията са изпълнени не на хартия, а върху реални генерирани материали.</w:t>
      </w:r>
    </w:p>
    <w:p>
      <w:pPr>
        <w:pStyle w:val="Heading2"/>
      </w:pPr>
      <w:r>
        <w:rPr>
          <w:rFonts w:ascii="Times New Roman" w:cs="Times New Roman" w:eastAsia="Times New Roman" w:hAnsi="Times New Roman"/>
          <w:b/>
          <w:bCs/>
          <w:sz w:val="26"/>
          <w:szCs w:val="26"/>
        </w:rPr>
        <w:t xml:space="preserve">Изводи от втора глава</w:t>
      </w:r>
    </w:p>
    <w:p>
      <w:pPr>
        <w:spacing w:after="120" w:line="360"/>
        <w:ind w:firstLine="709"/>
        <w:jc w:val="both"/>
      </w:pPr>
      <w:r>
        <w:rPr>
          <w:rFonts w:ascii="Times New Roman" w:cs="Times New Roman" w:eastAsia="Times New Roman" w:hAnsi="Times New Roman"/>
          <w:sz w:val="24"/>
          <w:szCs w:val="24"/>
        </w:rPr>
        <w:t xml:space="preserve">Анализът във втора глава води до следните изводи.</w:t>
      </w:r>
    </w:p>
    <w:p>
      <w:pPr>
        <w:spacing w:after="120" w:line="360"/>
        <w:ind w:firstLine="709"/>
        <w:jc w:val="both"/>
      </w:pPr>
      <w:r>
        <w:rPr>
          <w:rFonts w:ascii="Times New Roman" w:cs="Times New Roman" w:eastAsia="Times New Roman" w:hAnsi="Times New Roman"/>
          <w:sz w:val="24"/>
          <w:szCs w:val="24"/>
        </w:rPr>
        <w:t xml:space="preserve">Първо, съвременната литература отговаря на предизвикателството на генерираното съдържание с три семейства подходи — адаптиране на наследените критерии, разработване на нови AI-специфични рамки и вграждане на контрола в системите за генериране. И трите оставят празнина: наследените критерии пропускат специфичните рискове, новите рамки са малобройни и неутвърдени, а вграденият контрол е недостъпен за преподавателя, който работи с общодостъпни инструменти. Интегриран, практически приложим модел за оценяване не се открива.</w:t>
      </w:r>
    </w:p>
    <w:p>
      <w:pPr>
        <w:spacing w:after="120" w:line="360"/>
        <w:ind w:firstLine="709"/>
        <w:jc w:val="both"/>
      </w:pPr>
      <w:r>
        <w:rPr>
          <w:rFonts w:ascii="Times New Roman" w:cs="Times New Roman" w:eastAsia="Times New Roman" w:hAnsi="Times New Roman"/>
          <w:sz w:val="24"/>
          <w:szCs w:val="24"/>
        </w:rPr>
        <w:t xml:space="preserve">Второ, качеството на генерираното учебно съдържание се разполага в четири логически независими области — научна коректност, дидактическа пригодност, езикова яснота и достъпност, оригиналност и етична допустимост. Общото между тях е обръщането на операционализацията: при генериран материал качеството не може да се предполага въз основа на доверие в автора, а трябва да бъде установено чрез проверка — на равнище твърдение, структура, цялостен прочит и процес на създаване съответно.</w:t>
      </w:r>
    </w:p>
    <w:p>
      <w:pPr>
        <w:spacing w:after="120" w:line="360"/>
        <w:ind w:firstLine="709"/>
        <w:jc w:val="both"/>
      </w:pPr>
      <w:r>
        <w:rPr>
          <w:rFonts w:ascii="Times New Roman" w:cs="Times New Roman" w:eastAsia="Times New Roman" w:hAnsi="Times New Roman"/>
          <w:sz w:val="24"/>
          <w:szCs w:val="24"/>
        </w:rPr>
        <w:t xml:space="preserve">Трето, типичните дефицити на генерираното съдържание са предвидими по вид, макар и непредвидими по място, и главната им опасност е невидимостта — те не личат от повърхностни белези. Именно предвидимостта им позволява да бъдат превърнати в списък от контролни точки, а невидимостта им прави този списък задължителен.</w:t>
      </w:r>
    </w:p>
    <w:p>
      <w:pPr>
        <w:spacing w:after="120" w:line="360"/>
        <w:ind w:firstLine="709"/>
        <w:jc w:val="both"/>
      </w:pPr>
      <w:r>
        <w:rPr>
          <w:rFonts w:ascii="Times New Roman" w:cs="Times New Roman" w:eastAsia="Times New Roman" w:hAnsi="Times New Roman"/>
          <w:sz w:val="24"/>
          <w:szCs w:val="24"/>
        </w:rPr>
        <w:t xml:space="preserve">Четвърто, възможностите за автоматизиране на проверката са ограничени по принцип: автоматичните детектори за генериран текст са ненадеждни, а ключовите проверки — фактологическа, дидактическа, етична — изискват предметна и педагогическа компетентност. Моделът следователно трябва да бъде инструмент за структуриране на експертна човешка преценка, а не неин заместител.</w:t>
      </w:r>
    </w:p>
    <w:p>
      <w:pPr>
        <w:spacing w:after="120" w:line="360"/>
        <w:ind w:firstLine="709"/>
        <w:jc w:val="both"/>
      </w:pPr>
      <w:r>
        <w:rPr>
          <w:rFonts w:ascii="Times New Roman" w:cs="Times New Roman" w:eastAsia="Times New Roman" w:hAnsi="Times New Roman"/>
          <w:sz w:val="24"/>
          <w:szCs w:val="24"/>
        </w:rPr>
        <w:t xml:space="preserve">Пето, анализът е обобщен в изрична спецификация на бъдещия модел: четири критерийни области с проверими показатели, чувствителни към установените дефицити; скала с малък брой описателни нива, праг на допустимост и некомпенсаторно агрегиране; документирана, икономична процедура, приложима от отделен преподавател. С това задачата на трета глава е еднозначно определена, а изпълнението ѝ подлежи на проверка чрез апробиране.</w:t>
      </w:r>
    </w:p>
    <w:p>
      <w:pPr>
        <w:pStyle w:val="Heading1"/>
      </w:pPr>
      <w:r>
        <w:rPr>
          <w:rFonts w:ascii="Times New Roman" w:cs="Times New Roman" w:eastAsia="Times New Roman" w:hAnsi="Times New Roman"/>
          <w:b/>
          <w:bCs/>
          <w:sz w:val="28"/>
          <w:szCs w:val="28"/>
        </w:rPr>
        <w:t xml:space="preserve">ГЛАВА ТРЕТА. Разработване и апробиране на модел за оценяване на качеството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6"/>
          <w:szCs w:val="26"/>
        </w:rPr>
        <w:t xml:space="preserve">3.1. Принципи при разработване на модела</w:t>
      </w:r>
    </w:p>
    <w:p>
      <w:pPr>
        <w:spacing w:after="120" w:line="360"/>
        <w:ind w:firstLine="709"/>
        <w:jc w:val="both"/>
      </w:pPr>
      <w:r>
        <w:rPr>
          <w:rFonts w:ascii="Times New Roman" w:cs="Times New Roman" w:eastAsia="Times New Roman" w:hAnsi="Times New Roman"/>
          <w:sz w:val="24"/>
          <w:szCs w:val="24"/>
        </w:rPr>
        <w:t xml:space="preserve">Трета глава преминава от анализ към конструиране: въз основа на спецификацията от точка 2.7 се разработва модел за оценяване на качеството на електронно учебно съдържание, създадено с генеративни инструменти, който след това се апробира върху реални материали. Преди структурата на модела да бъде изложена, е необходимо да се формулират принципите, които ръководят проектантските решения — те са мерилото, по което се преценява всеки избор в конструкцията, и обясняват защо моделът изглежда така, а не иначе. Принципите са четири: научна обоснованост, приложимост, прозрачност и възможност за практическо използване.</w:t>
      </w:r>
    </w:p>
    <w:p>
      <w:pPr>
        <w:spacing w:after="120" w:line="360"/>
        <w:ind w:firstLine="709"/>
        <w:jc w:val="both"/>
      </w:pPr>
      <w:r>
        <w:rPr>
          <w:rFonts w:ascii="Times New Roman" w:cs="Times New Roman" w:eastAsia="Times New Roman" w:hAnsi="Times New Roman"/>
          <w:sz w:val="24"/>
          <w:szCs w:val="24"/>
        </w:rPr>
        <w:t xml:space="preserve">Принципът на научната обоснованост изисква всеки елемент на модела да бъде проследим до резултат от предходния анализ или до установен източник в литературата. Четирите области следват от точки 2.2–2.5; показателите — от типологията на дефицитите в точка 2.6; правилата за скалата и агрегирането — от изискванията в точка 2.7. В модела не бива да присъства критерий, който не отговаря на документиран риск или на установено педагогическо изискване — иначе инструментът се раздува с проверки, чиято цена не е оправдана.</w:t>
      </w:r>
    </w:p>
    <w:p>
      <w:pPr>
        <w:spacing w:after="120" w:line="360"/>
        <w:ind w:firstLine="709"/>
        <w:jc w:val="both"/>
      </w:pPr>
      <w:r>
        <w:rPr>
          <w:rFonts w:ascii="Times New Roman" w:cs="Times New Roman" w:eastAsia="Times New Roman" w:hAnsi="Times New Roman"/>
          <w:sz w:val="24"/>
          <w:szCs w:val="24"/>
        </w:rPr>
        <w:t xml:space="preserve">Принципът на приложимостта поставя модела в реалните условия на неговия потребител: отделен преподавател с предметна компетентност, без специализирана инфраструктура, без достъп до вградените механизми за контрол на затворени системи и без надеждни автоматични детектори. Всички показатели трябва да бъдат проверими с общодостъпни средства — четене, съпоставка с източници, професионална преценка — и в разумно време: проверката трябва да остане осезаемо по-евтина от самостоятелното написване на материала, иначе моделът обезсмисля ползата от генерирането.</w:t>
      </w:r>
    </w:p>
    <w:p>
      <w:pPr>
        <w:spacing w:after="120" w:line="360"/>
        <w:ind w:firstLine="709"/>
        <w:jc w:val="both"/>
      </w:pPr>
      <w:r>
        <w:rPr>
          <w:rFonts w:ascii="Times New Roman" w:cs="Times New Roman" w:eastAsia="Times New Roman" w:hAnsi="Times New Roman"/>
          <w:sz w:val="24"/>
          <w:szCs w:val="24"/>
        </w:rPr>
        <w:t xml:space="preserve">Принципът на прозрачността засяга обяснимостта на оценката. Всяко ниво по всеки критерий трябва да има описателна дефиниция, а присъдената оценка — да бъде защитима с посочени доказателства от самия материал: конкретното невярно твърдение, конкретният логически пропуск, конкретният шаблонен пасаж. Прозрачността обслужва две цели: прави оценките съпоставими между различни оценители и материали и превръща оценяването в диагностика — резултатът не само отсъжда, но и посочва къде и каква преработка е необходима.</w:t>
      </w:r>
    </w:p>
    <w:p>
      <w:pPr>
        <w:spacing w:after="120" w:line="360"/>
        <w:ind w:firstLine="709"/>
        <w:jc w:val="both"/>
      </w:pPr>
      <w:r>
        <w:rPr>
          <w:rFonts w:ascii="Times New Roman" w:cs="Times New Roman" w:eastAsia="Times New Roman" w:hAnsi="Times New Roman"/>
          <w:sz w:val="24"/>
          <w:szCs w:val="24"/>
        </w:rPr>
        <w:t xml:space="preserve">Принципът на практическата използваемост обобщава предходните три в изискване към формата: моделът трябва да съществува не само като описание в текст, а като работен инструмент — оценъчна карта с ясен ред на попълване, която побира цялата процедура и целия резултат. Как тези принципи се въплъщават в конкретна конструкция — области, критерии, показатели и логика на оценяване — е предмет на следващата точка.</w:t>
      </w:r>
    </w:p>
    <w:p>
      <w:pPr>
        <w:pStyle w:val="Heading2"/>
      </w:pPr>
      <w:r>
        <w:rPr>
          <w:rFonts w:ascii="Times New Roman" w:cs="Times New Roman" w:eastAsia="Times New Roman" w:hAnsi="Times New Roman"/>
          <w:b/>
          <w:bCs/>
          <w:sz w:val="26"/>
          <w:szCs w:val="26"/>
        </w:rPr>
        <w:t xml:space="preserve">3.2. Структура на предложения модел</w:t>
      </w:r>
    </w:p>
    <w:p>
      <w:pPr>
        <w:spacing w:after="120" w:line="360"/>
        <w:ind w:firstLine="709"/>
        <w:jc w:val="both"/>
      </w:pPr>
      <w:r>
        <w:rPr>
          <w:rFonts w:ascii="Times New Roman" w:cs="Times New Roman" w:eastAsia="Times New Roman" w:hAnsi="Times New Roman"/>
          <w:sz w:val="24"/>
          <w:szCs w:val="24"/>
        </w:rPr>
        <w:t xml:space="preserve">Моделът има тристепенна йерархична структура: четири области на качеството, разгърнати в критерии, а всеки критерий — в проверими показатели. Към йерархията се добавят три напречни елемента: скала за оценяване с описателни нива (точка 3.4), правила за агрегиране и интерпретация и процедура за приложение с оценъчна карта (точки 3.5–3.6). Конструкцията пряко въплъщава спецификацията от точка 2.7: областите съответстват на четирите критерийни семейства от анализа, а показателите — на типичните дефицити, срещу които те трябва да бъдат чувствителни.</w:t>
      </w:r>
    </w:p>
    <w:p>
      <w:pPr>
        <w:spacing w:after="120" w:line="360"/>
        <w:ind w:firstLine="709"/>
        <w:jc w:val="both"/>
      </w:pPr>
      <w:r>
        <w:rPr>
          <w:rFonts w:ascii="Times New Roman" w:cs="Times New Roman" w:eastAsia="Times New Roman" w:hAnsi="Times New Roman"/>
          <w:sz w:val="24"/>
          <w:szCs w:val="24"/>
        </w:rPr>
        <w:t xml:space="preserve">Трите равнища на йерархията имат различни функции. Областите са измеренията на качеството — логически независими една от друга, така че резултатът по една не предопределя резултата по друга. Критериите назовават отделните свойства в рамките на областта. Показателите са работното равнище: конкретни, проверими твърдения за материала, всяко от които оценяващият може да потвърди, отхвърли или квалифицира, посочвайки конкретно място в текста. Веригата може да се илюстрира така: областта „съдържателно качество" включва критерия „точност", който се проверява чрез показателя „всяко съществено твърдение в материала е вярно при съпоставка с независим източник". Оценяването се извършва отдолу нагоре: оценяват се показателите, критерият обобщава своите показатели, областта — своите критерии.</w:t>
      </w:r>
    </w:p>
    <w:p>
      <w:pPr>
        <w:spacing w:after="120" w:line="360"/>
        <w:ind w:firstLine="709"/>
        <w:jc w:val="both"/>
      </w:pPr>
      <w:r>
        <w:rPr>
          <w:rFonts w:ascii="Times New Roman" w:cs="Times New Roman" w:eastAsia="Times New Roman" w:hAnsi="Times New Roman"/>
          <w:sz w:val="24"/>
          <w:szCs w:val="24"/>
        </w:rPr>
        <w:t xml:space="preserve">Логиката на агрегиране следва изискването за некомпенсаторност от точка 2.7. Четирите областни оценки не се сливат в едно общо число, защото средната стойност би прикрила точно това, което моделът трябва да откроява — материал с отличен език и негодна фактология би получил „приемлива" средна оценка. Вместо това крайният резултат е профил: четири областни оценки плюс обща категория за допустимост, която се определя от най-ниската областна оценка спрямо прага. Материалът е годен за използване само ако всяка от четирите области е над прага на допустимост; в противен случай профилът посочва къде и каква преработка е необходима, преди материалът да бъде допуснат до обучаеми.</w:t>
      </w:r>
    </w:p>
    <w:p>
      <w:pPr>
        <w:spacing w:after="120" w:line="360"/>
        <w:ind w:firstLine="709"/>
        <w:jc w:val="both"/>
      </w:pPr>
      <w:r>
        <w:rPr>
          <w:rFonts w:ascii="Times New Roman" w:cs="Times New Roman" w:eastAsia="Times New Roman" w:hAnsi="Times New Roman"/>
          <w:sz w:val="24"/>
          <w:szCs w:val="24"/>
        </w:rPr>
        <w:t xml:space="preserve">Редът на прилагане е фиксиран и започва с нулева стъпка: преди всяка оценка се установява декларираният контекст на материала — учебни цели, аудитория, място в курса — защото без него дидактическите показатели нямат еталон за сравнение. Следва проверката по областите в ред: съдържателно качество, дидактическо качество, езикова и структурна пригодност, етична и академична коректност. Редът не е произволен — фактологията се проверява преди формата, защото шлифоването на изказа на неверен текст е загуба на труд. По същата причина процедурата допуска ранно прекратяване: ако съдържателното качество падне под прага на допустимост, оценяването може да спре и материалът да се върне за преработка, без да се изразходва време по останалите области — пряко изпълнение на изискването за икономичност.</w:t>
      </w:r>
    </w:p>
    <w:p>
      <w:pPr>
        <w:spacing w:after="120" w:line="360"/>
        <w:ind w:firstLine="709"/>
        <w:jc w:val="both"/>
      </w:pPr>
      <w:r>
        <w:rPr>
          <w:rFonts w:ascii="Times New Roman" w:cs="Times New Roman" w:eastAsia="Times New Roman" w:hAnsi="Times New Roman"/>
          <w:sz w:val="24"/>
          <w:szCs w:val="24"/>
        </w:rPr>
        <w:t xml:space="preserve">Накрая е необходимо да се очертае и какво моделът не е. Той не е автоматичен детектор — не се произнася дали материалът е генериран, а дали е годен. Не е инструмент за класиране на генеративни инструменти — оценява материали, а не модели. И не замества експертната преценка, а я структурира: всички показатели са формулирани така, че да бъдат проверени от преподавател с предметна компетентност, с общодостъпни средства, и всяка оценка да бъде защитима с посочени доказателства. Пълното разгръщане на областите, критериите и показателите е предмет на следващата точка.</w:t>
      </w:r>
    </w:p>
    <w:p>
      <w:pPr>
        <w:pStyle w:val="Heading2"/>
      </w:pPr>
      <w:r>
        <w:rPr>
          <w:rFonts w:ascii="Times New Roman" w:cs="Times New Roman" w:eastAsia="Times New Roman" w:hAnsi="Times New Roman"/>
          <w:b/>
          <w:bCs/>
          <w:sz w:val="26"/>
          <w:szCs w:val="26"/>
        </w:rPr>
        <w:t xml:space="preserve">3.3. Основни области, критерии и показатели за оценяване</w:t>
      </w:r>
    </w:p>
    <w:p>
      <w:pPr>
        <w:spacing w:after="120" w:line="360"/>
        <w:ind w:firstLine="709"/>
        <w:jc w:val="both"/>
      </w:pPr>
      <w:r>
        <w:rPr>
          <w:rFonts w:ascii="Times New Roman" w:cs="Times New Roman" w:eastAsia="Times New Roman" w:hAnsi="Times New Roman"/>
          <w:sz w:val="24"/>
          <w:szCs w:val="24"/>
        </w:rPr>
        <w:t xml:space="preserve">Настоящата точка разгръща съдържанието на модела: четирите области, обозначени О1–О4, техните критерии (К) и показатели (П). Кодовете позволяват еднозначно позоваване в оценъчната карта и в анализа на резултатите. Формулировките на показателите са утвърдителни — те описват състоянието на годния материал, а оценяващият установява доколко конкретният материал им съответства.</w:t>
      </w:r>
    </w:p>
    <w:p>
      <w:pPr>
        <w:spacing w:after="120" w:line="360"/>
        <w:ind w:firstLine="709"/>
        <w:jc w:val="both"/>
      </w:pPr>
      <w:r>
        <w:rPr>
          <w:rFonts w:ascii="Times New Roman" w:cs="Times New Roman" w:eastAsia="Times New Roman" w:hAnsi="Times New Roman"/>
          <w:sz w:val="24"/>
          <w:szCs w:val="24"/>
        </w:rPr>
        <w:t xml:space="preserve">Област О1 — съдържателно качество — операционализира критериите от точка 2.2 в три критерия. О1.К1 „Точност" включва показателите: П1 — всяко съществено твърдение в материала е вярно при съпоставка с независим източник (учебна литература, официална документация); П2 — примерите, включително програмният код, са коректни и възпроизводими в декларираната среда. О1.К2 „Актуалност": П1 — съдържанието съответства на актуалното състояние на областта (действаща версия, съвременна терминология, препоръчани практики); П2 — не се представят отпаднали или несъвместими решения като текущи. О1.К3 „Надеждност на източниците": П1 — всички цитирани в материала източници съществуват; П2 — цитираните източници действително съдържат приписаните им твърдения. За материали, които не цитират източници, О1.К3 се прилага върху проверимостта на ключовите твърдения.</w:t>
      </w:r>
    </w:p>
    <w:p>
      <w:pPr>
        <w:spacing w:after="120" w:line="360"/>
        <w:ind w:firstLine="709"/>
        <w:jc w:val="both"/>
      </w:pPr>
      <w:r>
        <w:rPr>
          <w:rFonts w:ascii="Times New Roman" w:cs="Times New Roman" w:eastAsia="Times New Roman" w:hAnsi="Times New Roman"/>
          <w:sz w:val="24"/>
          <w:szCs w:val="24"/>
        </w:rPr>
        <w:t xml:space="preserve">Област О2 — дидактическо качество — пренася критериите от точка 2.3 в четири критерия. О2.К1 „Съответствие с учебните цели": П1 — всяка декларирана цел е покрита от съдържанието; П2 — материалът не съдържа съществени части, необслужващи нито една цел. О2.К2 „Педагогическа последователност": П1 — понятията се въвеждат преди употребата им; П2 — изложението е сегментирано на усвоими смислови единици в логичен ред. О2.К3 „Активно учене": П1 — налични са примери и задачи за прилагане на всяка основна цел; П2 — обратната връзка към задачите обяснява, а не само констатира. О2.К4 „Съответствие с аудиторията": П1 — предпоставеното знание не надхвърля декларираното за аудиторията; П2 — обемът и сложността са съизмерими с учебното време и мястото в курса.</w:t>
      </w:r>
    </w:p>
    <w:p>
      <w:pPr>
        <w:spacing w:after="120" w:line="360"/>
        <w:ind w:firstLine="709"/>
        <w:jc w:val="both"/>
      </w:pPr>
      <w:r>
        <w:rPr>
          <w:rFonts w:ascii="Times New Roman" w:cs="Times New Roman" w:eastAsia="Times New Roman" w:hAnsi="Times New Roman"/>
          <w:sz w:val="24"/>
          <w:szCs w:val="24"/>
        </w:rPr>
        <w:t xml:space="preserve">Област О3 — езикова и структурна пригодност — обхваща критериите от точка 2.4 в четири критерия. О3.К1 „Разбираемост и стил": П1 — изказът е адаптиран към равнището на аудиторията; П2 — езикът е естествен, без буквално пренесени чуждоезични конструкции. О3.К2 „Терминологична последователност": П1 — всеки термин е въведен преди употребата си; П2 — терминологията е еднозначна в целия материал. О3.К3 „Организация и икономия": П1 — заглавията и деленето отразяват съдържанието; П2 — материалът не съдържа излишен текст без учебна стойност (формулни уводи, повторения, украса). О3.К4 „Достъпност": П1 — материалът е използваем при различни начини на възприемане (алтернативи на визуалното, четивна структура); П2 — оформлението не създава излишни бариери за обучаеми с различни възможности.</w:t>
      </w:r>
    </w:p>
    <w:p>
      <w:pPr>
        <w:spacing w:after="120" w:line="360"/>
        <w:ind w:firstLine="709"/>
        <w:jc w:val="both"/>
      </w:pPr>
      <w:r>
        <w:rPr>
          <w:rFonts w:ascii="Times New Roman" w:cs="Times New Roman" w:eastAsia="Times New Roman" w:hAnsi="Times New Roman"/>
          <w:sz w:val="24"/>
          <w:szCs w:val="24"/>
        </w:rPr>
        <w:t xml:space="preserve">Област О4 — етична и академична коректност — операционализира точка 2.5 в три критерия. О4.К1 „Оригиналност": П1 — характерни пасажи от материала не показват близост до защитени източници при съпоставка; П2 — действително заетите елементи са обозначени. О4.К2 „Етична допустимост": П1 — примерите и допусканията не съдържат стереотипи и пристрастия; П2 — съдържанието е уместно за възрастта и контекста на аудиторията. О4.К3 „Прозрачност на произхода": П1 — използването на генеративен инструмент е декларирано; П2 — процесът на създаване е документиран (инструмент, дата, заявка).</w:t>
      </w:r>
    </w:p>
    <w:p>
      <w:pPr>
        <w:spacing w:after="120" w:line="360"/>
        <w:ind w:firstLine="709"/>
        <w:jc w:val="both"/>
      </w:pPr>
      <w:r>
        <w:rPr>
          <w:rFonts w:ascii="Times New Roman" w:cs="Times New Roman" w:eastAsia="Times New Roman" w:hAnsi="Times New Roman"/>
          <w:sz w:val="24"/>
          <w:szCs w:val="24"/>
        </w:rPr>
        <w:t xml:space="preserve">Така дефинираната система съдържа четиринадесет критерия с по два показателя — общо двадесет и осем проверими твърдения. Числото не е самоцелно: всеки показател отговаря на документиран в анализа риск, и обратно — всеки типичен дефицит от точка 2.6 се улавя от поне един показател, което изпълнява изискването за пълнота от точка 2.7. Показателите са формулирани еднакво за трите вида съдържание от обхвата на апробирането, като конкретното им тълкуване се съобразява с вида: при тестови въпроси например О2.К3.П2 се прилага върху обясненията към отговорите, а О1.К1.П2 — върху коректността на самите отговори. Остава да се определи как показателите се измерват — скалата, нивата и правилата за интерпретация са предмет на следващата точка.</w:t>
      </w:r>
    </w:p>
    <w:p>
      <w:pPr>
        <w:pStyle w:val="Heading2"/>
      </w:pPr>
      <w:r>
        <w:rPr>
          <w:rFonts w:ascii="Times New Roman" w:cs="Times New Roman" w:eastAsia="Times New Roman" w:hAnsi="Times New Roman"/>
          <w:b/>
          <w:bCs/>
          <w:sz w:val="26"/>
          <w:szCs w:val="26"/>
        </w:rPr>
        <w:t xml:space="preserve">3.4. Скала за оценка и нива на качество</w:t>
      </w:r>
    </w:p>
    <w:p>
      <w:pPr>
        <w:spacing w:after="120" w:line="360"/>
        <w:ind w:firstLine="709"/>
        <w:jc w:val="both"/>
      </w:pPr>
      <w:r>
        <w:rPr>
          <w:rFonts w:ascii="Times New Roman" w:cs="Times New Roman" w:eastAsia="Times New Roman" w:hAnsi="Times New Roman"/>
          <w:sz w:val="24"/>
          <w:szCs w:val="24"/>
        </w:rPr>
        <w:t xml:space="preserve">Измерването в модела е двустепенно, съответно на йерархията от точка 3.2. На равнището на показателите оценката е качествена, с четири стойности: „да" — материалът съответства на показателя, без констатирани нарушения; „частично" — налице са отделни нарушения, отстраними с редакция, които не засягат годността на цялото; „не" — нарушенията са систематични или критични; „неприложимо" — показателят не се отнася за съответния вид материал, което се отбелязва с основание. Умишлено е избегната фина числова скала на това равнище: разликата между „7" и „8" по десетобална система е въпрос на вкус, докато разликата между „да", „частично" и „не" е установима и защитима с доказателства — пряко изискване на принципа на прозрачността.</w:t>
      </w:r>
    </w:p>
    <w:p>
      <w:pPr>
        <w:spacing w:after="120" w:line="360"/>
        <w:ind w:firstLine="709"/>
        <w:jc w:val="both"/>
      </w:pPr>
      <w:r>
        <w:rPr>
          <w:rFonts w:ascii="Times New Roman" w:cs="Times New Roman" w:eastAsia="Times New Roman" w:hAnsi="Times New Roman"/>
          <w:sz w:val="24"/>
          <w:szCs w:val="24"/>
        </w:rPr>
        <w:t xml:space="preserve">На равнището на областите оценките на показателите се обобщават в четири описателни нива. Ниво 3 „готово за използване": всички показатели в областта са „да", допустими са единични „частично" без критичен характер. Ниво 2 „използваемо след малки корекции": преобладават „да", наличните „частично" са ясно локализирани и отстраними, няма нито едно „не". Ниво 1 „изисква съществена преработка": поне едно „не" или такова натрупване на „частично", че редакцията се доближава по обем до ново създаване. Ниво 0 „негодно": констатиран е критичен дефект, компрометиращ материала като цяло. За критични се смятат дефектите, които увреждат обучаемия дори при еднократна поява: невярно твърдение или неработещ пример, представени като верни; инструкция, водеща до грешка; неетичен или подвеждащ елемент; скрито заемане на защитен текст.</w:t>
      </w:r>
    </w:p>
    <w:p>
      <w:pPr>
        <w:spacing w:after="120" w:line="360"/>
        <w:ind w:firstLine="709"/>
        <w:jc w:val="both"/>
      </w:pPr>
      <w:r>
        <w:rPr>
          <w:rFonts w:ascii="Times New Roman" w:cs="Times New Roman" w:eastAsia="Times New Roman" w:hAnsi="Times New Roman"/>
          <w:sz w:val="24"/>
          <w:szCs w:val="24"/>
        </w:rPr>
        <w:t xml:space="preserve">Прагът на допустимост е ниво 2 във всяка от четирите области. Общата категория на материала се определя некомпенсаторно, от най-ниската областна оценка: категория А „готов за използване" — и четирите области на ниво 3; категория Б „използваем след малки корекции" — всички области на ниво 2 или 3; категория В „изисква преработка" — най-ниската област е на ниво 1; категория Г „негоден" — която и да е област на ниво 0. Правилото прави невъзможно точно това, което средното аритметично би позволило: материал с отличен език и невярна фактология да мине за приемлив. В такъв случай материалът е категория Г, а профилът показва еднозначно защо.</w:t>
      </w:r>
    </w:p>
    <w:p>
      <w:pPr>
        <w:spacing w:after="120" w:line="360"/>
        <w:ind w:firstLine="709"/>
        <w:jc w:val="both"/>
      </w:pPr>
      <w:r>
        <w:rPr>
          <w:rFonts w:ascii="Times New Roman" w:cs="Times New Roman" w:eastAsia="Times New Roman" w:hAnsi="Times New Roman"/>
          <w:sz w:val="24"/>
          <w:szCs w:val="24"/>
        </w:rPr>
        <w:t xml:space="preserve">Правилата за интерпретация затварят скалата. Резултатът се чете диагностично, а не само класификационно: при категории Б и В попълнената карта посочва кои показатели са „частично" или „не" и с какви доказателства, което превръща оценката в конкретно техническо задание за преработка. Преработеният материал се оценява наново с нова карта — оценките не се „наследяват", защото редакцията може да внесе нови дефекти. Накрая, при съмнение между две съседни нива се присъжда по-ниското: цената на пропуснат дефект в учебен материал е по-висока от цената на една допълнителна редакция. Как скалата и показателите се събират в работен инструмент — оценъчната карта — е предмет на следващата точка.</w:t>
      </w:r>
    </w:p>
    <w:p>
      <w:pPr>
        <w:pStyle w:val="Heading2"/>
      </w:pPr>
      <w:r>
        <w:rPr>
          <w:rFonts w:ascii="Times New Roman" w:cs="Times New Roman" w:eastAsia="Times New Roman" w:hAnsi="Times New Roman"/>
          <w:b/>
          <w:bCs/>
          <w:sz w:val="26"/>
          <w:szCs w:val="26"/>
        </w:rPr>
        <w:t xml:space="preserve">3.5. Оценъчна матрица/карта за приложение на модела</w:t>
      </w:r>
    </w:p>
    <w:p>
      <w:pPr>
        <w:spacing w:after="120" w:line="360"/>
        <w:ind w:firstLine="709"/>
        <w:jc w:val="both"/>
      </w:pPr>
      <w:r>
        <w:rPr>
          <w:rFonts w:ascii="Times New Roman" w:cs="Times New Roman" w:eastAsia="Times New Roman" w:hAnsi="Times New Roman"/>
          <w:sz w:val="24"/>
          <w:szCs w:val="24"/>
        </w:rPr>
        <w:t xml:space="preserve">Оценъчната карта е работният инструмент, в който моделът съществува за своя потребител. Тя има три части. Заглавната част идентифицира оценявания материал и контекста: наименование и вид на материала, тема, инструмент и версия, с които е генериран, дата на генериране, декларирани учебни цели и аудитория, дата на оценяването и оценител. Тази част операционализира нулевата стъпка от точка 3.2 — без декларирани цели и аудитория дидактическите показатели не могат да бъдат приложени, затова празна заглавна част спира оценяването още преди началото му.</w:t>
      </w:r>
    </w:p>
    <w:p>
      <w:pPr>
        <w:spacing w:after="120" w:line="360"/>
        <w:ind w:firstLine="709"/>
        <w:jc w:val="both"/>
      </w:pPr>
      <w:r>
        <w:rPr>
          <w:rFonts w:ascii="Times New Roman" w:cs="Times New Roman" w:eastAsia="Times New Roman" w:hAnsi="Times New Roman"/>
          <w:sz w:val="24"/>
          <w:szCs w:val="24"/>
        </w:rPr>
        <w:t xml:space="preserve">Тялото на картата съдържа двадесет и осемте показателя с кодовете им, групирани по области в реда на прилагане. Срещу всеки показател оценяващият отбелязва стойността („да", „частично", „не", „неприложимо") и — задължително при „частично" и „не" — доказателството: конкретното място в материала, което обосновава оценката. Правилото е строго: оценка без посочено доказателство не се приема, защото точно доказателствата правят картата проверима от втори оценител и превръщат резултата в указание за преработка. Обобщителната част извежда четирите областни нива, общата категория по правилата от точка 3.4 и списък на препоръчаните корекции, подреден по тежест.</w:t>
      </w:r>
    </w:p>
    <w:p>
      <w:pPr>
        <w:spacing w:after="120" w:line="360"/>
        <w:ind w:firstLine="709"/>
        <w:jc w:val="both"/>
      </w:pPr>
      <w:r>
        <w:rPr>
          <w:rFonts w:ascii="Times New Roman" w:cs="Times New Roman" w:eastAsia="Times New Roman" w:hAnsi="Times New Roman"/>
          <w:sz w:val="24"/>
          <w:szCs w:val="24"/>
        </w:rPr>
        <w:t xml:space="preserve">Таблица 2 представя тялото на картата в пълния му вид. Същата таблица, допълнена със заглавната и обобщителната част, образува оценъчната карта-образец, приложена към работата и използвана без изменения при апробирането в точка 3.7.</w:t>
      </w:r>
    </w:p>
    <w:p>
      <w:pPr>
        <w:spacing w:after="120" w:before="200"/>
        <w:jc w:val="center"/>
      </w:pPr>
      <w:r>
        <w:rPr>
          <w:rFonts w:ascii="Times New Roman" w:cs="Times New Roman" w:eastAsia="Times New Roman" w:hAnsi="Times New Roman"/>
          <w:i/>
          <w:iCs/>
          <w:sz w:val="20"/>
          <w:szCs w:val="20"/>
        </w:rPr>
        <w:t xml:space="preserve">Таблица 2. Тяло на оценъчната карта: области, кодове и показатели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150"/>
        <w:gridCol w:w="4415"/>
        <w:gridCol w:w="1200"/>
        <w:gridCol w:w="2000"/>
      </w:tblGrid>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Код</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Показател</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Оценка</w:t>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Доказателство</w:t>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О1</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Съдържателно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Съществените твърдения са верни при съпоставка с независим източник</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включително програмният код, са коректни и възпроизводими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съответства на актуалното състояние на областта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Отпаднали или несъвместими решения не се представят като текущи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Цитираните източници съществуват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Източниците съдържат приписаните им твърдения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О2</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Дидактическо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Всяка декларирана учебна цел е покрита от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съществени части, необслужващи нито една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Понятията се въвеждат преди употребата им</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Изложението е сегментирано на смислови единици в логичен ред</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Налични са примери и задачи за прилагане на всяка основна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Обратната връзка към задачите обяснява, а не само констатира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О2.К4.П1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Предпоставеното знание не надхвърля декларираното за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О2.К4.П2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Обемът и сложността съответстват на учебното време и мястото в курса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О3</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Езикова и структурна пригодност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Изказът е адаптиран към равнището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Езикът е естествен, без буквално пренесени чуждоезични конструкции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Всеки термин е въведен преди употребата си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Терминологията е еднозначна в целия материал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Заглавията и деленето отразяват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излишен текст без учебна стойност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О3.К4.П1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Материалът е използваем при различни начини на възприемане</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О3.К4.П2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Оформлението не създава излишни бариери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О4</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Етична и академична коректност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Характерни пасажи не показват близост до защитени източници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Действително заетите елементи са обозначени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и допусканията не съдържат стереотипи и пристрастия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е уместно за възрастта и контекста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Използването на генеративен инструмент е декларирано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Процесът на създаване е документиран (инструмент, дата, заявка)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bl>
    <w:p>
      <w:pPr>
        <w:spacing w:after="120" w:line="360"/>
        <w:ind w:firstLine="709"/>
        <w:jc w:val="both"/>
      </w:pPr>
      <w:r>
        <w:rPr>
          <w:rFonts w:ascii="Times New Roman" w:cs="Times New Roman" w:eastAsia="Times New Roman" w:hAnsi="Times New Roman"/>
          <w:sz w:val="24"/>
          <w:szCs w:val="24"/>
        </w:rPr>
        <w:t xml:space="preserve">Попълнената карта изпълнява едновременно три функции: тя е оценка на конкретния материал, документиран протокол, който прави оценката проследима и съпоставима, и техническо задание за преработка, когато материалът не достига категория А. С това конструкцията на модела е завършена откъм съдържание и измерване; остава да се формализира процедурата — точната последователност от стъпки, по която карта и материал се срещат — предмет на следващата точка.</w:t>
      </w:r>
    </w:p>
    <w:p>
      <w:pPr>
        <w:pStyle w:val="Heading2"/>
      </w:pPr>
      <w:r>
        <w:rPr>
          <w:rFonts w:ascii="Times New Roman" w:cs="Times New Roman" w:eastAsia="Times New Roman" w:hAnsi="Times New Roman"/>
          <w:b/>
          <w:bCs/>
          <w:sz w:val="26"/>
          <w:szCs w:val="26"/>
        </w:rPr>
        <w:t xml:space="preserve">3.6. Процедура за верифициране на съдържание, разработено с генеративни AI инструменти</w:t>
      </w:r>
    </w:p>
    <w:p>
      <w:pPr>
        <w:spacing w:after="120" w:line="360"/>
        <w:ind w:firstLine="709"/>
        <w:jc w:val="both"/>
      </w:pPr>
      <w:r>
        <w:rPr>
          <w:rFonts w:ascii="Times New Roman" w:cs="Times New Roman" w:eastAsia="Times New Roman" w:hAnsi="Times New Roman"/>
          <w:sz w:val="24"/>
          <w:szCs w:val="24"/>
        </w:rPr>
        <w:t xml:space="preserve">Процедурата за верифициране подрежда модела във времето: тя определя какво прави оценяващият, в какъв ред и с какъв резултат на всяка стъпка. Тестът за нейната готовност е формулиран още в плана на изследването: процедурата е достатъчно конкретна тогава, когато може да бъде приложена от друг преподавател без участието на автора. Стъпките са седем.</w:t>
      </w:r>
    </w:p>
    <w:p>
      <w:pPr>
        <w:spacing w:after="120" w:line="360"/>
        <w:ind w:firstLine="709"/>
        <w:jc w:val="both"/>
      </w:pPr>
      <w:r>
        <w:rPr>
          <w:rFonts w:ascii="Times New Roman" w:cs="Times New Roman" w:eastAsia="Times New Roman" w:hAnsi="Times New Roman"/>
          <w:sz w:val="24"/>
          <w:szCs w:val="24"/>
        </w:rPr>
        <w:t xml:space="preserve">Стъпка 0 — подготовка. Попълва се заглавната част на оценъчната карта: идентификация на материала, инструмент и версия, дата на генериране, декларирани учебни цели и аудитория. Ако целите и аудиторията не са документирани, те се възстановяват от заявката, с която материалът е генериран; ако и това е невъзможно, оценяването спира — материал без установим учебен контекст не подлежи на дидактическа оценка. Стъпка 1 — съдържателна проверка (област О1). Материалът се чете изцяло, като всяко съществено твърдение се съпоставя с независим източник — официална документация, учебна литература, стандарт; примерите с програмен код се изпълняват в декларираната среда. Констатациите се вписват в картата с точното място. Ако областта падне на ниво 0 или 1, оценяващият може да прекрати процедурата и да върне материала за преработка — по-нататъшната проверка на негодна фактология е загуба на труд.</w:t>
      </w:r>
    </w:p>
    <w:p>
      <w:pPr>
        <w:spacing w:after="120" w:line="360"/>
        <w:ind w:firstLine="709"/>
        <w:jc w:val="both"/>
      </w:pPr>
      <w:r>
        <w:rPr>
          <w:rFonts w:ascii="Times New Roman" w:cs="Times New Roman" w:eastAsia="Times New Roman" w:hAnsi="Times New Roman"/>
          <w:sz w:val="24"/>
          <w:szCs w:val="24"/>
        </w:rPr>
        <w:t xml:space="preserve">Стъпка 2 — дидактическа проверка (област О2). Съдържанието се съпоставя с декларираните цели: покритие, последователност на въвеждане на понятията, наличие и качество на задачите и обратната връзка, съответствие с предварителните знания на аудиторията. Стъпка 3 — езикова и структурна проверка (област О3). Материалът се препрочита в цялост — не на откъси — с внимание към терминологичната последователност, естествеността на езика, организацията и излишното съдържание. Стъпка 4 — проверка за оригиналност и етична допустимост (област О4): съпоставка на характерни пасажи с достъпните източници по темата, преглед на примерите за стереотипи и пристрастия, проверка на декларацията и документацията на произхода.</w:t>
      </w:r>
    </w:p>
    <w:p>
      <w:pPr>
        <w:spacing w:after="120" w:line="360"/>
        <w:ind w:firstLine="709"/>
        <w:jc w:val="both"/>
      </w:pPr>
      <w:r>
        <w:rPr>
          <w:rFonts w:ascii="Times New Roman" w:cs="Times New Roman" w:eastAsia="Times New Roman" w:hAnsi="Times New Roman"/>
          <w:sz w:val="24"/>
          <w:szCs w:val="24"/>
        </w:rPr>
        <w:t xml:space="preserve">Стъпка 5 — обобщение. По правилата от точка 3.4 се извеждат четирите областни нива и общата категория, а всички констатации „частично" и „не" се събират в списък с препоръчани корекции, подреден по тежест: първо критичните дефекти, после съществените, накрая козметичните. Стъпка 6 — решение. Категория А означава използване без изменения, с деклариране на произхода пред обучаемите. Категория Б — извършване на посочените корекции от преподавателя, след което материалът се използва; корекциите не изискват нова карта, ако не засягат съдържателната област. Категории В и Г означават връщане за преработка — с нова заявка или с ръчно пренаписване — и задължителна нова оценка на резултата, тъй като преработката може да внесе нови дефекти.</w:t>
      </w:r>
    </w:p>
    <w:p>
      <w:pPr>
        <w:spacing w:after="120" w:line="360"/>
        <w:ind w:firstLine="709"/>
        <w:jc w:val="both"/>
      </w:pPr>
      <w:r>
        <w:rPr>
          <w:rFonts w:ascii="Times New Roman" w:cs="Times New Roman" w:eastAsia="Times New Roman" w:hAnsi="Times New Roman"/>
          <w:sz w:val="24"/>
          <w:szCs w:val="24"/>
        </w:rPr>
        <w:t xml:space="preserve">Процедурата е проектирана да остане икономична: стъпките следват реда на ранното спиране, а обемът на проверката е съизмерим с обема на материала — за кратките видове съдържание от обхвата на настоящата работа пълният цикъл е задача за части от час, не за дни. Доколко тази проектна оценка отговаря на действителността, е една от проверките на предстоящото апробиране: моделът и процедурата се прилагат върху шест реално генерирани материала — предмет на следващата точка.</w:t>
      </w:r>
    </w:p>
    <w:p>
      <w:pPr>
        <w:pStyle w:val="Heading2"/>
      </w:pPr>
      <w:r>
        <w:rPr>
          <w:rFonts w:ascii="Times New Roman" w:cs="Times New Roman" w:eastAsia="Times New Roman" w:hAnsi="Times New Roman"/>
          <w:b/>
          <w:bCs/>
          <w:sz w:val="26"/>
          <w:szCs w:val="26"/>
        </w:rPr>
        <w:t xml:space="preserve">3.7. Апробиране на модела върху избрани електронни учебни материали</w:t>
      </w:r>
    </w:p>
    <w:p>
      <w:pPr>
        <w:spacing w:after="120" w:line="360"/>
        <w:ind w:firstLine="709"/>
        <w:jc w:val="both"/>
      </w:pPr>
      <w:r>
        <w:rPr>
          <w:rFonts w:ascii="Times New Roman" w:cs="Times New Roman" w:eastAsia="Times New Roman" w:hAnsi="Times New Roman"/>
          <w:sz w:val="24"/>
          <w:szCs w:val="24"/>
        </w:rPr>
        <w:t xml:space="preserve">Апробирането проверява дали конструираният модел изпълнява изискванията, срещу които беше проектиран: приложим ли е от отделен преподавател, улавя ли документираните класове дефекти, разграничава ли материали с различно качество и остава ли процедурата икономична. Дизайнът следва препоръчителното ограничение на обхвата: три вида електронно учебно съдържание — електронен урок, тестови въпроси и указания за самоподготовка — генерирани от два широкодостъпни диалогови инструмента, или общо шест материала. Темата е обща за всички материали — „Компоненти и обвързване на данни (data binding) в Angular" — от областта на уеб разработката, избрана така, че авторът да разполага с професионална предметна компетентност за фактологическата проверка; аудиторията е дефинирана предварително: студенти във втори курс на бакалавърска програма по информатика, след курс по JavaScript. Материалите са на български език, което едновременно съответства на контекста на работата и поставя инструментите пред по-взискателно езиково изпитание.</w:t>
      </w:r>
    </w:p>
    <w:p>
      <w:pPr>
        <w:spacing w:after="120" w:line="360"/>
        <w:ind w:firstLine="709"/>
        <w:jc w:val="both"/>
      </w:pPr>
      <w:r>
        <w:rPr>
          <w:rFonts w:ascii="Times New Roman" w:cs="Times New Roman" w:eastAsia="Times New Roman" w:hAnsi="Times New Roman"/>
          <w:sz w:val="24"/>
          <w:szCs w:val="24"/>
        </w:rPr>
        <w:t xml:space="preserve">Генерирането следва документиран протокол, приложен в цялост към работата. Всеки материал е създаден в чиста сесия, без предишна история и без персонализация; за всеки вид съдържание е използвана една и съща, умерено структурирана заявка с описание на аудиторията, целите и обема — такава, каквато реален преподавател би формулирал, без инженерна оптимизация; взет е първият отговор на инструмента, без редакция и без уточняващи реплики. За всяка сесия са документирани инструментът, версията на модела, режимът на работа, датата и заявката. Протоколът обслужва две изисквания едновременно: методологическата чистота — оценява се генерираният материал, а не последващата му човешка редакция — и изискването за документиран процес на създаване, което самият модел поставя в област О4.</w:t>
      </w:r>
    </w:p>
    <w:p>
      <w:pPr>
        <w:spacing w:after="120" w:line="360"/>
        <w:ind w:firstLine="709"/>
        <w:jc w:val="both"/>
      </w:pPr>
      <w:r>
        <w:rPr>
          <w:rFonts w:ascii="Times New Roman" w:cs="Times New Roman" w:eastAsia="Times New Roman" w:hAnsi="Times New Roman"/>
          <w:sz w:val="24"/>
          <w:szCs w:val="24"/>
        </w:rPr>
        <w:t xml:space="preserve">Оценяването се извършва по процедурата от точка 3.6: за всеки от шестте материала се попълва оценъчна карта по образеца от точка 3.5, с оценки по двадесет и осемте показателя, доказателства за всяка констатация, областни нива, обща категория и списък с препоръчани корекции; регистрира се и времето за оценяване на всеки материал като проверка на изискването за икономичност. Оценител е авторът на работата, който съчетава предметната компетентност в областта на материалите с познаване на модела. Ограниченията на този дизайн се декларират изрично: оценяването е извършено от един оценител, върху един тематичен домейн и върху по един материал от вид и инструмент, поради което резултатите характеризират приложимостта на модела, а не статистически представително качество на инструментите; проверката на междуоценителската съгласуваност остава за бъдещо развитие.</w:t>
      </w:r>
    </w:p>
    <w:p>
      <w:pPr>
        <w:spacing w:after="120" w:line="360"/>
        <w:ind w:firstLine="709"/>
        <w:jc w:val="both"/>
      </w:pPr>
      <w:r>
        <w:rPr>
          <w:rFonts w:ascii="Times New Roman" w:cs="Times New Roman" w:eastAsia="Times New Roman" w:hAnsi="Times New Roman"/>
          <w:sz w:val="24"/>
          <w:szCs w:val="24"/>
        </w:rPr>
        <w:t xml:space="preserve">[Резултатите от оценяването на шестте материала — обобщена таблица на областните нива и категориите по материали, следвана от разбор по материали — се добавят тук след приключване на оценяването по попълнените карти. Попълнените карти влизат в приложенията.]</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709" w:hanging="709"/>
        <w:jc w:val="left"/>
      </w:pPr>
      <w:r>
        <w:rPr>
          <w:rFonts w:ascii="Times New Roman" w:cs="Times New Roman" w:eastAsia="Times New Roman" w:hAnsi="Times New Roman"/>
          <w:sz w:val="24"/>
          <w:szCs w:val="24"/>
        </w:rPr>
        <w:t xml:space="preserve">[1] R. C. Clark and R. E. Mayer, e-Learning and the Science of Instruction: Proven Guidelines for Consumers and Designers of Multimedia Learning, 5th ed. Hoboken, NJ, USA: Wiley, 2024.</w:t>
      </w:r>
    </w:p>
    <w:p>
      <w:pPr>
        <w:spacing w:after="120" w:line="300"/>
        <w:ind w:left="709" w:hanging="709"/>
        <w:jc w:val="left"/>
      </w:pPr>
      <w:r>
        <w:rPr>
          <w:rFonts w:ascii="Times New Roman" w:cs="Times New Roman" w:eastAsia="Times New Roman" w:hAnsi="Times New Roman"/>
          <w:sz w:val="24"/>
          <w:szCs w:val="24"/>
        </w:rPr>
        <w:t xml:space="preserve">[2] C. Redecker, European Framework for the Digital Competence of Educators: DigCompEdu, Y. Punie, Ed. Luxembourg: Publications Office of the European Union, 2017, JRC107466.</w:t>
      </w:r>
    </w:p>
    <w:p>
      <w:pPr>
        <w:spacing w:after="120" w:line="300"/>
        <w:ind w:left="709" w:hanging="709"/>
        <w:jc w:val="left"/>
      </w:pPr>
      <w:r>
        <w:rPr>
          <w:rFonts w:ascii="Times New Roman" w:cs="Times New Roman" w:eastAsia="Times New Roman" w:hAnsi="Times New Roman"/>
          <w:sz w:val="24"/>
          <w:szCs w:val="24"/>
        </w:rPr>
        <w:t xml:space="preserve">[3] E. Staneviciene and G. Žekienė, "The use of multimedia in the teaching and learning process of higher education: A systematic review," Sustainability, vol. 17, no. 19, Art. no. 8859, 2025, doi: 10.3390/su17198859.</w:t>
      </w:r>
    </w:p>
    <w:p>
      <w:pPr>
        <w:spacing w:after="120" w:line="300"/>
        <w:ind w:left="709" w:hanging="709"/>
        <w:jc w:val="left"/>
      </w:pPr>
      <w:r>
        <w:rPr>
          <w:rFonts w:ascii="Times New Roman" w:cs="Times New Roman" w:eastAsia="Times New Roman" w:hAnsi="Times New Roman"/>
          <w:sz w:val="24"/>
          <w:szCs w:val="24"/>
        </w:rPr>
        <w:t xml:space="preserve">[4] UNESCO, Recommendation on Open Educational Resources (OER). Paris, France: UNESCO, 2019. [Online]. Available: https://unesdoc.unesco.org/ark:/48223/pf0000383205</w:t>
      </w:r>
    </w:p>
    <w:p>
      <w:pPr>
        <w:spacing w:after="120" w:line="300"/>
        <w:ind w:left="709" w:hanging="709"/>
        <w:jc w:val="left"/>
      </w:pPr>
      <w:r>
        <w:rPr>
          <w:rFonts w:ascii="Times New Roman" w:cs="Times New Roman" w:eastAsia="Times New Roman" w:hAnsi="Times New Roman"/>
          <w:sz w:val="24"/>
          <w:szCs w:val="24"/>
        </w:rPr>
        <w:t xml:space="preserve">[5] X. Chen, Z. Hu, and C. Wang, "Empowering education development through AIGC: A systematic literature review," Education and Information Technologies, vol. 29, no. 13, pp. 17485–17537, 2024, doi: 10.1007/s10639-024-12549-7.</w:t>
      </w:r>
    </w:p>
    <w:p>
      <w:pPr>
        <w:spacing w:after="120" w:line="300"/>
        <w:ind w:left="709" w:hanging="709"/>
        <w:jc w:val="left"/>
      </w:pPr>
      <w:r>
        <w:rPr>
          <w:rFonts w:ascii="Times New Roman" w:cs="Times New Roman" w:eastAsia="Times New Roman" w:hAnsi="Times New Roman"/>
          <w:sz w:val="24"/>
          <w:szCs w:val="24"/>
        </w:rPr>
        <w:t xml:space="preserve">[6] M. D. Merrill, "First principles of instruction," Educational Technology Research and Development, vol. 50, no. 3, pp. 43–59, 2002, doi: 10.1007/BF02505024.</w:t>
      </w:r>
    </w:p>
    <w:p>
      <w:pPr>
        <w:spacing w:after="120" w:line="300"/>
        <w:ind w:left="709" w:hanging="709"/>
        <w:jc w:val="left"/>
      </w:pPr>
      <w:r>
        <w:rPr>
          <w:rFonts w:ascii="Times New Roman" w:cs="Times New Roman" w:eastAsia="Times New Roman" w:hAnsi="Times New Roman"/>
          <w:sz w:val="24"/>
          <w:szCs w:val="24"/>
        </w:rPr>
        <w:t xml:space="preserve">[7] J. Biggs, C. Tang, and G. Kennedy, Teaching for Quality Learning at University, 5th ed. London, U.K.: Open University Press, 2022.</w:t>
      </w:r>
    </w:p>
    <w:p>
      <w:pPr>
        <w:spacing w:after="120" w:line="300"/>
        <w:ind w:left="709" w:hanging="709"/>
        <w:jc w:val="left"/>
      </w:pPr>
      <w:r>
        <w:rPr>
          <w:rFonts w:ascii="Times New Roman" w:cs="Times New Roman" w:eastAsia="Times New Roman" w:hAnsi="Times New Roman"/>
          <w:sz w:val="24"/>
          <w:szCs w:val="24"/>
        </w:rPr>
        <w:t xml:space="preserve">[8]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709" w:hanging="709"/>
        <w:jc w:val="left"/>
      </w:pPr>
      <w:r>
        <w:rPr>
          <w:rFonts w:ascii="Times New Roman" w:cs="Times New Roman" w:eastAsia="Times New Roman" w:hAnsi="Times New Roman"/>
          <w:sz w:val="24"/>
          <w:szCs w:val="24"/>
        </w:rPr>
        <w:t xml:space="preserve">[9] E. Kasneci et al., "ChatGPT for good? On opportunities and challenges of large language models for education," Learning and Individual Differences, vol. 103, Art. no. 102274, 2023, doi: 10.1016/j.lindif.2023.102274.</w:t>
      </w:r>
    </w:p>
    <w:p>
      <w:pPr>
        <w:spacing w:after="120" w:line="300"/>
        <w:ind w:left="709" w:hanging="709"/>
        <w:jc w:val="left"/>
      </w:pPr>
      <w:r>
        <w:rPr>
          <w:rFonts w:ascii="Times New Roman" w:cs="Times New Roman" w:eastAsia="Times New Roman" w:hAnsi="Times New Roman"/>
          <w:sz w:val="24"/>
          <w:szCs w:val="24"/>
        </w:rPr>
        <w:t xml:space="preserve">[10] L. Huang et al., "A survey on hallucination in large language models: Principles, taxonomy, challenges, and open questions," ACM Transactions on Information Systems, vol. 43, no. 2, pp. 1–55, 2025, doi: 10.1145/3703155.</w:t>
      </w:r>
    </w:p>
    <w:p>
      <w:pPr>
        <w:spacing w:after="120" w:line="300"/>
        <w:ind w:left="709" w:hanging="709"/>
        <w:jc w:val="left"/>
      </w:pPr>
      <w:r>
        <w:rPr>
          <w:rFonts w:ascii="Times New Roman" w:cs="Times New Roman" w:eastAsia="Times New Roman" w:hAnsi="Times New Roman"/>
          <w:sz w:val="24"/>
          <w:szCs w:val="24"/>
        </w:rPr>
        <w:t xml:space="preserve">[11] E. Dickey and A. Bejarano, "GAIDE: A framework for using generative AI to assist in course content development," in Proc. 2024 IEEE Frontiers in Education Conference (FIE), 2024, pp. 1–9, doi: 10.1109/FIE61694.2024.10893132.</w:t>
      </w:r>
    </w:p>
    <w:p>
      <w:pPr>
        <w:spacing w:after="120" w:line="300"/>
        <w:ind w:left="709" w:hanging="709"/>
        <w:jc w:val="left"/>
      </w:pPr>
      <w:r>
        <w:rPr>
          <w:rFonts w:ascii="Times New Roman" w:cs="Times New Roman" w:eastAsia="Times New Roman" w:hAnsi="Times New Roman"/>
          <w:sz w:val="24"/>
          <w:szCs w:val="24"/>
        </w:rPr>
        <w:t xml:space="preserve">[12] D. S. Chai, H. S. Kim, K. N. Kim, Y. Ha, S. S. H. Shin, and S. W. Yoon, "Generative artificial intelligence in instructional system design," Human Resource Development Review, 2025, doi: 10.1177/15344843251320256.</w:t>
      </w:r>
    </w:p>
    <w:p>
      <w:pPr>
        <w:spacing w:after="120" w:line="300"/>
        <w:ind w:left="709" w:hanging="709"/>
        <w:jc w:val="left"/>
      </w:pPr>
      <w:r>
        <w:rPr>
          <w:rFonts w:ascii="Times New Roman" w:cs="Times New Roman" w:eastAsia="Times New Roman" w:hAnsi="Times New Roman"/>
          <w:sz w:val="24"/>
          <w:szCs w:val="24"/>
        </w:rPr>
        <w:t xml:space="preserve">[13] Z. Liu, S. X. Yin, D. H.-L. Goh, and N. F. Chen, "COGENT: A curriculum-oriented framework for generating grade-appropriate educational content," in Proc. 20th Workshop on Innovative Use of NLP for Building Educational Applications (BEA 2025), 2025.</w:t>
      </w:r>
    </w:p>
    <w:p>
      <w:pPr>
        <w:spacing w:after="120" w:line="300"/>
        <w:ind w:left="709" w:hanging="709"/>
        <w:jc w:val="left"/>
      </w:pPr>
      <w:r>
        <w:rPr>
          <w:rFonts w:ascii="Times New Roman" w:cs="Times New Roman" w:eastAsia="Times New Roman" w:hAnsi="Times New Roman"/>
          <w:sz w:val="24"/>
          <w:szCs w:val="24"/>
        </w:rPr>
        <w:t xml:space="preserve">[14] H. Yao, W. Xu, J. Turnau, N. Kellam, and H. Wei, "Instructional agents: Reducing teaching faculty workload through multi-agent instructional design," in Proc. EACL 2026, vol. 1, 2026, pp. 4087–4109.</w:t>
      </w:r>
    </w:p>
    <w:p>
      <w:pPr>
        <w:spacing w:after="120" w:line="300"/>
        <w:ind w:left="709" w:hanging="709"/>
        <w:jc w:val="left"/>
      </w:pPr>
      <w:r>
        <w:rPr>
          <w:rFonts w:ascii="Times New Roman" w:cs="Times New Roman" w:eastAsia="Times New Roman" w:hAnsi="Times New Roman"/>
          <w:sz w:val="24"/>
          <w:szCs w:val="24"/>
        </w:rPr>
        <w:t xml:space="preserve">[15] G. W. Choi, S. H. Kim, D. Lee, and J. Moon, "Utilizing generative AI for instructional design: Exploring strengths, weaknesses, opportunities, and threats," TechTrends, vol. 68, no. 4, pp. 832–844, 2024, doi: 10.1007/s11528-024-00967-w.</w:t>
      </w:r>
    </w:p>
    <w:p>
      <w:pPr>
        <w:spacing w:after="120" w:line="300"/>
        <w:ind w:left="709" w:hanging="709"/>
        <w:jc w:val="left"/>
      </w:pPr>
      <w:r>
        <w:rPr>
          <w:rFonts w:ascii="Times New Roman" w:cs="Times New Roman" w:eastAsia="Times New Roman" w:hAnsi="Times New Roman"/>
          <w:sz w:val="24"/>
          <w:szCs w:val="24"/>
        </w:rPr>
        <w:t xml:space="preserve">[16]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709" w:hanging="709"/>
        <w:jc w:val="left"/>
      </w:pPr>
      <w:r>
        <w:rPr>
          <w:rFonts w:ascii="Times New Roman" w:cs="Times New Roman" w:eastAsia="Times New Roman" w:hAnsi="Times New Roman"/>
          <w:sz w:val="24"/>
          <w:szCs w:val="24"/>
        </w:rPr>
        <w:t xml:space="preserve">[17]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709" w:hanging="709"/>
        <w:jc w:val="left"/>
      </w:pPr>
      <w:r>
        <w:rPr>
          <w:rFonts w:ascii="Times New Roman" w:cs="Times New Roman" w:eastAsia="Times New Roman" w:hAnsi="Times New Roman"/>
          <w:sz w:val="24"/>
          <w:szCs w:val="24"/>
        </w:rPr>
        <w:t xml:space="preserve">[18]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709" w:hanging="709"/>
        <w:jc w:val="left"/>
      </w:pPr>
      <w:r>
        <w:rPr>
          <w:rFonts w:ascii="Times New Roman" w:cs="Times New Roman" w:eastAsia="Times New Roman" w:hAnsi="Times New Roman"/>
          <w:sz w:val="24"/>
          <w:szCs w:val="24"/>
        </w:rPr>
        <w:t xml:space="preserve">[19] Quality Matters, QM Higher Education Rubric, 7th ed. Annapolis, MD, USA: Quality Matters, 2023. [Online]. Available: https://www.qualitymatters.org/qa-resources/rubric-standards/higher-ed-rubric</w:t>
      </w:r>
    </w:p>
    <w:p>
      <w:pPr>
        <w:spacing w:after="120" w:line="300"/>
        <w:ind w:left="709" w:hanging="709"/>
        <w:jc w:val="left"/>
      </w:pPr>
      <w:r>
        <w:rPr>
          <w:rFonts w:ascii="Times New Roman" w:cs="Times New Roman" w:eastAsia="Times New Roman" w:hAnsi="Times New Roman"/>
          <w:sz w:val="24"/>
          <w:szCs w:val="24"/>
        </w:rPr>
        <w:t xml:space="preserve">[20]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709" w:hanging="709"/>
        <w:jc w:val="left"/>
      </w:pPr>
      <w:r>
        <w:rPr>
          <w:rFonts w:ascii="Times New Roman" w:cs="Times New Roman" w:eastAsia="Times New Roman" w:hAnsi="Times New Roman"/>
          <w:sz w:val="24"/>
          <w:szCs w:val="24"/>
        </w:rPr>
        <w:t xml:space="preserve">[21] Q. Huang, C. Lv, L. Lu, and S. Tu, "Evaluating the quality of AI-generated digital educational resources for university teaching and learning," Systems, vol. 13, no. 3, Art. no. 174, 2025, doi: 10.3390/systems13030174.</w:t>
      </w:r>
    </w:p>
    <w:p>
      <w:pPr>
        <w:spacing w:after="120" w:line="300"/>
        <w:ind w:left="709" w:hanging="709"/>
        <w:jc w:val="left"/>
      </w:pPr>
      <w:r>
        <w:rPr>
          <w:rFonts w:ascii="Times New Roman" w:cs="Times New Roman" w:eastAsia="Times New Roman" w:hAnsi="Times New Roman"/>
          <w:sz w:val="24"/>
          <w:szCs w:val="24"/>
        </w:rPr>
        <w:t xml:space="preserve">[22] P. Denny, H. Khosravi, A. Hellas, J. Leinonen, and S. Sarsa, "Can we trust AI-generated educational content? Comparative analysis of human and AI-generated learning resources," 2023, arXiv:2306.10509.</w:t>
      </w:r>
    </w:p>
    <w:p>
      <w:pPr>
        <w:spacing w:after="120" w:line="300"/>
        <w:ind w:left="709" w:hanging="709"/>
        <w:jc w:val="left"/>
      </w:pPr>
      <w:r>
        <w:rPr>
          <w:rFonts w:ascii="Times New Roman" w:cs="Times New Roman" w:eastAsia="Times New Roman" w:hAnsi="Times New Roman"/>
          <w:sz w:val="24"/>
          <w:szCs w:val="24"/>
        </w:rPr>
        <w:t xml:space="preserve">[23] W. H. Walters and E. I. Wilder, "Fabrication and errors in the bibliographic citations generated by ChatGPT," Scientific Reports, vol. 13, 2023, doi: 10.1038/s41598-023-41032-5.</w:t>
      </w:r>
    </w:p>
    <w:p>
      <w:pPr>
        <w:spacing w:after="120" w:line="300"/>
        <w:ind w:left="709" w:hanging="709"/>
        <w:jc w:val="left"/>
      </w:pPr>
      <w:r>
        <w:rPr>
          <w:rFonts w:ascii="Times New Roman" w:cs="Times New Roman" w:eastAsia="Times New Roman" w:hAnsi="Times New Roman"/>
          <w:sz w:val="24"/>
          <w:szCs w:val="24"/>
        </w:rPr>
        <w:t xml:space="preserve">[24] G. Kurdi, J. Leo, B. Parsia, U. Sattler, and S. Al-Emari, "A systematic review of automatic question generation for educational purposes," International Journal of Artificial Intelligence in Education, vol. 30, no. 1, pp. 121–204, 2020, doi: 10.1007/s40593-019-00186-y.</w:t>
      </w:r>
    </w:p>
    <w:p>
      <w:pPr>
        <w:spacing w:after="120" w:line="300"/>
        <w:ind w:left="709" w:hanging="709"/>
        <w:jc w:val="left"/>
      </w:pPr>
      <w:r>
        <w:rPr>
          <w:rFonts w:ascii="Times New Roman" w:cs="Times New Roman" w:eastAsia="Times New Roman" w:hAnsi="Times New Roman"/>
          <w:sz w:val="24"/>
          <w:szCs w:val="24"/>
        </w:rPr>
        <w:t xml:space="preserve">[25] Plain Language — Part 1: Governing Principles and Guidelines, ISO 24495-1:2023, International Organization for Standardization, Geneva, Switzerland, 2023.</w:t>
      </w:r>
    </w:p>
    <w:p>
      <w:pPr>
        <w:spacing w:after="120" w:line="300"/>
        <w:ind w:left="709" w:hanging="709"/>
        <w:jc w:val="left"/>
      </w:pPr>
      <w:r>
        <w:rPr>
          <w:rFonts w:ascii="Times New Roman" w:cs="Times New Roman" w:eastAsia="Times New Roman" w:hAnsi="Times New Roman"/>
          <w:sz w:val="24"/>
          <w:szCs w:val="24"/>
        </w:rPr>
        <w:t xml:space="preserve">[26] CAST, Universal Design for Learning Guidelines, version 3.0. Lynnfield, MA, USA: CAST, 2024. [Online]. Available: https://udlguidelines.cast.org</w:t>
      </w:r>
    </w:p>
    <w:p>
      <w:pPr>
        <w:spacing w:after="120" w:line="300"/>
        <w:ind w:left="709" w:hanging="709"/>
        <w:jc w:val="left"/>
      </w:pPr>
      <w:r>
        <w:rPr>
          <w:rFonts w:ascii="Times New Roman" w:cs="Times New Roman" w:eastAsia="Times New Roman" w:hAnsi="Times New Roman"/>
          <w:sz w:val="24"/>
          <w:szCs w:val="24"/>
        </w:rPr>
        <w:t xml:space="preserve">[27] G. W. Choi and J. Y. Seo, "Accessibility, usability, and universal design for learning: Discussion of three key LX/UX elements for inclusive learning design," TechTrends, vol. 68, no. 5, pp. 936–945, 2024, doi: 10.1007/s11528-024-00987-6.</w:t>
      </w:r>
    </w:p>
    <w:p>
      <w:pPr>
        <w:spacing w:after="120" w:line="300"/>
        <w:ind w:left="709" w:hanging="709"/>
        <w:jc w:val="left"/>
      </w:pPr>
      <w:r>
        <w:rPr>
          <w:rFonts w:ascii="Times New Roman" w:cs="Times New Roman" w:eastAsia="Times New Roman" w:hAnsi="Times New Roman"/>
          <w:sz w:val="24"/>
          <w:szCs w:val="24"/>
        </w:rPr>
        <w:t xml:space="preserve">[28] M. Hadra, K. Cambridge, and M. Mesbah, "Evaluating the accuracy and reliability of AI content detectors in academic contexts," International Journal for Educational Integrity, vol. 22, Art. no. 4, 2026, doi: 10.1007/s40979-026-00213-1.</w:t>
      </w:r>
    </w:p>
    <w:p>
      <w:pPr>
        <w:spacing w:after="120" w:line="300"/>
        <w:ind w:left="709" w:hanging="709"/>
        <w:jc w:val="left"/>
      </w:pPr>
      <w:r>
        <w:rPr>
          <w:rFonts w:ascii="Times New Roman" w:cs="Times New Roman" w:eastAsia="Times New Roman" w:hAnsi="Times New Roman"/>
          <w:sz w:val="24"/>
          <w:szCs w:val="24"/>
        </w:rPr>
        <w:t xml:space="preserve">[29] M. Perkins, "Academic integrity considerations of AI large language models in the post-pandemic era: ChatGPT and beyond," Journal of University Teaching &amp; Learning Practice, vol. 20, no. 2, Art. no. 7, 2023, doi: 10.53761/1.20.02.07.</w:t>
      </w:r>
    </w:p>
    <w:sectPr>
      <w:pgSz w:w="11906" w:h="16838" w:orient="portrait"/>
      <w:pgMar w:top="1440" w:right="1440"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before="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2026-07-30T17:58:08.892Z</dcterms:created>
  <dcterms:modified xsi:type="dcterms:W3CDTF">2026-07-30T17:58:08.893Z</dcterms:modified>
</cp:coreProperties>
</file>

<file path=docProps/custom.xml><?xml version="1.0" encoding="utf-8"?>
<Properties xmlns="http://schemas.openxmlformats.org/officeDocument/2006/custom-properties" xmlns:vt="http://schemas.openxmlformats.org/officeDocument/2006/docPropsVTypes"/>
</file>