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spacing w:after="200"/>
      </w:pPr>
      <w:r>
        <w:t xml:space="preserve">Message Teams — Demande Hmida</w:t>
      </w:r>
    </w:p>
    <w:p>
      <w:pPr>
        <w:spacing w:after="120"/>
      </w:pPr>
      <w:r>
        <w:rPr>
          <w:b/>
          <w:sz w:val="24"/>
          <w:szCs w:val="24"/>
        </w:rPr>
        <w:t xml:space="preserve">Salut Hmida 👋</w:t>
      </w:r>
    </w:p>
    <w:p/>
    <w:p>
      <w:pPr>
        <w:spacing w:after="120"/>
      </w:pPr>
      <w:r>
        <w:t xml:space="preserve">Petit besoin de ton côté pour la page Alertes du rapport Pilotage Commercial.</w:t>
      </w:r>
    </w:p>
    <w:p/>
    <w:p>
      <w:r>
        <w:rPr/>
        <w:t xml:space="preserve">J'ai besoin d'une table </w:t>
      </w:r>
      <w:r>
        <w:rPr>
          <w:b/>
          <w:rFonts w:ascii="Courier New" w:hAnsi="Courier New"/>
          <w:sz w:val="18"/>
          <w:szCs w:val="18"/>
        </w:rPr>
        <w:t xml:space="preserve">fact_alertes</w:t>
      </w:r>
      <w:r>
        <w:rPr/>
        <w:t xml:space="preserve"> en Gold dans le Lakehouse. J'avais tenté de la créer directement dans le modèle sémantique via une table calculée DAX, mais ça ne passe pas — </w:t>
      </w:r>
      <w:r>
        <w:rPr>
          <w:b/>
        </w:rPr>
        <w:t xml:space="preserve">Direct Lake interdit les tables calculées qui référencent d'autres tables entity</w:t>
      </w:r>
      <w:r>
        <w:rPr/>
        <w:t xml:space="preserve"> (erreur Fabric : "Vous ne pouvez pas utiliser la table calculée pour référencer la table Direct Lake"). Du coup ça doit obligatoirement vivre en Gold.</w:t>
      </w:r>
    </w:p>
    <w:p/>
    <w:p>
      <w:pPr>
        <w:pStyle w:val="Heading2"/>
        <w:spacing w:before="240" w:after="120"/>
      </w:pPr>
      <w:r>
        <w:t xml:space="preserve">C'est quoi cette table ?</w:t>
      </w:r>
    </w:p>
    <w:p>
      <w:r>
        <w:rPr>
          <w:rFonts w:ascii="Courier New" w:hAnsi="Courier New"/>
          <w:sz w:val="18"/>
          <w:szCs w:val="18"/>
        </w:rPr>
        <w:t xml:space="preserve">fact_alertes</w:t>
      </w:r>
      <w:r>
        <w:rPr/>
        <w:t xml:space="preserve"> génère automatiquement des alertes métier à partir des KPIs RDV des mandataires. L'idée c'est d'avoir </w:t>
      </w:r>
      <w:r>
        <w:rPr>
          <w:b/>
        </w:rPr>
        <w:t xml:space="preserve">une ligne par alerte déclenchée</w:t>
      </w:r>
      <w:r>
        <w:rPr/>
        <w:t xml:space="preserve">, filtrables dans le rapport (tableau des alertes actives, compteurs par niveau, etc.).</w:t>
      </w:r>
    </w:p>
    <w:p/>
    <w:p>
      <w:pPr>
        <w:spacing w:after="80"/>
      </w:pPr>
      <w:r>
        <w:rPr>
          <w:b/>
        </w:rPr>
        <w:t xml:space="preserve">Colonnes attendues :</w:t>
      </w:r>
    </w:p>
    <w:tbl>
      <w:tblPr>
        <w:tblStyle w:val="TableGrid"/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c>
          <w:tcPr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rFonts w:ascii="Calibri" w:hAnsi="Calibri"/>
                <w:sz w:val="18"/>
                <w:szCs w:val="18"/>
              </w:rPr>
              <w:t xml:space="preserve">Colonne</w:t>
            </w:r>
          </w:p>
        </w:tc>
        <w:tc>
          <w:tcPr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rFonts w:ascii="Calibri" w:hAnsi="Calibri"/>
                <w:sz w:val="18"/>
                <w:szCs w:val="18"/>
              </w:rPr>
              <w:t xml:space="preserve">Type</w:t>
            </w:r>
          </w:p>
        </w:tc>
        <w:tc>
          <w:tcPr>
            <w:shd w:val="clear" w:color="auto" w:fill="D6E4F0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rFonts w:ascii="Calibri" w:hAnsi="Calibri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alerte_id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PK — ex: "G13-M001-20260604"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date_analyse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 du calcul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date_detection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Date de détection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niveau_priorite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CRITIQUE / HAUTE / MOYENNE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categorie_alerte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RDV / RDV Visio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kpi_concerne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Ex: "G.13 - Taux réalisation de rendez-vous"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valeur_actuelle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Float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Valeur du KPI au moment de l'alerte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seuil_alerte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Float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Seuil qui a été franchi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ecart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Float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valeur_actuelle - seuil_alerte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agence_id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FK → dim_agence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mandataire_id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FK → dim_mandataire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impact_metier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Libellé d'impact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recommandation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Action suggérée</w:t>
            </w:r>
          </w:p>
        </w:tc>
      </w:tr>
      <w:tr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statut_alerte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shd w:val="clear" w:color="auto" w:fill="FFFFF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/>
                <w:sz w:val="18"/>
                <w:szCs w:val="18"/>
              </w:rPr>
              <w:t xml:space="preserve">Ouverte (ou Cloturee quand traitée)</w:t>
            </w:r>
          </w:p>
        </w:tc>
      </w:tr>
    </w:tbl>
    <w:p/>
    <w:p>
      <w:pPr>
        <w:pStyle w:val="Heading2"/>
        <w:spacing w:before="240" w:after="120"/>
      </w:pPr>
      <w:r>
        <w:t xml:space="preserve">Relations dans le modèle sémantique</w:t>
      </w:r>
    </w:p>
    <w:p>
      <w:r>
        <w:rPr>
          <w:rFonts w:ascii="Courier New" w:hAnsi="Courier New"/>
          <w:sz w:val="18"/>
          <w:szCs w:val="18"/>
        </w:rPr>
        <w:t xml:space="preserve">fact_alertes</w:t>
      </w:r>
      <w:r>
        <w:rPr/>
        <w:t xml:space="preserve">[mandataire_id]  →  dim_mandataire[mandataire_id]</w:t>
      </w:r>
      <w:r>
        <w:rPr>
          <w:i/>
        </w:rPr>
        <w:t xml:space="preserve">  (many-to-one)</w:t>
      </w:r>
    </w:p>
    <w:p>
      <w:r>
        <w:rPr>
          <w:rFonts w:ascii="Courier New" w:hAnsi="Courier New"/>
          <w:sz w:val="18"/>
          <w:szCs w:val="18"/>
        </w:rPr>
        <w:t xml:space="preserve">fact_alertes</w:t>
      </w:r>
      <w:r>
        <w:rPr/>
        <w:t xml:space="preserve">[agence_id]  →  dim_agence[agence_id]</w:t>
      </w:r>
      <w:r>
        <w:rPr>
          <w:i/>
        </w:rPr>
        <w:t xml:space="preserve">  (many-to-one)</w:t>
      </w:r>
    </w:p>
    <w:p/>
    <w:p>
      <w:pPr>
        <w:pStyle w:val="Heading2"/>
        <w:spacing w:before="240" w:after="120"/>
      </w:pPr>
      <w:r>
        <w:t xml:space="preserve">Logique métier — 4 règles d'alerte</w:t>
      </w:r>
    </w:p>
    <w:p>
      <w:r>
        <w:rPr>
          <w:b/>
        </w:rPr>
        <w:t xml:space="preserve">Tables sources nécessaires :</w:t>
      </w:r>
    </w:p>
    <w:p>
      <w:r>
        <w:rPr/>
        <w:t xml:space="preserve">   • </w:t>
      </w:r>
      <w:r>
        <w:rPr>
          <w:rFonts w:ascii="Courier New" w:hAnsi="Courier New"/>
          <w:sz w:val="18"/>
          <w:szCs w:val="18"/>
        </w:rPr>
        <w:t xml:space="preserve">gold.dim_mandataire</w:t>
      </w:r>
    </w:p>
    <w:p>
      <w:r>
        <w:rPr/>
        <w:t xml:space="preserve">   • </w:t>
      </w:r>
      <w:r>
        <w:rPr>
          <w:rFonts w:ascii="Courier New" w:hAnsi="Courier New"/>
          <w:sz w:val="18"/>
          <w:szCs w:val="18"/>
        </w:rPr>
        <w:t xml:space="preserve">gold.bridge_rendez_vous_mandataire</w:t>
      </w:r>
    </w:p>
    <w:p>
      <w:r>
        <w:rPr/>
        <w:t xml:space="preserve">   • </w:t>
      </w:r>
      <w:r>
        <w:rPr>
          <w:rFonts w:ascii="Courier New" w:hAnsi="Courier New"/>
          <w:sz w:val="18"/>
          <w:szCs w:val="18"/>
        </w:rPr>
        <w:t xml:space="preserve">gold.fact_rendez_vous_client</w:t>
      </w:r>
    </w:p>
    <w:p>
      <w:r>
        <w:rPr/>
        <w:t xml:space="preserve">   • </w:t>
      </w:r>
      <w:r>
        <w:rPr>
          <w:rFonts w:ascii="Courier New" w:hAnsi="Courier New"/>
          <w:sz w:val="18"/>
          <w:szCs w:val="18"/>
        </w:rPr>
        <w:t xml:space="preserve">gold.fact_activite_mandataire</w:t>
      </w:r>
    </w:p>
    <w:p/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# G.13 — Taux réalisation RDV &lt; 66% → CRITIQUE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nb_prevus       = COUNT DISTINCT bridge_rdv.rendez_vous_id  (par mandataire)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nb_realises     = idem filtré sur flag_rendez_vous_realise = True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taux            = nb_realises / nb_prevus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→ alerte si taux &lt; 0.66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/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# G.14 — RDV prévus/semaine insuffisant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nb_semaines         = COUNT DISTINCT (YEAR * 100 + WEEKNUM(date_rdv)) par mandataire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rdv_prevus_semaine  = nb_prevus / nb_semaines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→ CRITIQUE si &lt; 15/semaine  |  HAUTE si &lt; 18/semaine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/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# G.15 — RDV réalisés/semaine insuffisant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rdv_realises_semaine = nb_realises / nb_semaines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→ CRITIQUE si &lt; 12/semaine  |  HAUTE si &lt; 15/semaine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/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# G.18 — Taux visio trop élevé (&gt; 33%) → HAUTE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nb_visio    = COUNT DISTINCT bridge_rdv.rendez_vous_id  filtré flag_visio = True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taux_visio  = nb_visio / nb_realises</w:t>
      </w:r>
    </w:p>
    <w:p>
      <w:pPr>
        <w:pStyle w:val="Code"/>
        <w:shd w:val="clear" w:color="auto" w:fill="F2F2F2"/>
        <w:spacing w:before="0" w:after="0"/>
        <w:ind w:left="360" w:right="360"/>
      </w:pPr>
      <w:r>
        <w:rPr>
          <w:rFonts w:ascii="Courier New" w:hAnsi="Courier New"/>
          <w:sz w:val="18"/>
          <w:szCs w:val="18"/>
          <w:color w:val="2B5797"/>
        </w:rPr>
        <w:t xml:space="preserve">→ alerte si taux_visio &gt; 0.33</w:t>
      </w:r>
    </w:p>
    <w:p/>
    <w:p>
      <w:pPr>
        <w:pStyle w:val="Heading2"/>
        <w:spacing w:before="240" w:after="120"/>
      </w:pPr>
      <w:r>
        <w:t xml:space="preserve">Pourquoi pas dans le modèle sémantique ?</w:t>
      </w:r>
    </w:p>
    <w:p>
      <w:r>
        <w:t xml:space="preserve">En mode Direct Lake (Microsoft Fabric), une règle stricte s'applique :</w:t>
      </w:r>
    </w:p>
    <w:p/>
    <w:p>
      <w:r>
        <w:rPr/>
        <w:t xml:space="preserve">Toute table dont l'expression DAX référence une autre table entity (Delta Lake) est </w:t>
      </w:r>
      <w:r>
        <w:rPr>
          <w:b/>
        </w:rPr>
        <w:t xml:space="preserve">refusée au déploiement</w:t>
      </w:r>
      <w:r>
        <w:rPr/>
        <w:t xml:space="preserve">. C'est exactement ce que fait </w:t>
      </w:r>
      <w:r>
        <w:rPr>
          <w:rFonts w:ascii="Courier New" w:hAnsi="Courier New"/>
          <w:sz w:val="18"/>
          <w:szCs w:val="18"/>
        </w:rPr>
        <w:t xml:space="preserve">fact_alertes</w:t>
      </w:r>
      <w:r>
        <w:rPr/>
        <w:t xml:space="preserve"> — elle itère sur </w:t>
      </w:r>
      <w:r>
        <w:rPr>
          <w:rFonts w:ascii="Courier New" w:hAnsi="Courier New"/>
          <w:sz w:val="18"/>
          <w:szCs w:val="18"/>
        </w:rPr>
        <w:t xml:space="preserve">dim_mandataire</w:t>
      </w:r>
      <w:r>
        <w:rPr/>
        <w:t xml:space="preserve">, </w:t>
      </w:r>
      <w:r>
        <w:rPr>
          <w:rFonts w:ascii="Courier New" w:hAnsi="Courier New"/>
          <w:sz w:val="18"/>
          <w:szCs w:val="18"/>
        </w:rPr>
        <w:t xml:space="preserve">bridge_rendez_vous_mandataire</w:t>
      </w:r>
      <w:r>
        <w:rPr/>
        <w:t xml:space="preserve">, etc.</w:t>
      </w:r>
    </w:p>
    <w:p/>
    <w:p>
      <w:r>
        <w:t xml:space="preserve">Les seules tables calculées autorisées en Direct Lake sont :</w:t>
      </w:r>
    </w:p>
    <w:p>
      <w:r>
        <w:rPr/>
        <w:t xml:space="preserve">   ✓  </w:t>
      </w:r>
      <w:r>
        <w:rPr/>
        <w:t xml:space="preserve">Tables statiques (DATATABLE) sans dépendance externe</w:t>
      </w:r>
    </w:p>
    <w:p>
      <w:r>
        <w:rPr/>
        <w:t xml:space="preserve">   ✓  </w:t>
      </w:r>
      <w:r>
        <w:rPr/>
        <w:t xml:space="preserve">Field Parameters Power BI</w:t>
      </w:r>
    </w:p>
    <w:p>
      <w:r>
        <w:rPr/>
        <w:t xml:space="preserve">   ✓  </w:t>
      </w:r>
      <w:r>
        <w:rPr/>
        <w:t xml:space="preserve">Tables auto-générées (dim_date, DateTableTemplate…)</w:t>
      </w:r>
    </w:p>
    <w:p/>
    <w:p>
      <w:r>
        <w:rPr/>
        <w:t xml:space="preserve">→ La solution : matérialiser </w:t>
      </w:r>
      <w:r>
        <w:rPr>
          <w:rFonts w:ascii="Courier New" w:hAnsi="Courier New"/>
          <w:sz w:val="18"/>
          <w:szCs w:val="18"/>
        </w:rPr>
        <w:t xml:space="preserve">fact_alertes</w:t>
      </w:r>
      <w:r>
        <w:rPr/>
        <w:t xml:space="preserve"> en Gold via un job Spark/notebook quotidien, puis l'exposer comme partition entity dans le modèle.</w:t>
      </w:r>
    </w:p>
    <w:p/>
    <w:p>
      <w:pPr>
        <w:spacing w:before="200"/>
      </w:pPr>
      <w:r>
        <w:rPr>
          <w:i/>
        </w:rPr>
        <w:t xml:space="preserve">Pas d'urgence absolue, mais ça débloque la page Alertes complète. Dis-moi si t'as des questions sur la logique ou le schéma 🙏</w:t>
      </w:r>
    </w:p>
    <w:sectPr>
      <w:pgSz w:w="11906" w:h="16838"/>
      <w:pgMar w:top="1134" w:right="1134" w:bottom="1134" w:left="1701" w:header="709" w:footer="709" w:gutter="0"/>
    </w:sectPr>
  </w:body>
</w:document>
</file>

<file path=word/styles.xml><?xml version="1.0" encoding="utf-8"?>
<w:styles xmlns:w="http://schemas.openxmlformats.org/wordprocessingml/2006/main" xmlns:w14="http://schemas.microsoft.com/office/word/2010/wordml">
  <w:style w:type="paragraph" w:styleId="Normal" w:default="1">
    <w:name w:val="Normal"/>
    <w:rPr>
      <w:sz w:val="22"/>
      <w:szCs w:val="22"/>
    </w:rPr>
  </w:style>
  <w:style w:type="paragraph" w:styleId="Heading1">
    <w:name w:val="heading 1"/>
    <w:basedOn w:val="Normal"/>
    <w:pPr>
      <w:outlineLvl w:val="0"/>
    </w:pPr>
    <w:rPr>
      <w:b/>
      <w:sz w:val="32"/>
      <w:szCs w:val="32"/>
      <w:color w:val="1F3864"/>
    </w:rPr>
  </w:style>
  <w:style w:type="paragraph" w:styleId="Heading2">
    <w:name w:val="heading 2"/>
    <w:basedOn w:val="Normal"/>
    <w:pPr>
      <w:outlineLvl w:val="1"/>
    </w:pPr>
    <w:rPr>
      <w:b/>
      <w:sz w:val="26"/>
      <w:szCs w:val="26"/>
      <w:color w:val="2E74B5"/>
    </w:rPr>
  </w:style>
  <w:style w:type="paragraph" w:styleId="Code">
    <w:name w:val="Code"/>
    <w:basedOn w:val="Normal"/>
    <w:pPr>
      <w:shd w:val="clear" w:color="auto" w:fill="F2F2F2"/>
      <w:ind w:left="360" w:righ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