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7984C" w14:textId="0E0A799E" w:rsidR="00293406" w:rsidRPr="00293406" w:rsidRDefault="00293406" w:rsidP="00293406">
      <w:pPr>
        <w:spacing w:after="200"/>
        <w:ind w:left="703" w:right="0" w:hanging="720"/>
        <w:rPr>
          <w:b/>
          <w:bCs/>
          <w:sz w:val="24"/>
          <w:szCs w:val="24"/>
        </w:rPr>
      </w:pPr>
      <w:r w:rsidRPr="00293406">
        <w:rPr>
          <w:b/>
          <w:bCs/>
          <w:sz w:val="24"/>
          <w:szCs w:val="24"/>
        </w:rPr>
        <w:t xml:space="preserve">List of included studies </w:t>
      </w:r>
    </w:p>
    <w:p w14:paraId="56630599" w14:textId="3659B092" w:rsidR="00293406" w:rsidRDefault="00293406" w:rsidP="00293406">
      <w:pPr>
        <w:spacing w:after="1"/>
        <w:ind w:left="705" w:right="0" w:hanging="720"/>
      </w:pPr>
      <w:r>
        <w:t xml:space="preserve">Aldred, R., Goodman, A., Gulliver, J., &amp; Woodcock, J. (2018). Cycling injury risk in London: A case-control study exploring the impact of cycle volumes, motor vehicle volumes, and road characteristics including speed limits. </w:t>
      </w:r>
      <w:r>
        <w:rPr>
          <w:i/>
        </w:rPr>
        <w:t>Accident Analysis &amp; Prevention</w:t>
      </w:r>
      <w:r>
        <w:t xml:space="preserve">, </w:t>
      </w:r>
      <w:r>
        <w:rPr>
          <w:i/>
        </w:rPr>
        <w:t>117</w:t>
      </w:r>
      <w:r>
        <w:t xml:space="preserve">, 75–84. </w:t>
      </w:r>
      <w:hyperlink r:id="rId4">
        <w:r>
          <w:t xml:space="preserve">https: </w:t>
        </w:r>
      </w:hyperlink>
      <w:hyperlink r:id="rId5">
        <w:r>
          <w:t>//doi.org/10.1016/j.aap.2018.03.003</w:t>
        </w:r>
      </w:hyperlink>
    </w:p>
    <w:p w14:paraId="2FDAB33F" w14:textId="77777777" w:rsidR="00293406" w:rsidRDefault="00293406" w:rsidP="00293406">
      <w:pPr>
        <w:spacing w:after="12"/>
        <w:ind w:left="705" w:right="0" w:hanging="720"/>
      </w:pPr>
      <w:r>
        <w:t xml:space="preserve">Alun D Ackery, Barry A McLellan, &amp; Donald A Redelmeier. (2012). Bicyclist deaths and striking vehicles in the USA. </w:t>
      </w:r>
      <w:r>
        <w:rPr>
          <w:i/>
        </w:rPr>
        <w:t>Inj Prev</w:t>
      </w:r>
      <w:r>
        <w:t xml:space="preserve">, </w:t>
      </w:r>
      <w:r>
        <w:rPr>
          <w:i/>
        </w:rPr>
        <w:t>18</w:t>
      </w:r>
      <w:r>
        <w:t xml:space="preserve">(1), 22. </w:t>
      </w:r>
      <w:hyperlink r:id="rId6">
        <w:r>
          <w:t>https://doi.org/10.1136/injuryprev-2011-040066</w:t>
        </w:r>
      </w:hyperlink>
    </w:p>
    <w:p w14:paraId="741B4A9B" w14:textId="77777777" w:rsidR="00293406" w:rsidRDefault="00293406" w:rsidP="00293406">
      <w:pPr>
        <w:spacing w:after="16"/>
        <w:ind w:left="705" w:right="0" w:hanging="720"/>
      </w:pPr>
      <w:r>
        <w:t xml:space="preserve">Fraser, M. L., &amp; Meuleners, L. B. (2020). Risk factors for unsafe events involving a motor vehicle for group riders (cyclists): A naturalistic case-crossover study. </w:t>
      </w:r>
      <w:r>
        <w:rPr>
          <w:i/>
        </w:rPr>
        <w:t>Accident Analysis &amp; Prevention</w:t>
      </w:r>
      <w:r>
        <w:t xml:space="preserve">, </w:t>
      </w:r>
      <w:r>
        <w:rPr>
          <w:i/>
        </w:rPr>
        <w:t>146</w:t>
      </w:r>
      <w:r>
        <w:t xml:space="preserve">, 105758. </w:t>
      </w:r>
      <w:hyperlink r:id="rId7">
        <w:r>
          <w:t>https://doi.org/10.1016/j.aap.2020.105758</w:t>
        </w:r>
      </w:hyperlink>
    </w:p>
    <w:p w14:paraId="560A0A87" w14:textId="77777777" w:rsidR="00293406" w:rsidRDefault="00293406" w:rsidP="00293406">
      <w:pPr>
        <w:spacing w:after="12"/>
        <w:ind w:left="705" w:right="0" w:hanging="720"/>
      </w:pPr>
      <w:r>
        <w:t xml:space="preserve">Hamann, C., &amp; Peek-Asa, C. (2013). On-road bicycle facilities and bicycle crashes in Iowa, 2007–2010. </w:t>
      </w:r>
      <w:r>
        <w:rPr>
          <w:i/>
        </w:rPr>
        <w:t>Accident Analysis &amp; Prevention</w:t>
      </w:r>
      <w:r>
        <w:t xml:space="preserve">, </w:t>
      </w:r>
      <w:r>
        <w:rPr>
          <w:i/>
        </w:rPr>
        <w:t>56</w:t>
      </w:r>
      <w:r>
        <w:t xml:space="preserve">, 103–109. </w:t>
      </w:r>
      <w:hyperlink r:id="rId8">
        <w:r>
          <w:t>https://doi.org/10.1016/j.aap.2012.12.031</w:t>
        </w:r>
      </w:hyperlink>
    </w:p>
    <w:p w14:paraId="5A42BE60" w14:textId="77777777" w:rsidR="00293406" w:rsidRDefault="00293406" w:rsidP="00293406">
      <w:pPr>
        <w:spacing w:after="0"/>
        <w:ind w:left="705" w:right="0" w:hanging="720"/>
      </w:pPr>
      <w:r>
        <w:t xml:space="preserve">Harris, M. A., Reynolds, C. C. O., Winters, M., Cripton, P. A., Shen, H., Chipman, M. L., Cusimano, M. D., Babul, S., Brubacher, J. R., Friedman, S. M., Hunte, G., Monro, M., Vernich, L., &amp; Teschke, K. (2013). Comparing the effects of infrastructure on bicycling injury at intersections and non-intersections using a case–crossover design. </w:t>
      </w:r>
      <w:r>
        <w:rPr>
          <w:i/>
        </w:rPr>
        <w:t>Injury Prevention</w:t>
      </w:r>
      <w:r>
        <w:t xml:space="preserve">, </w:t>
      </w:r>
      <w:r>
        <w:rPr>
          <w:i/>
        </w:rPr>
        <w:t>19</w:t>
      </w:r>
      <w:r>
        <w:t xml:space="preserve">(5), 303–310. </w:t>
      </w:r>
      <w:hyperlink r:id="rId9">
        <w:r>
          <w:t xml:space="preserve">https: </w:t>
        </w:r>
      </w:hyperlink>
      <w:hyperlink r:id="rId10">
        <w:r>
          <w:t>//doi.org/10.1136/injuryprev-2012-040561</w:t>
        </w:r>
      </w:hyperlink>
    </w:p>
    <w:p w14:paraId="4D8E40D7" w14:textId="77777777" w:rsidR="00293406" w:rsidRDefault="00293406" w:rsidP="00293406">
      <w:pPr>
        <w:spacing w:after="16"/>
        <w:ind w:left="705" w:right="0" w:hanging="720"/>
      </w:pPr>
      <w:r>
        <w:t xml:space="preserve">Kapousizis, G., Goodman, A., &amp; Aldred, R. (2021). Cycling injury risk in Britain: A case-crossover study of infrastructural and route environment correlates. </w:t>
      </w:r>
      <w:r>
        <w:rPr>
          <w:i/>
        </w:rPr>
        <w:t>Accident Analysis &amp; Prevention</w:t>
      </w:r>
      <w:r>
        <w:t xml:space="preserve">, </w:t>
      </w:r>
      <w:r>
        <w:rPr>
          <w:i/>
        </w:rPr>
        <w:t>154</w:t>
      </w:r>
      <w:r>
        <w:t xml:space="preserve">, 106063. </w:t>
      </w:r>
      <w:hyperlink r:id="rId11">
        <w:r>
          <w:t>https://doi.org/10.1016/j.aap.2021.106063</w:t>
        </w:r>
      </w:hyperlink>
    </w:p>
    <w:p w14:paraId="655A5B62" w14:textId="77777777" w:rsidR="00293406" w:rsidRDefault="00293406" w:rsidP="00293406">
      <w:pPr>
        <w:spacing w:after="16"/>
        <w:ind w:left="705" w:right="0" w:hanging="720"/>
      </w:pPr>
      <w:r>
        <w:t xml:space="preserve">Meuleners, L. B., Stevenson, M., Fraser, M., Oxley, J., Rose, G., &amp; Johnson, M. (2019). Safer cycling and the urban road environment: A case control study. </w:t>
      </w:r>
      <w:r>
        <w:rPr>
          <w:i/>
        </w:rPr>
        <w:t>Accident Analysis &amp; Prevention</w:t>
      </w:r>
      <w:r>
        <w:t xml:space="preserve">, </w:t>
      </w:r>
      <w:r>
        <w:rPr>
          <w:i/>
        </w:rPr>
        <w:t>129</w:t>
      </w:r>
      <w:r>
        <w:t xml:space="preserve">, 342–349. </w:t>
      </w:r>
      <w:hyperlink r:id="rId12">
        <w:r>
          <w:t>https://doi.org/10.1016/j.aap.2019.05.032</w:t>
        </w:r>
      </w:hyperlink>
    </w:p>
    <w:p w14:paraId="5670B24A" w14:textId="77777777" w:rsidR="00293406" w:rsidRDefault="00293406" w:rsidP="00293406">
      <w:pPr>
        <w:spacing w:after="4"/>
        <w:ind w:left="-5" w:right="0"/>
      </w:pPr>
      <w:r>
        <w:t>Teschke, K., Harris, M. A., Reynolds, C. C. O., Winters, M., Babul, S., Chipman, M., Cusimano,</w:t>
      </w:r>
    </w:p>
    <w:p w14:paraId="3C74AC1B" w14:textId="77777777" w:rsidR="00293406" w:rsidRDefault="00293406" w:rsidP="00293406">
      <w:pPr>
        <w:spacing w:after="1"/>
        <w:ind w:left="730" w:right="0"/>
      </w:pPr>
      <w:r>
        <w:t xml:space="preserve">M. D., Brubacher, J. R., Hunte, G., Friedman, S. M., Monro, M., Shen, H., Vernich, L., &amp; Cripton, P. A. (2012). Route Infrastructure and the Risk of Injuries to Bicyclists: A CaseCrossover Study. </w:t>
      </w:r>
      <w:r>
        <w:rPr>
          <w:i/>
        </w:rPr>
        <w:t>Am J Public Health</w:t>
      </w:r>
      <w:r>
        <w:t xml:space="preserve">, </w:t>
      </w:r>
      <w:r>
        <w:rPr>
          <w:i/>
        </w:rPr>
        <w:t>102</w:t>
      </w:r>
      <w:r>
        <w:t xml:space="preserve">(12), 2336–2343. </w:t>
      </w:r>
      <w:hyperlink r:id="rId13">
        <w:r>
          <w:t xml:space="preserve">https://doi.org/10.2105/AJPH. </w:t>
        </w:r>
      </w:hyperlink>
      <w:hyperlink r:id="rId14">
        <w:r>
          <w:t>2012.300762</w:t>
        </w:r>
      </w:hyperlink>
    </w:p>
    <w:p w14:paraId="62FB5EE0" w14:textId="77777777" w:rsidR="00293406" w:rsidRDefault="00293406" w:rsidP="00293406">
      <w:pPr>
        <w:spacing w:after="6"/>
        <w:ind w:left="705" w:right="0" w:hanging="720"/>
      </w:pPr>
      <w:r>
        <w:t xml:space="preserve">Vandenbulcke, G., Thomas, I., &amp; Int Panis, L. (2014). Predicting cycling accident risk in Brussels: A spatial case–control approach. </w:t>
      </w:r>
      <w:r>
        <w:rPr>
          <w:i/>
        </w:rPr>
        <w:t>Accident Analysis &amp; Prevention</w:t>
      </w:r>
      <w:r>
        <w:t xml:space="preserve">, </w:t>
      </w:r>
      <w:r>
        <w:rPr>
          <w:i/>
        </w:rPr>
        <w:t>62</w:t>
      </w:r>
      <w:r>
        <w:t xml:space="preserve">, 341–357. </w:t>
      </w:r>
      <w:hyperlink r:id="rId15">
        <w:r>
          <w:t xml:space="preserve">https://doi. </w:t>
        </w:r>
      </w:hyperlink>
      <w:hyperlink r:id="rId16">
        <w:r>
          <w:t>org/10.1016/j.aap.2013.07.001</w:t>
        </w:r>
      </w:hyperlink>
    </w:p>
    <w:p w14:paraId="607393C3" w14:textId="77777777" w:rsidR="00293406" w:rsidRDefault="00293406" w:rsidP="00293406">
      <w:pPr>
        <w:spacing w:after="22"/>
        <w:ind w:left="705" w:right="0" w:hanging="720"/>
      </w:pPr>
      <w:r>
        <w:t xml:space="preserve">Williams, T., Doscher, C., &amp; Page, S. (2018). Spatial characteristics of bicycle–motor vehicle crashes in Christchurch, New Zealand: A case-control approach. </w:t>
      </w:r>
      <w:r>
        <w:rPr>
          <w:i/>
        </w:rPr>
        <w:t>Journal of Transport and Land Use</w:t>
      </w:r>
      <w:r>
        <w:t>,</w:t>
      </w:r>
    </w:p>
    <w:p w14:paraId="4CF87841" w14:textId="77777777" w:rsidR="00293406" w:rsidRDefault="00293406" w:rsidP="00293406">
      <w:pPr>
        <w:spacing w:after="415" w:line="259" w:lineRule="auto"/>
        <w:ind w:left="0" w:right="118" w:firstLine="0"/>
        <w:jc w:val="right"/>
      </w:pPr>
      <w:r>
        <w:rPr>
          <w:i/>
        </w:rPr>
        <w:t>11</w:t>
      </w:r>
      <w:r>
        <w:t xml:space="preserve">(1), 849–864. Retrieved February 23, 2024, from </w:t>
      </w:r>
      <w:hyperlink r:id="rId17">
        <w:r>
          <w:t>https://www.jstor.org/stable/26622433</w:t>
        </w:r>
      </w:hyperlink>
    </w:p>
    <w:p w14:paraId="3563192E" w14:textId="77777777" w:rsidR="00DB47A4" w:rsidRDefault="00DB47A4"/>
    <w:sectPr w:rsidR="00DB4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4D"/>
    <w:rsid w:val="00293406"/>
    <w:rsid w:val="003A7E8A"/>
    <w:rsid w:val="00560DF4"/>
    <w:rsid w:val="00C9184D"/>
    <w:rsid w:val="00DB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2A3C56"/>
  <w15:chartTrackingRefBased/>
  <w15:docId w15:val="{23F1AED2-B195-450F-BF25-5377585A0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406"/>
    <w:pPr>
      <w:spacing w:after="110" w:line="254" w:lineRule="auto"/>
      <w:ind w:left="10" w:right="15" w:hanging="10"/>
      <w:jc w:val="both"/>
    </w:pPr>
    <w:rPr>
      <w:rFonts w:ascii="Cambria" w:eastAsia="Cambria" w:hAnsi="Cambria" w:cs="Cambria"/>
      <w:color w:val="000000"/>
      <w:sz w:val="20"/>
      <w:szCs w:val="21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84D"/>
    <w:pPr>
      <w:keepNext/>
      <w:keepLines/>
      <w:spacing w:before="360" w:after="8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184D"/>
    <w:pPr>
      <w:keepNext/>
      <w:keepLines/>
      <w:spacing w:before="160" w:after="80" w:line="259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84D"/>
    <w:pPr>
      <w:keepNext/>
      <w:keepLines/>
      <w:spacing w:before="160" w:after="80" w:line="259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84D"/>
    <w:pPr>
      <w:keepNext/>
      <w:keepLines/>
      <w:spacing w:before="80" w:after="40" w:line="259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84D"/>
    <w:pPr>
      <w:keepNext/>
      <w:keepLines/>
      <w:spacing w:before="80" w:after="40" w:line="259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84D"/>
    <w:pPr>
      <w:keepNext/>
      <w:keepLines/>
      <w:spacing w:before="40" w:after="0" w:line="259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84D"/>
    <w:pPr>
      <w:keepNext/>
      <w:keepLines/>
      <w:spacing w:before="40" w:after="0" w:line="259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84D"/>
    <w:pPr>
      <w:keepNext/>
      <w:keepLines/>
      <w:spacing w:after="0" w:line="259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84D"/>
    <w:pPr>
      <w:keepNext/>
      <w:keepLines/>
      <w:spacing w:after="0" w:line="259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18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8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18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8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8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8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8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8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184D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C918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84D"/>
    <w:pPr>
      <w:numPr>
        <w:ilvl w:val="1"/>
      </w:numPr>
      <w:spacing w:after="160" w:line="259" w:lineRule="auto"/>
      <w:ind w:right="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C91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184D"/>
    <w:pPr>
      <w:spacing w:before="160" w:after="160" w:line="259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C918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184D"/>
    <w:pPr>
      <w:spacing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character" w:styleId="IntenseEmphasis">
    <w:name w:val="Intense Emphasis"/>
    <w:basedOn w:val="DefaultParagraphFont"/>
    <w:uiPriority w:val="21"/>
    <w:qFormat/>
    <w:rsid w:val="00C918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8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8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18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73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aap.2012.12.031" TargetMode="External"/><Relationship Id="rId13" Type="http://schemas.openxmlformats.org/officeDocument/2006/relationships/hyperlink" Target="https://doi.org/10.2105/AJPH.2012.300762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16/j.aap.2020.105758" TargetMode="External"/><Relationship Id="rId12" Type="http://schemas.openxmlformats.org/officeDocument/2006/relationships/hyperlink" Target="https://doi.org/10.1016/j.aap.2019.05.032" TargetMode="External"/><Relationship Id="rId17" Type="http://schemas.openxmlformats.org/officeDocument/2006/relationships/hyperlink" Target="https://www.jstor.org/stable/2662243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aap.2013.07.00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i.org/10.1136/injuryprev-2011-040066" TargetMode="External"/><Relationship Id="rId11" Type="http://schemas.openxmlformats.org/officeDocument/2006/relationships/hyperlink" Target="https://doi.org/10.1016/j.aap.2021.106063" TargetMode="External"/><Relationship Id="rId5" Type="http://schemas.openxmlformats.org/officeDocument/2006/relationships/hyperlink" Target="https://doi.org/10.1016/j.aap.2018.03.003" TargetMode="External"/><Relationship Id="rId15" Type="http://schemas.openxmlformats.org/officeDocument/2006/relationships/hyperlink" Target="https://doi.org/10.1016/j.aap.2013.07.001" TargetMode="External"/><Relationship Id="rId10" Type="http://schemas.openxmlformats.org/officeDocument/2006/relationships/hyperlink" Target="https://doi.org/10.1136/injuryprev-2012-040561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oi.org/10.1016/j.aap.2018.03.003" TargetMode="External"/><Relationship Id="rId9" Type="http://schemas.openxmlformats.org/officeDocument/2006/relationships/hyperlink" Target="https://doi.org/10.1136/injuryprev-2012-040561" TargetMode="External"/><Relationship Id="rId14" Type="http://schemas.openxmlformats.org/officeDocument/2006/relationships/hyperlink" Target="https://doi.org/10.2105/AJPH.2012.3007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489</Words>
  <Characters>3110</Characters>
  <Application>Microsoft Office Word</Application>
  <DocSecurity>0</DocSecurity>
  <Lines>43</Lines>
  <Paragraphs>19</Paragraphs>
  <ScaleCrop>false</ScaleCrop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Agrawal</dc:creator>
  <cp:keywords/>
  <dc:description/>
  <cp:lastModifiedBy>Srishti Agrawal</cp:lastModifiedBy>
  <cp:revision>2</cp:revision>
  <dcterms:created xsi:type="dcterms:W3CDTF">2024-04-21T00:31:00Z</dcterms:created>
  <dcterms:modified xsi:type="dcterms:W3CDTF">2024-04-21T00:35:00Z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29b2adad622d1f90b1860a4803a9f8015266acf2cca429c64f4bf57903dbf37c</vt:lpwstr>
  </property>
</Properties>
</file>