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COMPETITOR KEYWORD-GAP</w:t>
      </w:r>
    </w:p>
    <w:p>
      <w:pPr>
        <w:spacing w:after="70"/>
      </w:pPr>
      <w:r>
        <w:rPr>
          <w:rFonts w:ascii="Georgia" w:cs="Georgia" w:eastAsia="Georgia" w:hAnsi="Georgia"/>
          <w:b/>
          <w:bCs/>
          <w:color w:val="16223C"/>
          <w:sz w:val="35"/>
          <w:szCs w:val="35"/>
        </w:rPr>
        <w:t xml:space="preserve">Where Competitors Rank and Trillet Doesn't</w:t>
      </w:r>
    </w:p>
    <w:p>
      <w:pPr>
        <w:spacing w:after="90" w:line="274"/>
      </w:pPr>
      <w:r>
        <w:rPr>
          <w:rFonts w:ascii="Calibri" w:cs="Calibri" w:eastAsia="Calibri" w:hAnsi="Calibri"/>
          <w:i w:val="false"/>
          <w:iCs w:val="false"/>
          <w:color w:val="5A6675"/>
          <w:sz w:val="20"/>
          <w:szCs w:val="20"/>
        </w:rPr>
        <w:t xml:space="preserve">Keyword-gap across 16 competitors versus trillet.ai, from Semrush organic-positions exports. What they rank for that Trillet has no presence on, segmented by funnel and cluster, ranked by winnability. Full data in the companion spreadsheet.</w:t>
      </w:r>
    </w:p>
    <w:p>
      <w:pPr>
        <w:spacing w:after="50" w:before="140"/>
      </w:pPr>
      <w:r>
        <w:rPr>
          <w:rFonts w:ascii="Georgia" w:cs="Georgia" w:eastAsia="Georgia" w:hAnsi="Georgia"/>
          <w:b/>
          <w:bCs/>
          <w:color w:val="16223C"/>
          <w:sz w:val="25"/>
          <w:szCs w:val="25"/>
        </w:rPr>
        <w:t xml:space="preserve">Method and honest limits</w:t>
      </w:r>
    </w:p>
    <w:p>
      <w:pPr>
        <w:spacing w:after="90" w:line="274"/>
      </w:pPr>
      <w:r>
        <w:rPr>
          <w:rFonts w:ascii="Calibri" w:cs="Calibri" w:eastAsia="Calibri" w:hAnsi="Calibri"/>
          <w:i w:val="false"/>
          <w:iCs w:val="false"/>
          <w:color w:val="24303F"/>
          <w:sz w:val="20"/>
          <w:szCs w:val="20"/>
        </w:rPr>
        <w:t xml:space="preserve">Pooled 42,160 competitor ranking keywords, removed brand/navigational/typo noise and anything already in Trillet's Search Console query set, then relevance-filtered to Trillet's market (voice, calls, receptionist, agency, verticals, compliance). 2,420 relevant gap keywords remain.</w:t>
      </w:r>
    </w:p>
    <w:p>
      <w:pPr>
        <w:spacing w:after="90" w:line="274"/>
      </w:pPr>
      <w:r>
        <w:rPr>
          <w:rFonts w:ascii="Calibri" w:cs="Calibri" w:eastAsia="Calibri" w:hAnsi="Calibri"/>
          <w:i/>
          <w:iCs/>
          <w:color w:val="5A6675"/>
          <w:sz w:val="20"/>
          <w:szCs w:val="20"/>
        </w:rPr>
        <w:t xml:space="preserve">Limit: Trillet's known coverage is approximated from its GSC top ~1,040 queries, not a full Semrush export of trillet.ai. So a small number of listed gaps may be terms Trillet already ranks for beyond the top 1,040 - treat borderline items as verify, and the headline clusters below as directionally solid.</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2340"/>
        <w:gridCol w:w="2340"/>
        <w:gridCol w:w="2340"/>
        <w:gridCol w:w="2340"/>
      </w:tblGrid>
      <w:tr>
        <w:tc>
          <w:tcPr>
            <w:tcW w:type="dxa" w:w="2340"/>
            <w:tcBorders>
              <w:top w:val="single" w:color="D9DEE8" w:sz="4"/>
              <w:left w:val="single" w:color="D9DEE8" w:sz="4"/>
              <w:bottom w:val="single" w:color="D9DEE8" w:sz="4"/>
              <w:right w:val="single" w:color="D9DEE8" w:sz="4"/>
            </w:tcBorders>
            <w:shd w:fill="F7F8FA" w:color="auto" w:val="clear"/>
            <w:tcMar>
              <w:top w:type="dxa" w:w="100"/>
              <w:left w:type="dxa" w:w="60"/>
              <w:bottom w:type="dxa" w:w="100"/>
              <w:right w:type="dxa" w:w="60"/>
            </w:tcMar>
          </w:tcPr>
          <w:p>
            <w:pPr>
              <w:spacing w:after="16"/>
              <w:jc w:val="center"/>
            </w:pPr>
            <w:r>
              <w:rPr>
                <w:rFonts w:ascii="Georgia" w:cs="Georgia" w:eastAsia="Georgia" w:hAnsi="Georgia"/>
                <w:b/>
                <w:bCs/>
                <w:color w:val="16223C"/>
                <w:sz w:val="28"/>
                <w:szCs w:val="28"/>
              </w:rPr>
              <w:t xml:space="preserve">42,160</w:t>
            </w:r>
          </w:p>
          <w:p>
            <w:pPr>
              <w:jc w:val="center"/>
            </w:pPr>
            <w:r>
              <w:rPr>
                <w:rFonts w:ascii="Calibri" w:cs="Calibri" w:eastAsia="Calibri" w:hAnsi="Calibri"/>
                <w:color w:val="5A6675"/>
                <w:sz w:val="12"/>
                <w:szCs w:val="12"/>
              </w:rPr>
              <w:t xml:space="preserve">competitor keywords pooled</w:t>
            </w:r>
          </w:p>
        </w:tc>
        <w:tc>
          <w:tcPr>
            <w:tcW w:type="dxa" w:w="2340"/>
            <w:tcBorders>
              <w:top w:val="single" w:color="D9DEE8" w:sz="4"/>
              <w:left w:val="single" w:color="D9DEE8" w:sz="4"/>
              <w:bottom w:val="single" w:color="D9DEE8" w:sz="4"/>
              <w:right w:val="single" w:color="D9DEE8" w:sz="4"/>
            </w:tcBorders>
            <w:shd w:fill="F7F8FA" w:color="auto" w:val="clear"/>
            <w:tcMar>
              <w:top w:type="dxa" w:w="100"/>
              <w:left w:type="dxa" w:w="60"/>
              <w:bottom w:type="dxa" w:w="100"/>
              <w:right w:type="dxa" w:w="60"/>
            </w:tcMar>
          </w:tcPr>
          <w:p>
            <w:pPr>
              <w:spacing w:after="16"/>
              <w:jc w:val="center"/>
            </w:pPr>
            <w:r>
              <w:rPr>
                <w:rFonts w:ascii="Georgia" w:cs="Georgia" w:eastAsia="Georgia" w:hAnsi="Georgia"/>
                <w:b/>
                <w:bCs/>
                <w:color w:val="16223C"/>
                <w:sz w:val="28"/>
                <w:szCs w:val="28"/>
              </w:rPr>
              <w:t xml:space="preserve">2,420</w:t>
            </w:r>
          </w:p>
          <w:p>
            <w:pPr>
              <w:jc w:val="center"/>
            </w:pPr>
            <w:r>
              <w:rPr>
                <w:rFonts w:ascii="Calibri" w:cs="Calibri" w:eastAsia="Calibri" w:hAnsi="Calibri"/>
                <w:color w:val="5A6675"/>
                <w:sz w:val="12"/>
                <w:szCs w:val="12"/>
              </w:rPr>
              <w:t xml:space="preserve">relevant gaps</w:t>
            </w:r>
          </w:p>
        </w:tc>
        <w:tc>
          <w:tcPr>
            <w:tcW w:type="dxa" w:w="2340"/>
            <w:tcBorders>
              <w:top w:val="single" w:color="D9DEE8" w:sz="4"/>
              <w:left w:val="single" w:color="D9DEE8" w:sz="4"/>
              <w:bottom w:val="single" w:color="D9DEE8" w:sz="4"/>
              <w:right w:val="single" w:color="D9DEE8" w:sz="4"/>
            </w:tcBorders>
            <w:shd w:fill="F7F8FA" w:color="auto" w:val="clear"/>
            <w:tcMar>
              <w:top w:type="dxa" w:w="100"/>
              <w:left w:type="dxa" w:w="60"/>
              <w:bottom w:type="dxa" w:w="100"/>
              <w:right w:type="dxa" w:w="60"/>
            </w:tcMar>
          </w:tcPr>
          <w:p>
            <w:pPr>
              <w:spacing w:after="16"/>
              <w:jc w:val="center"/>
            </w:pPr>
            <w:r>
              <w:rPr>
                <w:rFonts w:ascii="Georgia" w:cs="Georgia" w:eastAsia="Georgia" w:hAnsi="Georgia"/>
                <w:b/>
                <w:bCs/>
                <w:color w:val="16223C"/>
                <w:sz w:val="28"/>
                <w:szCs w:val="28"/>
              </w:rPr>
              <w:t xml:space="preserve">60</w:t>
            </w:r>
          </w:p>
          <w:p>
            <w:pPr>
              <w:jc w:val="center"/>
            </w:pPr>
            <w:r>
              <w:rPr>
                <w:rFonts w:ascii="Calibri" w:cs="Calibri" w:eastAsia="Calibri" w:hAnsi="Calibri"/>
                <w:color w:val="5A6675"/>
                <w:sz w:val="12"/>
                <w:szCs w:val="12"/>
              </w:rPr>
              <w:t xml:space="preserve">quick wins</w:t>
            </w:r>
          </w:p>
        </w:tc>
        <w:tc>
          <w:tcPr>
            <w:tcW w:type="dxa" w:w="2340"/>
            <w:tcBorders>
              <w:top w:val="single" w:color="D9DEE8" w:sz="4"/>
              <w:left w:val="single" w:color="D9DEE8" w:sz="4"/>
              <w:bottom w:val="single" w:color="D9DEE8" w:sz="4"/>
              <w:right w:val="single" w:color="D9DEE8" w:sz="4"/>
            </w:tcBorders>
            <w:shd w:fill="F7F8FA" w:color="auto" w:val="clear"/>
            <w:tcMar>
              <w:top w:type="dxa" w:w="100"/>
              <w:left w:type="dxa" w:w="60"/>
              <w:bottom w:type="dxa" w:w="100"/>
              <w:right w:type="dxa" w:w="60"/>
            </w:tcMar>
          </w:tcPr>
          <w:p>
            <w:pPr>
              <w:spacing w:after="16"/>
              <w:jc w:val="center"/>
            </w:pPr>
            <w:r>
              <w:rPr>
                <w:rFonts w:ascii="Georgia" w:cs="Georgia" w:eastAsia="Georgia" w:hAnsi="Georgia"/>
                <w:b/>
                <w:bCs/>
                <w:color w:val="16223C"/>
                <w:sz w:val="28"/>
                <w:szCs w:val="28"/>
              </w:rPr>
              <w:t xml:space="preserve">16</w:t>
            </w:r>
          </w:p>
          <w:p>
            <w:pPr>
              <w:jc w:val="center"/>
            </w:pPr>
            <w:r>
              <w:rPr>
                <w:rFonts w:ascii="Calibri" w:cs="Calibri" w:eastAsia="Calibri" w:hAnsi="Calibri"/>
                <w:color w:val="5A6675"/>
                <w:sz w:val="12"/>
                <w:szCs w:val="12"/>
              </w:rPr>
              <w:t xml:space="preserve">competitors</w:t>
            </w:r>
          </w:p>
        </w:tc>
      </w:tr>
    </w:tbl>
    <w:p>
      <w:pPr>
        <w:pBdr>
          <w:bottom w:val="single" w:color="D9DEE8" w:sz="6"/>
        </w:pBdr>
        <w:spacing w:after="110" w:before="110"/>
      </w:pPr>
      <w:r>
        <w:t xml:space="preserve"/>
      </w:r>
    </w:p>
    <w:p>
      <w:pPr>
        <w:spacing w:after="50" w:before="140"/>
      </w:pPr>
      <w:r>
        <w:rPr>
          <w:rFonts w:ascii="Georgia" w:cs="Georgia" w:eastAsia="Georgia" w:hAnsi="Georgia"/>
          <w:b/>
          <w:bCs/>
          <w:color w:val="16223C"/>
          <w:sz w:val="25"/>
          <w:szCs w:val="25"/>
        </w:rPr>
        <w:t xml:space="preserve">The headline: Trillet is absent from the answering-service universe</w:t>
      </w:r>
    </w:p>
    <w:tbl>
      <w:tblPr>
        <w:tblW w:type="dxa" w:w="9360"/>
        <w:tblBorders>
          <w:top w:val="single" w:color="9A6B3F" w:sz="4"/>
          <w:left w:val="single" w:color="9A6B3F" w:sz="4"/>
          <w:bottom w:val="single" w:color="9A6B3F" w:sz="4"/>
          <w:right w:val="single" w:color="9A6B3F" w:sz="4"/>
          <w:insideH w:val="single" w:color="9A6B3F" w:sz="4"/>
          <w:insideV w:val="single" w:color="9A6B3F" w:sz="4"/>
        </w:tblBorders>
      </w:tblPr>
      <w:tblGrid>
        <w:gridCol w:w="9360"/>
      </w:tblGrid>
      <w:tr>
        <w:tc>
          <w:tcPr>
            <w:tcW w:type="dxa" w:w="9360"/>
            <w:tcBorders>
              <w:top w:val="single" w:color="9A6B3F" w:sz="4"/>
              <w:left w:val="single" w:color="9A6B3F" w:sz="4"/>
              <w:bottom w:val="single" w:color="9A6B3F" w:sz="4"/>
              <w:right w:val="single" w:color="9A6B3F" w:sz="4"/>
            </w:tcBorders>
            <w:shd w:fill="F1ECE2" w:color="auto" w:val="clear"/>
            <w:tcMar>
              <w:top w:type="dxa" w:w="120"/>
              <w:left w:type="dxa" w:w="150"/>
              <w:bottom w:type="dxa" w:w="120"/>
              <w:right w:type="dxa" w:w="150"/>
            </w:tcMar>
          </w:tcPr>
          <w:p>
            <w:pPr>
              <w:spacing w:after="50"/>
            </w:pPr>
            <w:r>
              <w:rPr>
                <w:rFonts w:ascii="Georgia" w:cs="Georgia" w:eastAsia="Georgia" w:hAnsi="Georgia"/>
                <w:b/>
                <w:bCs/>
                <w:color w:val="16223C"/>
                <w:sz w:val="21"/>
                <w:szCs w:val="21"/>
              </w:rPr>
              <w:t xml:space="preserve">The receptionist incumbents own a keyword space Trillet barely touches.</w:t>
            </w:r>
          </w:p>
          <w:p>
            <w:pPr>
              <w:spacing w:after="40"/>
            </w:pPr>
            <w:r>
              <w:rPr>
                <w:rFonts w:ascii="Calibri" w:cs="Calibri" w:eastAsia="Calibri" w:hAnsi="Calibri"/>
                <w:color w:val="24303F"/>
                <w:sz w:val="19"/>
                <w:szCs w:val="19"/>
              </w:rPr>
              <w:t xml:space="preserve">The single largest, cleanest gap is the SMB answering-service / virtual-receptionist cluster: 1,174 keywords, ~359k monthly searches, and Trillet ranks for almost none of them. Multiple competitors rank for each - 'virtual receptionist' (5,400) across 5 of them, 'virtual receptionist pricing' across 6, 'automated answering service' across 9.</w:t>
            </w:r>
          </w:p>
          <w:p>
            <w:pPr>
              <w:spacing w:after="40"/>
            </w:pPr>
            <w:r>
              <w:rPr>
                <w:rFonts w:ascii="Calibri" w:cs="Calibri" w:eastAsia="Calibri" w:hAnsi="Calibri"/>
                <w:color w:val="24303F"/>
                <w:sz w:val="19"/>
                <w:szCs w:val="19"/>
              </w:rPr>
              <w:t xml:space="preserve">Smith.ai (827 gap keywords), My AI Front Desk (757), Ruby (652) and AIRA (437) own this space. It is exactly Trillet's core SMB funnel by product, and its weakest by search presence. This is the biggest single opportunity the data surfaces.</w:t>
            </w:r>
          </w:p>
        </w:tc>
      </w:tr>
    </w:tbl>
    <w:p>
      <w:pPr>
        <w:pBdr>
          <w:bottom w:val="single" w:color="D9DEE8" w:sz="6"/>
        </w:pBdr>
        <w:spacing w:after="110" w:before="110"/>
      </w:pPr>
      <w:r>
        <w:t xml:space="preserve"/>
      </w:r>
    </w:p>
    <w:p>
      <w:pPr>
        <w:spacing w:after="50" w:before="140"/>
      </w:pPr>
      <w:r>
        <w:rPr>
          <w:rFonts w:ascii="Georgia" w:cs="Georgia" w:eastAsia="Georgia" w:hAnsi="Georgia"/>
          <w:b/>
          <w:bCs/>
          <w:color w:val="16223C"/>
          <w:sz w:val="25"/>
          <w:szCs w:val="25"/>
        </w:rPr>
        <w:t xml:space="preserve">Gap by cluster</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050"/>
        <w:gridCol w:w="1400"/>
        <w:gridCol w:w="1400"/>
        <w:gridCol w:w="3510"/>
      </w:tblGrid>
      <w:tr>
        <w:trPr>
          <w:tblHeader/>
        </w:trPr>
        <w:tc>
          <w:tcPr>
            <w:tcW w:type="dxa" w:w="30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Cluster</w:t>
            </w:r>
          </w:p>
        </w:tc>
        <w:tc>
          <w:tcPr>
            <w:tcW w:type="dxa" w:w="14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Keywords</w:t>
            </w:r>
          </w:p>
        </w:tc>
        <w:tc>
          <w:tcPr>
            <w:tcW w:type="dxa" w:w="14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Volume</w:t>
            </w:r>
          </w:p>
        </w:tc>
        <w:tc>
          <w:tcPr>
            <w:tcW w:type="dxa" w:w="351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Read</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 / receptionist</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1,174</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359k</w:t>
            </w:r>
          </w:p>
        </w:tc>
        <w:tc>
          <w:tcPr>
            <w:tcW w:type="dxa" w:w="35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The prize. High volume, low KD, many competitors, Trillet absent.</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Voice-AI general</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645</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306k</w:t>
            </w:r>
          </w:p>
        </w:tc>
        <w:tc>
          <w:tcPr>
            <w:tcW w:type="dxa" w:w="35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Mixed - some core ('answering' 14.8k, 'ai phone number to call'), some generic AI noise to ignore.</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Outbound / lead-gen</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261</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52k</w:t>
            </w:r>
          </w:p>
        </w:tc>
        <w:tc>
          <w:tcPr>
            <w:tcW w:type="dxa" w:w="35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Appointment setting, outbound calling, call scripts. Adjacent, winnable.</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White-label / agency</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180</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34k</w:t>
            </w:r>
          </w:p>
        </w:tc>
        <w:tc>
          <w:tcPr>
            <w:tcW w:type="dxa" w:w="35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Trillet's focus area - smaller gap here because Trillet already covers it.</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Developer / infra</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45</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17k</w:t>
            </w:r>
          </w:p>
        </w:tc>
        <w:tc>
          <w:tcPr>
            <w:tcW w:type="dxa" w:w="35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Agent-builder / framework terms; mostly Retell/Vapi territory, lower priority.</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Industry / vertical</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39</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8k</w:t>
            </w:r>
          </w:p>
        </w:tc>
        <w:tc>
          <w:tcPr>
            <w:tcW w:type="dxa" w:w="35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'ai for real estate', 'call center for lawyers', 'conversational ai for banking'.</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Pricing / cost</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37</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6k</w:t>
            </w:r>
          </w:p>
        </w:tc>
        <w:tc>
          <w:tcPr>
            <w:tcW w:type="dxa" w:w="35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Call-center pricing terms; thin.</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Compliance / security</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26</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4k</w:t>
            </w:r>
          </w:p>
        </w:tc>
        <w:tc>
          <w:tcPr>
            <w:tcW w:type="dxa" w:w="35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'hipaa compliant answering service', 'call center compliance' - small volume, high strategic fit.</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Integrations</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13</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1.4k</w:t>
            </w:r>
          </w:p>
        </w:tc>
        <w:tc>
          <w:tcPr>
            <w:tcW w:type="dxa" w:w="35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CCaaS/PBX integration terms (Genesys, Avaya, Cisco) - enterprise-adjacent.</w:t>
            </w:r>
          </w:p>
        </w:tc>
      </w:tr>
    </w:tbl>
    <w:p>
      <w:pPr>
        <w:pBdr>
          <w:bottom w:val="single" w:color="D9DEE8" w:sz="6"/>
        </w:pBdr>
        <w:spacing w:after="110" w:before="110"/>
      </w:pPr>
      <w:r>
        <w:t xml:space="preserve"/>
      </w:r>
    </w:p>
    <w:p>
      <w:pPr>
        <w:spacing w:after="50" w:before="140"/>
      </w:pPr>
      <w:r>
        <w:rPr>
          <w:rFonts w:ascii="Georgia" w:cs="Georgia" w:eastAsia="Georgia" w:hAnsi="Georgia"/>
          <w:b/>
          <w:bCs/>
          <w:color w:val="16223C"/>
          <w:sz w:val="25"/>
          <w:szCs w:val="25"/>
        </w:rPr>
        <w:t xml:space="preserve">Quick wins (KD ≤ 25, volume ≥ 400, 2+ competitors rank)</w:t>
      </w:r>
    </w:p>
    <w:p>
      <w:pPr>
        <w:spacing w:after="90" w:line="274"/>
      </w:pPr>
      <w:r>
        <w:rPr>
          <w:rFonts w:ascii="Calibri" w:cs="Calibri" w:eastAsia="Calibri" w:hAnsi="Calibri"/>
          <w:i w:val="false"/>
          <w:iCs w:val="false"/>
          <w:color w:val="24303F"/>
          <w:sz w:val="20"/>
          <w:szCs w:val="20"/>
        </w:rPr>
        <w:t xml:space="preserve">Sixty terms that are high-demand, low-difficulty, and validated by multiple competitors ranking. The fastest capture. A sample: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400"/>
        <w:gridCol w:w="1150"/>
        <w:gridCol w:w="900"/>
        <w:gridCol w:w="1000"/>
        <w:gridCol w:w="2910"/>
      </w:tblGrid>
      <w:tr>
        <w:trPr>
          <w:tblHeader/>
        </w:trPr>
        <w:tc>
          <w:tcPr>
            <w:tcW w:type="dxa" w:w="34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Keyword</w:t>
            </w:r>
          </w:p>
        </w:tc>
        <w:tc>
          <w:tcPr>
            <w:tcW w:type="dxa" w:w="11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Volume</w:t>
            </w:r>
          </w:p>
        </w:tc>
        <w:tc>
          <w:tcPr>
            <w:tcW w:type="dxa" w:w="9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KD</w:t>
            </w:r>
          </w:p>
        </w:tc>
        <w:tc>
          <w:tcPr>
            <w:tcW w:type="dxa" w:w="10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#comps</w:t>
            </w:r>
          </w:p>
        </w:tc>
        <w:tc>
          <w:tcPr>
            <w:tcW w:type="dxa" w:w="291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Cluster</w:t>
            </w:r>
          </w:p>
        </w:tc>
      </w:tr>
      <w:tr>
        <w:tc>
          <w:tcPr>
            <w:tcW w:type="dxa" w:w="3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construction answering service</w:t>
            </w:r>
          </w:p>
        </w:tc>
        <w:tc>
          <w:tcPr>
            <w:tcW w:type="dxa" w:w="11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1,900</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7</w:t>
            </w:r>
          </w:p>
        </w:tc>
        <w:tc>
          <w:tcPr>
            <w:tcW w:type="dxa" w:w="1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3</w:t>
            </w:r>
          </w:p>
        </w:tc>
        <w:tc>
          <w:tcPr>
            <w:tcW w:type="dxa" w:w="29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w:t>
            </w:r>
          </w:p>
        </w:tc>
      </w:tr>
      <w:tr>
        <w:tc>
          <w:tcPr>
            <w:tcW w:type="dxa" w:w="3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hvac answering service</w:t>
            </w:r>
          </w:p>
        </w:tc>
        <w:tc>
          <w:tcPr>
            <w:tcW w:type="dxa" w:w="11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1,600</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14</w:t>
            </w:r>
          </w:p>
        </w:tc>
        <w:tc>
          <w:tcPr>
            <w:tcW w:type="dxa" w:w="1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w:t>
            </w:r>
          </w:p>
        </w:tc>
        <w:tc>
          <w:tcPr>
            <w:tcW w:type="dxa" w:w="29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w:t>
            </w:r>
          </w:p>
        </w:tc>
      </w:tr>
      <w:tr>
        <w:tc>
          <w:tcPr>
            <w:tcW w:type="dxa" w:w="3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 service for contractors</w:t>
            </w:r>
          </w:p>
        </w:tc>
        <w:tc>
          <w:tcPr>
            <w:tcW w:type="dxa" w:w="11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1,900</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20</w:t>
            </w:r>
          </w:p>
        </w:tc>
        <w:tc>
          <w:tcPr>
            <w:tcW w:type="dxa" w:w="1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4</w:t>
            </w:r>
          </w:p>
        </w:tc>
        <w:tc>
          <w:tcPr>
            <w:tcW w:type="dxa" w:w="29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w:t>
            </w:r>
          </w:p>
        </w:tc>
      </w:tr>
      <w:tr>
        <w:tc>
          <w:tcPr>
            <w:tcW w:type="dxa" w:w="3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bilingual answering service</w:t>
            </w:r>
          </w:p>
        </w:tc>
        <w:tc>
          <w:tcPr>
            <w:tcW w:type="dxa" w:w="11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1,900</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21</w:t>
            </w:r>
          </w:p>
        </w:tc>
        <w:tc>
          <w:tcPr>
            <w:tcW w:type="dxa" w:w="1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3</w:t>
            </w:r>
          </w:p>
        </w:tc>
        <w:tc>
          <w:tcPr>
            <w:tcW w:type="dxa" w:w="29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w:t>
            </w:r>
          </w:p>
        </w:tc>
      </w:tr>
      <w:tr>
        <w:tc>
          <w:tcPr>
            <w:tcW w:type="dxa" w:w="3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how do ai receptionists work</w:t>
            </w:r>
          </w:p>
        </w:tc>
        <w:tc>
          <w:tcPr>
            <w:tcW w:type="dxa" w:w="11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1,900</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21</w:t>
            </w:r>
          </w:p>
        </w:tc>
        <w:tc>
          <w:tcPr>
            <w:tcW w:type="dxa" w:w="1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w:t>
            </w:r>
          </w:p>
        </w:tc>
        <w:tc>
          <w:tcPr>
            <w:tcW w:type="dxa" w:w="29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w:t>
            </w:r>
          </w:p>
        </w:tc>
      </w:tr>
      <w:tr>
        <w:tc>
          <w:tcPr>
            <w:tcW w:type="dxa" w:w="3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virtual receptionist pricing</w:t>
            </w:r>
          </w:p>
        </w:tc>
        <w:tc>
          <w:tcPr>
            <w:tcW w:type="dxa" w:w="11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1,300</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23</w:t>
            </w:r>
          </w:p>
        </w:tc>
        <w:tc>
          <w:tcPr>
            <w:tcW w:type="dxa" w:w="1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6</w:t>
            </w:r>
          </w:p>
        </w:tc>
        <w:tc>
          <w:tcPr>
            <w:tcW w:type="dxa" w:w="29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w:t>
            </w:r>
          </w:p>
        </w:tc>
      </w:tr>
      <w:tr>
        <w:tc>
          <w:tcPr>
            <w:tcW w:type="dxa" w:w="3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medical phone answering service</w:t>
            </w:r>
          </w:p>
        </w:tc>
        <w:tc>
          <w:tcPr>
            <w:tcW w:type="dxa" w:w="11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1,300</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24</w:t>
            </w:r>
          </w:p>
        </w:tc>
        <w:tc>
          <w:tcPr>
            <w:tcW w:type="dxa" w:w="1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3</w:t>
            </w:r>
          </w:p>
        </w:tc>
        <w:tc>
          <w:tcPr>
            <w:tcW w:type="dxa" w:w="29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w:t>
            </w:r>
          </w:p>
        </w:tc>
      </w:tr>
      <w:tr>
        <w:tc>
          <w:tcPr>
            <w:tcW w:type="dxa" w:w="3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hipaa compliant answering service</w:t>
            </w:r>
          </w:p>
        </w:tc>
        <w:tc>
          <w:tcPr>
            <w:tcW w:type="dxa" w:w="11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880</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12</w:t>
            </w:r>
          </w:p>
        </w:tc>
        <w:tc>
          <w:tcPr>
            <w:tcW w:type="dxa" w:w="1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w:t>
            </w:r>
          </w:p>
        </w:tc>
        <w:tc>
          <w:tcPr>
            <w:tcW w:type="dxa" w:w="29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 / compliance</w:t>
            </w:r>
          </w:p>
        </w:tc>
      </w:tr>
      <w:tr>
        <w:tc>
          <w:tcPr>
            <w:tcW w:type="dxa" w:w="3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contractor answering service</w:t>
            </w:r>
          </w:p>
        </w:tc>
        <w:tc>
          <w:tcPr>
            <w:tcW w:type="dxa" w:w="11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880</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18</w:t>
            </w:r>
          </w:p>
        </w:tc>
        <w:tc>
          <w:tcPr>
            <w:tcW w:type="dxa" w:w="1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4</w:t>
            </w:r>
          </w:p>
        </w:tc>
        <w:tc>
          <w:tcPr>
            <w:tcW w:type="dxa" w:w="29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w:t>
            </w:r>
          </w:p>
        </w:tc>
      </w:tr>
      <w:tr>
        <w:tc>
          <w:tcPr>
            <w:tcW w:type="dxa" w:w="3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ai outbound call</w:t>
            </w:r>
          </w:p>
        </w:tc>
        <w:tc>
          <w:tcPr>
            <w:tcW w:type="dxa" w:w="11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1,300</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26</w:t>
            </w:r>
          </w:p>
        </w:tc>
        <w:tc>
          <w:tcPr>
            <w:tcW w:type="dxa" w:w="1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5</w:t>
            </w:r>
          </w:p>
        </w:tc>
        <w:tc>
          <w:tcPr>
            <w:tcW w:type="dxa" w:w="29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Outbound</w:t>
            </w:r>
          </w:p>
        </w:tc>
      </w:tr>
    </w:tbl>
    <w:p>
      <w:pPr>
        <w:spacing w:after="90" w:line="274"/>
      </w:pPr>
      <w:r>
        <w:rPr>
          <w:rFonts w:ascii="Calibri" w:cs="Calibri" w:eastAsia="Calibri" w:hAnsi="Calibri"/>
          <w:i/>
          <w:iCs/>
          <w:color w:val="5A6675"/>
          <w:sz w:val="20"/>
          <w:szCs w:val="20"/>
        </w:rPr>
        <w:t xml:space="preserve">Full list of 60 on the 'Quick wins' tab of the spreadsheet.</w:t>
      </w:r>
    </w:p>
    <w:p>
      <w:pPr>
        <w:pBdr>
          <w:bottom w:val="single" w:color="D9DEE8" w:sz="6"/>
        </w:pBdr>
        <w:spacing w:after="110" w:before="110"/>
      </w:pPr>
      <w:r>
        <w:t xml:space="preserve"/>
      </w:r>
    </w:p>
    <w:p>
      <w:pPr>
        <w:spacing w:after="50" w:before="140"/>
      </w:pPr>
      <w:r>
        <w:rPr>
          <w:rFonts w:ascii="Georgia" w:cs="Georgia" w:eastAsia="Georgia" w:hAnsi="Georgia"/>
          <w:b/>
          <w:bCs/>
          <w:color w:val="16223C"/>
          <w:sz w:val="25"/>
          <w:szCs w:val="25"/>
        </w:rPr>
        <w:t xml:space="preserve">Who owns the gap</w:t>
      </w:r>
    </w:p>
    <w:p>
      <w:pPr>
        <w:spacing w:after="90" w:line="274"/>
      </w:pPr>
      <w:r>
        <w:rPr>
          <w:rFonts w:ascii="Calibri" w:cs="Calibri" w:eastAsia="Calibri" w:hAnsi="Calibri"/>
          <w:i w:val="false"/>
          <w:iCs w:val="false"/>
          <w:color w:val="24303F"/>
          <w:sz w:val="20"/>
          <w:szCs w:val="20"/>
        </w:rPr>
        <w:t xml:space="preserve">Ranked by how many relevant gap keywords each competitor holds that Trillet doesn't. The SMB receptionist incumbents dominate; the developer platforms (Retell, Bland) hold a different, more technical set.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200"/>
        <w:gridCol w:w="1400"/>
        <w:gridCol w:w="4760"/>
      </w:tblGrid>
      <w:tr>
        <w:trPr>
          <w:tblHeader/>
        </w:trPr>
        <w:tc>
          <w:tcPr>
            <w:tcW w:type="dxa" w:w="32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Competitor</w:t>
            </w:r>
          </w:p>
        </w:tc>
        <w:tc>
          <w:tcPr>
            <w:tcW w:type="dxa" w:w="14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Gap kw</w:t>
            </w:r>
          </w:p>
        </w:tc>
        <w:tc>
          <w:tcPr>
            <w:tcW w:type="dxa" w:w="476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Funnel / what they own</w:t>
            </w:r>
          </w:p>
        </w:tc>
      </w:tr>
      <w:tr>
        <w:tc>
          <w:tcPr>
            <w:tcW w:type="dxa" w:w="32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smith.ai</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827</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SMB answering-service head + long tail</w:t>
            </w:r>
          </w:p>
        </w:tc>
      </w:tr>
      <w:tr>
        <w:tc>
          <w:tcPr>
            <w:tcW w:type="dxa" w:w="32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myaifrontdesk.com</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757</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SMB receptionist, vertical answering terms</w:t>
            </w:r>
          </w:p>
        </w:tc>
      </w:tr>
      <w:tr>
        <w:tc>
          <w:tcPr>
            <w:tcW w:type="dxa" w:w="32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retellai.com</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660</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Developer + compliance/enterprise content</w:t>
            </w:r>
          </w:p>
        </w:tc>
      </w:tr>
      <w:tr>
        <w:tc>
          <w:tcPr>
            <w:tcW w:type="dxa" w:w="32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ruby.com</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652</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Virtual receptionist / answering incumbents</w:t>
            </w:r>
          </w:p>
        </w:tc>
      </w:tr>
      <w:tr>
        <w:tc>
          <w:tcPr>
            <w:tcW w:type="dxa" w:w="32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getaira.io</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437</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SMB receptionist, pricing terms</w:t>
            </w:r>
          </w:p>
        </w:tc>
      </w:tr>
      <w:tr>
        <w:tc>
          <w:tcPr>
            <w:tcW w:type="dxa" w:w="32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bland.ai</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424</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Developer + HIPAA/voice-ai roundups</w:t>
            </w:r>
          </w:p>
        </w:tc>
      </w:tr>
      <w:tr>
        <w:tc>
          <w:tcPr>
            <w:tcW w:type="dxa" w:w="32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synthflow.ai</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318</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White-label / no-code voice AI</w:t>
            </w:r>
          </w:p>
        </w:tc>
      </w:tr>
      <w:tr>
        <w:tc>
          <w:tcPr>
            <w:tcW w:type="dxa" w:w="32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heyrosie.com</w:t>
            </w:r>
          </w:p>
        </w:tc>
        <w:tc>
          <w:tcPr>
            <w:tcW w:type="dxa" w:w="14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240</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SMB service-business receptionist</w:t>
            </w:r>
          </w:p>
        </w:tc>
      </w:tr>
    </w:tbl>
    <w:p>
      <w:pPr>
        <w:pBdr>
          <w:bottom w:val="single" w:color="D9DEE8" w:sz="6"/>
        </w:pBdr>
        <w:spacing w:after="110" w:before="110"/>
      </w:pPr>
      <w:r>
        <w:t xml:space="preserve"/>
      </w:r>
    </w:p>
    <w:p>
      <w:pPr>
        <w:spacing w:after="50" w:before="140"/>
      </w:pPr>
      <w:r>
        <w:rPr>
          <w:rFonts w:ascii="Georgia" w:cs="Georgia" w:eastAsia="Georgia" w:hAnsi="Georgia"/>
          <w:b/>
          <w:bCs/>
          <w:color w:val="16223C"/>
          <w:sz w:val="25"/>
          <w:szCs w:val="25"/>
        </w:rPr>
        <w:t xml:space="preserve">What to do with this</w:t>
      </w:r>
    </w:p>
    <w:p>
      <w:pPr>
        <w:pStyle w:val="ListParagraph"/>
        <w:numPr>
          <w:ilvl w:val="0"/>
          <w:numId w:val="1"/>
        </w:numPr>
        <w:spacing w:after="40" w:line="268"/>
      </w:pPr>
      <w:r>
        <w:rPr>
          <w:rFonts w:ascii="Calibri" w:cs="Calibri" w:eastAsia="Calibri" w:hAnsi="Calibri"/>
          <w:b/>
          <w:bCs/>
          <w:color w:val="24303F"/>
          <w:sz w:val="19"/>
          <w:szCs w:val="19"/>
        </w:rPr>
        <w:t xml:space="preserve">Feed the SMB receptionist funnel first. </w:t>
      </w:r>
      <w:r>
        <w:rPr>
          <w:rFonts w:ascii="Calibri" w:cs="Calibri" w:eastAsia="Calibri" w:hAnsi="Calibri"/>
          <w:b w:val="false"/>
          <w:bCs w:val="false"/>
          <w:color w:val="24303F"/>
          <w:sz w:val="19"/>
          <w:szCs w:val="19"/>
        </w:rPr>
        <w:t xml:space="preserve">The answering-service cluster maps straight onto the /receptionist hub and its 41 vertical pages. Target 'answering service for [vertical]', 'virtual receptionist', 'after hours', 'bilingual' - low KD, proven demand.</w:t>
      </w:r>
    </w:p>
    <w:p>
      <w:pPr>
        <w:pStyle w:val="ListParagraph"/>
        <w:numPr>
          <w:ilvl w:val="0"/>
          <w:numId w:val="1"/>
        </w:numPr>
        <w:spacing w:after="40" w:line="268"/>
      </w:pPr>
      <w:r>
        <w:rPr>
          <w:rFonts w:ascii="Calibri" w:cs="Calibri" w:eastAsia="Calibri" w:hAnsi="Calibri"/>
          <w:b/>
          <w:bCs/>
          <w:color w:val="24303F"/>
          <w:sz w:val="19"/>
          <w:szCs w:val="19"/>
        </w:rPr>
        <w:t xml:space="preserve">Take the 60 quick wins as the first content sprint. </w:t>
      </w:r>
      <w:r>
        <w:rPr>
          <w:rFonts w:ascii="Calibri" w:cs="Calibri" w:eastAsia="Calibri" w:hAnsi="Calibri"/>
          <w:b w:val="false"/>
          <w:bCs w:val="false"/>
          <w:color w:val="24303F"/>
          <w:sz w:val="19"/>
          <w:szCs w:val="19"/>
        </w:rPr>
        <w:t xml:space="preserve">Low difficulty, multi-competitor-validated, high volume. Fastest ranking movement on the site.</w:t>
      </w:r>
    </w:p>
    <w:p>
      <w:pPr>
        <w:pStyle w:val="ListParagraph"/>
        <w:numPr>
          <w:ilvl w:val="0"/>
          <w:numId w:val="1"/>
        </w:numPr>
        <w:spacing w:after="40" w:line="268"/>
      </w:pPr>
      <w:r>
        <w:rPr>
          <w:rFonts w:ascii="Calibri" w:cs="Calibri" w:eastAsia="Calibri" w:hAnsi="Calibri"/>
          <w:b/>
          <w:bCs/>
          <w:color w:val="24303F"/>
          <w:sz w:val="19"/>
          <w:szCs w:val="19"/>
        </w:rPr>
        <w:t xml:space="preserve">Fold compliance terms into the /security hub. </w:t>
      </w:r>
      <w:r>
        <w:rPr>
          <w:rFonts w:ascii="Calibri" w:cs="Calibri" w:eastAsia="Calibri" w:hAnsi="Calibri"/>
          <w:b w:val="false"/>
          <w:bCs w:val="false"/>
          <w:color w:val="24303F"/>
          <w:sz w:val="19"/>
          <w:szCs w:val="19"/>
        </w:rPr>
        <w:t xml:space="preserve">'hipaa compliant answering service', 'call center compliance' - low volume but exactly Trillet's differentiator, and currently a 404.</w:t>
      </w:r>
    </w:p>
    <w:p>
      <w:pPr>
        <w:pStyle w:val="ListParagraph"/>
        <w:numPr>
          <w:ilvl w:val="0"/>
          <w:numId w:val="1"/>
        </w:numPr>
        <w:spacing w:after="40" w:line="268"/>
      </w:pPr>
      <w:r>
        <w:rPr>
          <w:rFonts w:ascii="Calibri" w:cs="Calibri" w:eastAsia="Calibri" w:hAnsi="Calibri"/>
          <w:b/>
          <w:bCs/>
          <w:color w:val="24303F"/>
          <w:sz w:val="19"/>
          <w:szCs w:val="19"/>
        </w:rPr>
        <w:t xml:space="preserve">Ignore the generic-AI and agent-builder noise. </w:t>
      </w:r>
      <w:r>
        <w:rPr>
          <w:rFonts w:ascii="Calibri" w:cs="Calibri" w:eastAsia="Calibri" w:hAnsi="Calibri"/>
          <w:b w:val="false"/>
          <w:bCs w:val="false"/>
          <w:color w:val="24303F"/>
          <w:sz w:val="19"/>
          <w:szCs w:val="19"/>
        </w:rPr>
        <w:t xml:space="preserve">Cognigy, Vellum, Dapta and the dev platforms rank for large generic sets ('conversational ai', 'openai agent builder') that are not Trillet's market. Do not chase them.</w:t>
      </w:r>
    </w:p>
    <w:p>
      <w:pPr>
        <w:pStyle w:val="ListParagraph"/>
        <w:numPr>
          <w:ilvl w:val="0"/>
          <w:numId w:val="1"/>
        </w:numPr>
        <w:spacing w:after="40" w:line="268"/>
      </w:pPr>
      <w:r>
        <w:rPr>
          <w:rFonts w:ascii="Calibri" w:cs="Calibri" w:eastAsia="Calibri" w:hAnsi="Calibri"/>
          <w:b/>
          <w:bCs/>
          <w:color w:val="24303F"/>
          <w:sz w:val="19"/>
          <w:szCs w:val="19"/>
        </w:rPr>
        <w:t xml:space="preserve">This reframes priority. </w:t>
      </w:r>
      <w:r>
        <w:rPr>
          <w:rFonts w:ascii="Calibri" w:cs="Calibri" w:eastAsia="Calibri" w:hAnsi="Calibri"/>
          <w:b w:val="false"/>
          <w:bCs w:val="false"/>
          <w:color w:val="24303F"/>
          <w:sz w:val="19"/>
          <w:szCs w:val="19"/>
        </w:rPr>
        <w:t xml:space="preserve">The keyword data confirms the sitewide finding: the SMB receptionist funnel is the real opportunity, not white-label. Weight the roadmap accordingly.</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2026-09-15T19:10:31.904Z</dcterms:created>
  <dcterms:modified xsi:type="dcterms:W3CDTF">2026-09-15T19:10:31.915Z</dcterms:modified>
</cp:coreProperties>
</file>

<file path=docProps/custom.xml><?xml version="1.0" encoding="utf-8"?>
<Properties xmlns="http://schemas.openxmlformats.org/officeDocument/2006/custom-properties" xmlns:vt="http://schemas.openxmlformats.org/officeDocument/2006/docPropsVTypes"/>
</file>