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TRILLET.AI · SEO</w:t>
      </w:r>
    </w:p>
    <w:p>
      <w:pPr>
        <w:spacing w:after="60"/>
      </w:pPr>
      <w:r>
        <w:rPr>
          <w:rFonts w:ascii="Georgia" w:cs="Georgia" w:eastAsia="Georgia" w:hAnsi="Georgia"/>
          <w:b/>
          <w:bCs/>
          <w:color w:val="16223C"/>
          <w:sz w:val="34"/>
          <w:szCs w:val="34"/>
        </w:rPr>
        <w:t xml:space="preserve">Topical Cluster Architecture</w:t>
      </w:r>
    </w:p>
    <w:p>
      <w:pPr>
        <w:spacing w:after="100" w:line="278"/>
      </w:pPr>
      <w:r>
        <w:rPr>
          <w:rFonts w:ascii="Calibri" w:cs="Calibri" w:eastAsia="Calibri" w:hAnsi="Calibri"/>
          <w:i w:val="false"/>
          <w:iCs w:val="false"/>
          <w:color w:val="5A6675"/>
          <w:sz w:val="20"/>
          <w:szCs w:val="20"/>
        </w:rPr>
        <w:t xml:space="preserve">A reference model of how content on trillet.ai is organised into topical clusters, an assessment of each cluster's completeness, and a definition of the target architecture and the gaps between the two.</w:t>
      </w:r>
    </w:p>
    <w:p>
      <w:pPr>
        <w:spacing w:after="50" w:before="150"/>
      </w:pPr>
      <w:r>
        <w:rPr>
          <w:rFonts w:ascii="Georgia" w:cs="Georgia" w:eastAsia="Georgia" w:hAnsi="Georgia"/>
          <w:b/>
          <w:bCs/>
          <w:color w:val="16223C"/>
          <w:sz w:val="24"/>
          <w:szCs w:val="24"/>
        </w:rPr>
        <w:t xml:space="preserve">1  Purpose and scope</w:t>
      </w:r>
    </w:p>
    <w:p>
      <w:pPr>
        <w:spacing w:after="100" w:line="278"/>
      </w:pPr>
      <w:r>
        <w:rPr>
          <w:rFonts w:ascii="Calibri" w:cs="Calibri" w:eastAsia="Calibri" w:hAnsi="Calibri"/>
          <w:i w:val="false"/>
          <w:iCs w:val="false"/>
          <w:color w:val="24303F"/>
          <w:sz w:val="20"/>
          <w:szCs w:val="20"/>
        </w:rPr>
        <w:t xml:space="preserve">This document maps the full content footprint of trillet.ai into topical clusters and sub-clusters, evaluates how completely each cluster covers its subject, and sets out the target architecture. It is intended as a working reference for content, SEO and product teams.</w:t>
      </w:r>
    </w:p>
    <w:p>
      <w:pPr>
        <w:spacing w:after="100" w:line="278"/>
      </w:pPr>
      <w:r>
        <w:rPr>
          <w:rFonts w:ascii="Calibri" w:cs="Calibri" w:eastAsia="Calibri" w:hAnsi="Calibri"/>
          <w:i w:val="false"/>
          <w:iCs w:val="false"/>
          <w:color w:val="24303F"/>
          <w:sz w:val="20"/>
          <w:szCs w:val="20"/>
        </w:rPr>
        <w:t xml:space="preserve">The assessment draws on the site's 488 indexed URLs (422 blog posts and 66 product, solution and resource pages), Search Console performance data, and organic keyword data for nineteen competitors. Keyword figures reflect the United States search market; the Australian and United Kingdom markets are relevant to several clusters and are recommended for a follow-up pass.</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2340"/>
        <w:gridCol w:w="2340"/>
        <w:gridCol w:w="2340"/>
        <w:gridCol w:w="2340"/>
      </w:tblGrid>
      <w:tr>
        <w:tc>
          <w:tcPr>
            <w:tcW w:type="dxa" w:w="2340"/>
            <w:tcBorders>
              <w:top w:val="single" w:color="D9DEE8" w:sz="4"/>
              <w:left w:val="single" w:color="D9DEE8" w:sz="4"/>
              <w:bottom w:val="single" w:color="D9DEE8" w:sz="4"/>
              <w:right w:val="single" w:color="D9DEE8" w:sz="4"/>
            </w:tcBorders>
            <w:shd w:fill="F4F6F8" w:color="auto" w:val="clear"/>
            <w:tcMar>
              <w:top w:type="dxa" w:w="100"/>
              <w:left w:type="dxa" w:w="60"/>
              <w:bottom w:type="dxa" w:w="100"/>
              <w:right w:type="dxa" w:w="60"/>
            </w:tcMar>
          </w:tcPr>
          <w:p>
            <w:pPr>
              <w:spacing w:after="16"/>
              <w:jc w:val="center"/>
            </w:pPr>
            <w:r>
              <w:rPr>
                <w:rFonts w:ascii="Georgia" w:cs="Georgia" w:eastAsia="Georgia" w:hAnsi="Georgia"/>
                <w:b/>
                <w:bCs/>
                <w:color w:val="16223C"/>
                <w:sz w:val="28"/>
                <w:szCs w:val="28"/>
              </w:rPr>
              <w:t xml:space="preserve">488</w:t>
            </w:r>
          </w:p>
          <w:p>
            <w:pPr>
              <w:jc w:val="center"/>
            </w:pPr>
            <w:r>
              <w:rPr>
                <w:rFonts w:ascii="Calibri" w:cs="Calibri" w:eastAsia="Calibri" w:hAnsi="Calibri"/>
                <w:color w:val="5A6675"/>
                <w:sz w:val="12"/>
                <w:szCs w:val="12"/>
              </w:rPr>
              <w:t xml:space="preserve">indexed URLs</w:t>
            </w:r>
          </w:p>
        </w:tc>
        <w:tc>
          <w:tcPr>
            <w:tcW w:type="dxa" w:w="2340"/>
            <w:tcBorders>
              <w:top w:val="single" w:color="D9DEE8" w:sz="4"/>
              <w:left w:val="single" w:color="D9DEE8" w:sz="4"/>
              <w:bottom w:val="single" w:color="D9DEE8" w:sz="4"/>
              <w:right w:val="single" w:color="D9DEE8" w:sz="4"/>
            </w:tcBorders>
            <w:shd w:fill="F4F6F8" w:color="auto" w:val="clear"/>
            <w:tcMar>
              <w:top w:type="dxa" w:w="100"/>
              <w:left w:type="dxa" w:w="60"/>
              <w:bottom w:type="dxa" w:w="100"/>
              <w:right w:type="dxa" w:w="60"/>
            </w:tcMar>
          </w:tcPr>
          <w:p>
            <w:pPr>
              <w:spacing w:after="16"/>
              <w:jc w:val="center"/>
            </w:pPr>
            <w:r>
              <w:rPr>
                <w:rFonts w:ascii="Georgia" w:cs="Georgia" w:eastAsia="Georgia" w:hAnsi="Georgia"/>
                <w:b/>
                <w:bCs/>
                <w:color w:val="16223C"/>
                <w:sz w:val="28"/>
                <w:szCs w:val="28"/>
              </w:rPr>
              <w:t xml:space="preserve">422</w:t>
            </w:r>
          </w:p>
          <w:p>
            <w:pPr>
              <w:jc w:val="center"/>
            </w:pPr>
            <w:r>
              <w:rPr>
                <w:rFonts w:ascii="Calibri" w:cs="Calibri" w:eastAsia="Calibri" w:hAnsi="Calibri"/>
                <w:color w:val="5A6675"/>
                <w:sz w:val="12"/>
                <w:szCs w:val="12"/>
              </w:rPr>
              <w:t xml:space="preserve">blog posts</w:t>
            </w:r>
          </w:p>
        </w:tc>
        <w:tc>
          <w:tcPr>
            <w:tcW w:type="dxa" w:w="2340"/>
            <w:tcBorders>
              <w:top w:val="single" w:color="D9DEE8" w:sz="4"/>
              <w:left w:val="single" w:color="D9DEE8" w:sz="4"/>
              <w:bottom w:val="single" w:color="D9DEE8" w:sz="4"/>
              <w:right w:val="single" w:color="D9DEE8" w:sz="4"/>
            </w:tcBorders>
            <w:shd w:fill="F4F6F8" w:color="auto" w:val="clear"/>
            <w:tcMar>
              <w:top w:type="dxa" w:w="100"/>
              <w:left w:type="dxa" w:w="60"/>
              <w:bottom w:type="dxa" w:w="100"/>
              <w:right w:type="dxa" w:w="60"/>
            </w:tcMar>
          </w:tcPr>
          <w:p>
            <w:pPr>
              <w:spacing w:after="16"/>
              <w:jc w:val="center"/>
            </w:pPr>
            <w:r>
              <w:rPr>
                <w:rFonts w:ascii="Georgia" w:cs="Georgia" w:eastAsia="Georgia" w:hAnsi="Georgia"/>
                <w:b/>
                <w:bCs/>
                <w:color w:val="16223C"/>
                <w:sz w:val="28"/>
                <w:szCs w:val="28"/>
              </w:rPr>
              <w:t xml:space="preserve">3</w:t>
            </w:r>
          </w:p>
          <w:p>
            <w:pPr>
              <w:jc w:val="center"/>
            </w:pPr>
            <w:r>
              <w:rPr>
                <w:rFonts w:ascii="Calibri" w:cs="Calibri" w:eastAsia="Calibri" w:hAnsi="Calibri"/>
                <w:color w:val="5A6675"/>
                <w:sz w:val="12"/>
                <w:szCs w:val="12"/>
              </w:rPr>
              <w:t xml:space="preserve">product lines</w:t>
            </w:r>
          </w:p>
        </w:tc>
        <w:tc>
          <w:tcPr>
            <w:tcW w:type="dxa" w:w="2340"/>
            <w:tcBorders>
              <w:top w:val="single" w:color="D9DEE8" w:sz="4"/>
              <w:left w:val="single" w:color="D9DEE8" w:sz="4"/>
              <w:bottom w:val="single" w:color="D9DEE8" w:sz="4"/>
              <w:right w:val="single" w:color="D9DEE8" w:sz="4"/>
            </w:tcBorders>
            <w:shd w:fill="F4F6F8" w:color="auto" w:val="clear"/>
            <w:tcMar>
              <w:top w:type="dxa" w:w="100"/>
              <w:left w:type="dxa" w:w="60"/>
              <w:bottom w:type="dxa" w:w="100"/>
              <w:right w:type="dxa" w:w="60"/>
            </w:tcMar>
          </w:tcPr>
          <w:p>
            <w:pPr>
              <w:spacing w:after="16"/>
              <w:jc w:val="center"/>
            </w:pPr>
            <w:r>
              <w:rPr>
                <w:rFonts w:ascii="Georgia" w:cs="Georgia" w:eastAsia="Georgia" w:hAnsi="Georgia"/>
                <w:b/>
                <w:bCs/>
                <w:color w:val="16223C"/>
                <w:sz w:val="28"/>
                <w:szCs w:val="28"/>
              </w:rPr>
              <w:t xml:space="preserve">8</w:t>
            </w:r>
          </w:p>
          <w:p>
            <w:pPr>
              <w:jc w:val="center"/>
            </w:pPr>
            <w:r>
              <w:rPr>
                <w:rFonts w:ascii="Calibri" w:cs="Calibri" w:eastAsia="Calibri" w:hAnsi="Calibri"/>
                <w:color w:val="5A6675"/>
                <w:sz w:val="12"/>
                <w:szCs w:val="12"/>
              </w:rPr>
              <w:t xml:space="preserve">content pillars</w:t>
            </w:r>
          </w:p>
        </w:tc>
      </w:tr>
    </w:tbl>
    <w:p>
      <w:pPr>
        <w:pBdr>
          <w:bottom w:val="single" w:color="D9DEE8" w:sz="6"/>
        </w:pBdr>
        <w:spacing w:after="110" w:before="110"/>
      </w:pPr>
      <w:r>
        <w:t xml:space="preserve"/>
      </w:r>
    </w:p>
    <w:p>
      <w:pPr>
        <w:spacing w:after="50" w:before="150"/>
      </w:pPr>
      <w:r>
        <w:rPr>
          <w:rFonts w:ascii="Georgia" w:cs="Georgia" w:eastAsia="Georgia" w:hAnsi="Georgia"/>
          <w:b/>
          <w:bCs/>
          <w:color w:val="16223C"/>
          <w:sz w:val="24"/>
          <w:szCs w:val="24"/>
        </w:rPr>
        <w:t xml:space="preserve">2  The cluster model</w:t>
      </w:r>
    </w:p>
    <w:p>
      <w:pPr>
        <w:spacing w:after="100" w:line="278"/>
      </w:pPr>
      <w:r>
        <w:rPr>
          <w:rFonts w:ascii="Calibri" w:cs="Calibri" w:eastAsia="Calibri" w:hAnsi="Calibri"/>
          <w:i w:val="false"/>
          <w:iCs w:val="false"/>
          <w:color w:val="24303F"/>
          <w:sz w:val="20"/>
          <w:szCs w:val="20"/>
        </w:rPr>
        <w:t xml:space="preserve">A topical cluster is a hub page that targets a broad subject term supported by a set of pages that each address a narrower query and link back to the hub. A search engine treats a cluster as authoritative when the hub is comprehensive, the supporting pages cover distinct search intents without overlapping, and internal links connect them into a single structure.</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2340"/>
        <w:gridCol w:w="2340"/>
        <w:gridCol w:w="2340"/>
        <w:gridCol w:w="2340"/>
      </w:tblGrid>
      <w:tr>
        <w:tc>
          <w:tcPr>
            <w:tcW w:type="dxa" w:w="3000"/>
            <w:gridSpan w:val="4"/>
            <w:tcBorders>
              <w:top w:val="single" w:color="16223C" w:sz="4"/>
              <w:left w:val="single" w:color="16223C" w:sz="4"/>
              <w:bottom w:val="single" w:color="16223C" w:sz="4"/>
              <w:right w:val="single" w:color="16223C" w:sz="4"/>
            </w:tcBorders>
            <w:shd w:fill="16223C" w:color="auto" w:val="clear"/>
            <w:tcMar>
              <w:top w:type="dxa" w:w="90"/>
              <w:left w:type="dxa" w:w="80"/>
              <w:bottom w:type="dxa" w:w="90"/>
              <w:right w:type="dxa" w:w="80"/>
            </w:tcMar>
            <w:vAlign w:val="center"/>
          </w:tcPr>
          <w:p>
            <w:pPr>
              <w:spacing w:after="20" w:line="240"/>
              <w:jc w:val="center"/>
            </w:pPr>
            <w:r>
              <w:rPr>
                <w:rFonts w:ascii="Calibri" w:cs="Calibri" w:eastAsia="Calibri" w:hAnsi="Calibri"/>
                <w:b/>
                <w:bCs/>
                <w:color w:val="FFFFFF"/>
                <w:sz w:val="12"/>
                <w:szCs w:val="12"/>
              </w:rPr>
              <w:t xml:space="preserve">HUB PAGE</w:t>
            </w:r>
          </w:p>
          <w:p>
            <w:pPr>
              <w:spacing w:after="0" w:line="240"/>
              <w:jc w:val="center"/>
            </w:pPr>
            <w:r>
              <w:rPr>
                <w:rFonts w:ascii="Calibri" w:cs="Calibri" w:eastAsia="Calibri" w:hAnsi="Calibri"/>
                <w:b/>
                <w:bCs/>
                <w:color w:val="FFFFFF"/>
                <w:sz w:val="14"/>
                <w:szCs w:val="14"/>
              </w:rPr>
              <w:t xml:space="preserve">targets the broad subject term</w:t>
            </w:r>
          </w:p>
        </w:tc>
      </w:tr>
    </w:tbl>
    <w:p>
      <w:pPr>
        <w:spacing w:after="20" w:before="20"/>
        <w:jc w:val="center"/>
      </w:pPr>
      <w:r>
        <w:rPr>
          <w:rFonts w:ascii="Calibri" w:cs="Calibri" w:eastAsia="Calibri" w:hAnsi="Calibri"/>
          <w:color w:val="5A6675"/>
          <w:sz w:val="13"/>
          <w:szCs w:val="13"/>
        </w:rPr>
        <w:t xml:space="preserve">▲  links up to hub</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2340"/>
        <w:gridCol w:w="2340"/>
        <w:gridCol w:w="2340"/>
        <w:gridCol w:w="2340"/>
      </w:tblGrid>
      <w:tr>
        <w:tc>
          <w:tcPr>
            <w:tcW w:type="dxa" w:w="3000"/>
            <w:gridSpan w:val="1"/>
            <w:tcBorders>
              <w:top w:val="single" w:color="D9DEE8" w:sz="4"/>
              <w:left w:val="single" w:color="D9DEE8" w:sz="4"/>
              <w:bottom w:val="single" w:color="D9DEE8" w:sz="4"/>
              <w:right w:val="single" w:color="D9DEE8" w:sz="4"/>
            </w:tcBorders>
            <w:shd w:fill="F7F8FA" w:color="auto" w:val="clear"/>
            <w:tcMar>
              <w:top w:type="dxa" w:w="90"/>
              <w:left w:type="dxa" w:w="80"/>
              <w:bottom w:type="dxa" w:w="90"/>
              <w:right w:type="dxa" w:w="80"/>
            </w:tcMar>
            <w:vAlign w:val="center"/>
          </w:tcPr>
          <w:p>
            <w:pPr>
              <w:spacing w:after="20" w:line="240"/>
              <w:jc w:val="center"/>
            </w:pPr>
            <w:r>
              <w:rPr>
                <w:rFonts w:ascii="Calibri" w:cs="Calibri" w:eastAsia="Calibri" w:hAnsi="Calibri"/>
                <w:b/>
                <w:bCs/>
                <w:color w:val="24303F"/>
                <w:sz w:val="13"/>
                <w:szCs w:val="13"/>
              </w:rPr>
              <w:t xml:space="preserve">Supporting page</w:t>
            </w:r>
          </w:p>
          <w:p>
            <w:pPr>
              <w:spacing w:after="0" w:line="240"/>
              <w:jc w:val="center"/>
            </w:pPr>
            <w:r>
              <w:rPr>
                <w:rFonts w:ascii="Calibri" w:cs="Calibri" w:eastAsia="Calibri" w:hAnsi="Calibri"/>
                <w:b w:val="false"/>
                <w:bCs w:val="false"/>
                <w:color w:val="5A6675"/>
                <w:sz w:val="12"/>
                <w:szCs w:val="12"/>
              </w:rPr>
              <w:t xml:space="preserve">distinct intent</w:t>
            </w:r>
          </w:p>
        </w:tc>
        <w:tc>
          <w:tcPr>
            <w:tcW w:type="dxa" w:w="3000"/>
            <w:gridSpan w:val="1"/>
            <w:tcBorders>
              <w:top w:val="single" w:color="D9DEE8" w:sz="4"/>
              <w:left w:val="single" w:color="D9DEE8" w:sz="4"/>
              <w:bottom w:val="single" w:color="D9DEE8" w:sz="4"/>
              <w:right w:val="single" w:color="D9DEE8" w:sz="4"/>
            </w:tcBorders>
            <w:shd w:fill="F7F8FA" w:color="auto" w:val="clear"/>
            <w:tcMar>
              <w:top w:type="dxa" w:w="90"/>
              <w:left w:type="dxa" w:w="80"/>
              <w:bottom w:type="dxa" w:w="90"/>
              <w:right w:type="dxa" w:w="80"/>
            </w:tcMar>
            <w:vAlign w:val="center"/>
          </w:tcPr>
          <w:p>
            <w:pPr>
              <w:spacing w:after="20" w:line="240"/>
              <w:jc w:val="center"/>
            </w:pPr>
            <w:r>
              <w:rPr>
                <w:rFonts w:ascii="Calibri" w:cs="Calibri" w:eastAsia="Calibri" w:hAnsi="Calibri"/>
                <w:b/>
                <w:bCs/>
                <w:color w:val="24303F"/>
                <w:sz w:val="13"/>
                <w:szCs w:val="13"/>
              </w:rPr>
              <w:t xml:space="preserve">Supporting page</w:t>
            </w:r>
          </w:p>
          <w:p>
            <w:pPr>
              <w:spacing w:after="0" w:line="240"/>
              <w:jc w:val="center"/>
            </w:pPr>
            <w:r>
              <w:rPr>
                <w:rFonts w:ascii="Calibri" w:cs="Calibri" w:eastAsia="Calibri" w:hAnsi="Calibri"/>
                <w:b w:val="false"/>
                <w:bCs w:val="false"/>
                <w:color w:val="5A6675"/>
                <w:sz w:val="12"/>
                <w:szCs w:val="12"/>
              </w:rPr>
              <w:t xml:space="preserve">distinct intent</w:t>
            </w:r>
          </w:p>
        </w:tc>
        <w:tc>
          <w:tcPr>
            <w:tcW w:type="dxa" w:w="3000"/>
            <w:gridSpan w:val="1"/>
            <w:tcBorders>
              <w:top w:val="single" w:color="D9DEE8" w:sz="4"/>
              <w:left w:val="single" w:color="D9DEE8" w:sz="4"/>
              <w:bottom w:val="single" w:color="D9DEE8" w:sz="4"/>
              <w:right w:val="single" w:color="D9DEE8" w:sz="4"/>
            </w:tcBorders>
            <w:shd w:fill="F7F8FA" w:color="auto" w:val="clear"/>
            <w:tcMar>
              <w:top w:type="dxa" w:w="90"/>
              <w:left w:type="dxa" w:w="80"/>
              <w:bottom w:type="dxa" w:w="90"/>
              <w:right w:type="dxa" w:w="80"/>
            </w:tcMar>
            <w:vAlign w:val="center"/>
          </w:tcPr>
          <w:p>
            <w:pPr>
              <w:spacing w:after="20" w:line="240"/>
              <w:jc w:val="center"/>
            </w:pPr>
            <w:r>
              <w:rPr>
                <w:rFonts w:ascii="Calibri" w:cs="Calibri" w:eastAsia="Calibri" w:hAnsi="Calibri"/>
                <w:b/>
                <w:bCs/>
                <w:color w:val="24303F"/>
                <w:sz w:val="13"/>
                <w:szCs w:val="13"/>
              </w:rPr>
              <w:t xml:space="preserve">Supporting page</w:t>
            </w:r>
          </w:p>
          <w:p>
            <w:pPr>
              <w:spacing w:after="0" w:line="240"/>
              <w:jc w:val="center"/>
            </w:pPr>
            <w:r>
              <w:rPr>
                <w:rFonts w:ascii="Calibri" w:cs="Calibri" w:eastAsia="Calibri" w:hAnsi="Calibri"/>
                <w:b w:val="false"/>
                <w:bCs w:val="false"/>
                <w:color w:val="5A6675"/>
                <w:sz w:val="12"/>
                <w:szCs w:val="12"/>
              </w:rPr>
              <w:t xml:space="preserve">distinct intent</w:t>
            </w:r>
          </w:p>
        </w:tc>
        <w:tc>
          <w:tcPr>
            <w:tcW w:type="dxa" w:w="3000"/>
            <w:gridSpan w:val="1"/>
            <w:tcBorders>
              <w:top w:val="single" w:color="D9DEE8" w:sz="4"/>
              <w:left w:val="single" w:color="D9DEE8" w:sz="4"/>
              <w:bottom w:val="single" w:color="D9DEE8" w:sz="4"/>
              <w:right w:val="single" w:color="D9DEE8" w:sz="4"/>
            </w:tcBorders>
            <w:shd w:fill="F7F8FA" w:color="auto" w:val="clear"/>
            <w:tcMar>
              <w:top w:type="dxa" w:w="90"/>
              <w:left w:type="dxa" w:w="80"/>
              <w:bottom w:type="dxa" w:w="90"/>
              <w:right w:type="dxa" w:w="80"/>
            </w:tcMar>
            <w:vAlign w:val="center"/>
          </w:tcPr>
          <w:p>
            <w:pPr>
              <w:spacing w:after="20" w:line="240"/>
              <w:jc w:val="center"/>
            </w:pPr>
            <w:r>
              <w:rPr>
                <w:rFonts w:ascii="Calibri" w:cs="Calibri" w:eastAsia="Calibri" w:hAnsi="Calibri"/>
                <w:b/>
                <w:bCs/>
                <w:color w:val="24303F"/>
                <w:sz w:val="13"/>
                <w:szCs w:val="13"/>
              </w:rPr>
              <w:t xml:space="preserve">Supporting page</w:t>
            </w:r>
          </w:p>
          <w:p>
            <w:pPr>
              <w:spacing w:after="0" w:line="240"/>
              <w:jc w:val="center"/>
            </w:pPr>
            <w:r>
              <w:rPr>
                <w:rFonts w:ascii="Calibri" w:cs="Calibri" w:eastAsia="Calibri" w:hAnsi="Calibri"/>
                <w:b w:val="false"/>
                <w:bCs w:val="false"/>
                <w:color w:val="5A6675"/>
                <w:sz w:val="12"/>
                <w:szCs w:val="12"/>
              </w:rPr>
              <w:t xml:space="preserve">distinct intent</w:t>
            </w:r>
          </w:p>
        </w:tc>
      </w:tr>
    </w:tbl>
    <w:p>
      <w:pPr>
        <w:spacing w:after="120" w:before="30"/>
        <w:jc w:val="center"/>
      </w:pPr>
      <w:r>
        <w:rPr>
          <w:rFonts w:ascii="Calibri" w:cs="Calibri" w:eastAsia="Calibri" w:hAnsi="Calibri"/>
          <w:i/>
          <w:iCs/>
          <w:color w:val="5A6675"/>
          <w:sz w:val="15"/>
          <w:szCs w:val="15"/>
        </w:rPr>
        <w:t xml:space="preserve">Figure 1. Hub-and-spoke cluster. Supporting pages link up to a single hub that owns the head term.</w:t>
      </w:r>
    </w:p>
    <w:p>
      <w:pPr>
        <w:spacing w:after="100" w:line="278"/>
      </w:pPr>
      <w:r>
        <w:rPr>
          <w:rFonts w:ascii="Calibri" w:cs="Calibri" w:eastAsia="Calibri" w:hAnsi="Calibri"/>
          <w:i w:val="false"/>
          <w:iCs w:val="false"/>
          <w:color w:val="24303F"/>
          <w:sz w:val="20"/>
          <w:szCs w:val="20"/>
        </w:rPr>
        <w:t xml:space="preserve">Completeness is rated on a four-point scale:</w:t>
      </w:r>
    </w:p>
    <w:p>
      <w:pPr>
        <w:pStyle w:val="ListParagraph"/>
        <w:numPr>
          <w:ilvl w:val="0"/>
          <w:numId w:val="1"/>
        </w:numPr>
        <w:spacing w:after="44" w:line="270"/>
      </w:pPr>
      <w:r>
        <w:rPr>
          <w:rFonts w:ascii="Calibri" w:cs="Calibri" w:eastAsia="Calibri" w:hAnsi="Calibri"/>
          <w:b/>
          <w:bCs/>
          <w:color w:val="24303F"/>
          <w:sz w:val="19"/>
          <w:szCs w:val="19"/>
        </w:rPr>
        <w:t xml:space="preserve">● Complete: </w:t>
      </w:r>
      <w:r>
        <w:rPr>
          <w:rFonts w:ascii="Calibri" w:cs="Calibri" w:eastAsia="Calibri" w:hAnsi="Calibri"/>
          <w:b w:val="false"/>
          <w:bCs w:val="false"/>
          <w:color w:val="24303F"/>
          <w:sz w:val="19"/>
          <w:szCs w:val="19"/>
        </w:rPr>
        <w:t xml:space="preserve">hub in place, sub-clusters cover the main intents, pages link to the hub.</w:t>
      </w:r>
    </w:p>
    <w:p>
      <w:pPr>
        <w:pStyle w:val="ListParagraph"/>
        <w:numPr>
          <w:ilvl w:val="0"/>
          <w:numId w:val="1"/>
        </w:numPr>
        <w:spacing w:after="44" w:line="270"/>
      </w:pPr>
      <w:r>
        <w:rPr>
          <w:rFonts w:ascii="Calibri" w:cs="Calibri" w:eastAsia="Calibri" w:hAnsi="Calibri"/>
          <w:b/>
          <w:bCs/>
          <w:color w:val="24303F"/>
          <w:sz w:val="19"/>
          <w:szCs w:val="19"/>
        </w:rPr>
        <w:t xml:space="preserve">◐ Developing: </w:t>
      </w:r>
      <w:r>
        <w:rPr>
          <w:rFonts w:ascii="Calibri" w:cs="Calibri" w:eastAsia="Calibri" w:hAnsi="Calibri"/>
          <w:b w:val="false"/>
          <w:bCs w:val="false"/>
          <w:color w:val="24303F"/>
          <w:sz w:val="19"/>
          <w:szCs w:val="19"/>
        </w:rPr>
        <w:t xml:space="preserve">content exists but the hub is weak or absent, or sub-clusters overlap.</w:t>
      </w:r>
    </w:p>
    <w:p>
      <w:pPr>
        <w:pStyle w:val="ListParagraph"/>
        <w:numPr>
          <w:ilvl w:val="0"/>
          <w:numId w:val="1"/>
        </w:numPr>
        <w:spacing w:after="44" w:line="270"/>
      </w:pPr>
      <w:r>
        <w:rPr>
          <w:rFonts w:ascii="Calibri" w:cs="Calibri" w:eastAsia="Calibri" w:hAnsi="Calibri"/>
          <w:b/>
          <w:bCs/>
          <w:color w:val="24303F"/>
          <w:sz w:val="19"/>
          <w:szCs w:val="19"/>
        </w:rPr>
        <w:t xml:space="preserve">○ Limited: </w:t>
      </w:r>
      <w:r>
        <w:rPr>
          <w:rFonts w:ascii="Calibri" w:cs="Calibri" w:eastAsia="Calibri" w:hAnsi="Calibri"/>
          <w:b w:val="false"/>
          <w:bCs w:val="false"/>
          <w:color w:val="24303F"/>
          <w:sz w:val="19"/>
          <w:szCs w:val="19"/>
        </w:rPr>
        <w:t xml:space="preserve">thin coverage, few supporting pages, no hub.</w:t>
      </w:r>
    </w:p>
    <w:p>
      <w:pPr>
        <w:pStyle w:val="ListParagraph"/>
        <w:numPr>
          <w:ilvl w:val="0"/>
          <w:numId w:val="1"/>
        </w:numPr>
        <w:spacing w:after="44" w:line="270"/>
      </w:pPr>
      <w:r>
        <w:rPr>
          <w:rFonts w:ascii="Calibri" w:cs="Calibri" w:eastAsia="Calibri" w:hAnsi="Calibri"/>
          <w:b/>
          <w:bCs/>
          <w:color w:val="24303F"/>
          <w:sz w:val="19"/>
          <w:szCs w:val="19"/>
        </w:rPr>
        <w:t xml:space="preserve">✗ Absent: </w:t>
      </w:r>
      <w:r>
        <w:rPr>
          <w:rFonts w:ascii="Calibri" w:cs="Calibri" w:eastAsia="Calibri" w:hAnsi="Calibri"/>
          <w:b w:val="false"/>
          <w:bCs w:val="false"/>
          <w:color w:val="24303F"/>
          <w:sz w:val="19"/>
          <w:szCs w:val="19"/>
        </w:rPr>
        <w:t xml:space="preserve">no meaningful coverage of the subject.</w:t>
      </w:r>
    </w:p>
    <w:p>
      <w:pPr>
        <w:pBdr>
          <w:bottom w:val="single" w:color="D9DEE8" w:sz="6"/>
        </w:pBdr>
        <w:spacing w:after="110" w:before="110"/>
      </w:pPr>
      <w:r>
        <w:t xml:space="preserve"/>
      </w:r>
    </w:p>
    <w:p>
      <w:pPr>
        <w:spacing w:after="50" w:before="150"/>
      </w:pPr>
      <w:r>
        <w:rPr>
          <w:rFonts w:ascii="Georgia" w:cs="Georgia" w:eastAsia="Georgia" w:hAnsi="Georgia"/>
          <w:b/>
          <w:bCs/>
          <w:color w:val="16223C"/>
          <w:sz w:val="24"/>
          <w:szCs w:val="24"/>
        </w:rPr>
        <w:t xml:space="preserve">3  Site architecture overview</w:t>
      </w:r>
    </w:p>
    <w:p>
      <w:pPr>
        <w:spacing w:after="100" w:line="278"/>
      </w:pPr>
      <w:r>
        <w:rPr>
          <w:rFonts w:ascii="Calibri" w:cs="Calibri" w:eastAsia="Calibri" w:hAnsi="Calibri"/>
          <w:i w:val="false"/>
          <w:iCs w:val="false"/>
          <w:color w:val="24303F"/>
          <w:sz w:val="20"/>
          <w:szCs w:val="20"/>
        </w:rPr>
        <w:t xml:space="preserve">trillet.ai serves three audiences, each aligned to a product line: small and medium businesses purchasing an AI receptionist, agencies reselling a white-label platform, and enterprises procuring a compliant voice platform. Each audience is served by a product cluster with its own hub. Four cross-cutting clusters (platform capabilities, comparisons, compliance and educational resources) support all three.</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3120"/>
        <w:gridCol w:w="3120"/>
        <w:gridCol w:w="3120"/>
      </w:tblGrid>
      <w:tr>
        <w:tc>
          <w:tcPr>
            <w:tcW w:type="dxa" w:w="3000"/>
            <w:gridSpan w:val="1"/>
            <w:tcBorders>
              <w:top w:val="single" w:color="16223C" w:sz="4"/>
              <w:left w:val="single" w:color="16223C" w:sz="4"/>
              <w:bottom w:val="single" w:color="16223C" w:sz="4"/>
              <w:right w:val="single" w:color="16223C" w:sz="4"/>
            </w:tcBorders>
            <w:shd w:fill="16223C" w:color="auto" w:val="clear"/>
            <w:tcMar>
              <w:top w:type="dxa" w:w="90"/>
              <w:left w:type="dxa" w:w="80"/>
              <w:bottom w:type="dxa" w:w="90"/>
              <w:right w:type="dxa" w:w="80"/>
            </w:tcMar>
            <w:vAlign w:val="center"/>
          </w:tcPr>
          <w:p>
            <w:pPr>
              <w:spacing w:after="20" w:line="240"/>
              <w:jc w:val="center"/>
            </w:pPr>
            <w:r>
              <w:rPr>
                <w:rFonts w:ascii="Calibri" w:cs="Calibri" w:eastAsia="Calibri" w:hAnsi="Calibri"/>
                <w:b/>
                <w:bCs/>
                <w:color w:val="FFFFFF"/>
                <w:sz w:val="12"/>
                <w:szCs w:val="12"/>
              </w:rPr>
              <w:t xml:space="preserve">SMB</w:t>
            </w:r>
          </w:p>
          <w:p>
            <w:pPr>
              <w:spacing w:after="0" w:line="240"/>
              <w:jc w:val="center"/>
            </w:pPr>
            <w:r>
              <w:rPr>
                <w:rFonts w:ascii="Calibri" w:cs="Calibri" w:eastAsia="Calibri" w:hAnsi="Calibri"/>
                <w:b/>
                <w:bCs/>
                <w:color w:val="FFFFFF"/>
                <w:sz w:val="14"/>
                <w:szCs w:val="14"/>
              </w:rPr>
              <w:t xml:space="preserve">AI Receptionist</w:t>
            </w:r>
          </w:p>
        </w:tc>
        <w:tc>
          <w:tcPr>
            <w:tcW w:type="dxa" w:w="3000"/>
            <w:gridSpan w:val="1"/>
            <w:tcBorders>
              <w:top w:val="single" w:color="16223C" w:sz="4"/>
              <w:left w:val="single" w:color="16223C" w:sz="4"/>
              <w:bottom w:val="single" w:color="16223C" w:sz="4"/>
              <w:right w:val="single" w:color="16223C" w:sz="4"/>
            </w:tcBorders>
            <w:shd w:fill="16223C" w:color="auto" w:val="clear"/>
            <w:tcMar>
              <w:top w:type="dxa" w:w="90"/>
              <w:left w:type="dxa" w:w="80"/>
              <w:bottom w:type="dxa" w:w="90"/>
              <w:right w:type="dxa" w:w="80"/>
            </w:tcMar>
            <w:vAlign w:val="center"/>
          </w:tcPr>
          <w:p>
            <w:pPr>
              <w:spacing w:after="20" w:line="240"/>
              <w:jc w:val="center"/>
            </w:pPr>
            <w:r>
              <w:rPr>
                <w:rFonts w:ascii="Calibri" w:cs="Calibri" w:eastAsia="Calibri" w:hAnsi="Calibri"/>
                <w:b/>
                <w:bCs/>
                <w:color w:val="FFFFFF"/>
                <w:sz w:val="12"/>
                <w:szCs w:val="12"/>
              </w:rPr>
              <w:t xml:space="preserve">AGENCY</w:t>
            </w:r>
          </w:p>
          <w:p>
            <w:pPr>
              <w:spacing w:after="0" w:line="240"/>
              <w:jc w:val="center"/>
            </w:pPr>
            <w:r>
              <w:rPr>
                <w:rFonts w:ascii="Calibri" w:cs="Calibri" w:eastAsia="Calibri" w:hAnsi="Calibri"/>
                <w:b/>
                <w:bCs/>
                <w:color w:val="FFFFFF"/>
                <w:sz w:val="14"/>
                <w:szCs w:val="14"/>
              </w:rPr>
              <w:t xml:space="preserve">White-Label Platform</w:t>
            </w:r>
          </w:p>
        </w:tc>
        <w:tc>
          <w:tcPr>
            <w:tcW w:type="dxa" w:w="3000"/>
            <w:gridSpan w:val="1"/>
            <w:tcBorders>
              <w:top w:val="single" w:color="16223C" w:sz="4"/>
              <w:left w:val="single" w:color="16223C" w:sz="4"/>
              <w:bottom w:val="single" w:color="16223C" w:sz="4"/>
              <w:right w:val="single" w:color="16223C" w:sz="4"/>
            </w:tcBorders>
            <w:shd w:fill="16223C" w:color="auto" w:val="clear"/>
            <w:tcMar>
              <w:top w:type="dxa" w:w="90"/>
              <w:left w:type="dxa" w:w="80"/>
              <w:bottom w:type="dxa" w:w="90"/>
              <w:right w:type="dxa" w:w="80"/>
            </w:tcMar>
            <w:vAlign w:val="center"/>
          </w:tcPr>
          <w:p>
            <w:pPr>
              <w:spacing w:after="20" w:line="240"/>
              <w:jc w:val="center"/>
            </w:pPr>
            <w:r>
              <w:rPr>
                <w:rFonts w:ascii="Calibri" w:cs="Calibri" w:eastAsia="Calibri" w:hAnsi="Calibri"/>
                <w:b/>
                <w:bCs/>
                <w:color w:val="FFFFFF"/>
                <w:sz w:val="12"/>
                <w:szCs w:val="12"/>
              </w:rPr>
              <w:t xml:space="preserve">ENTERPRISE</w:t>
            </w:r>
          </w:p>
          <w:p>
            <w:pPr>
              <w:spacing w:after="0" w:line="240"/>
              <w:jc w:val="center"/>
            </w:pPr>
            <w:r>
              <w:rPr>
                <w:rFonts w:ascii="Calibri" w:cs="Calibri" w:eastAsia="Calibri" w:hAnsi="Calibri"/>
                <w:b/>
                <w:bCs/>
                <w:color w:val="FFFFFF"/>
                <w:sz w:val="14"/>
                <w:szCs w:val="14"/>
              </w:rPr>
              <w:t xml:space="preserve">Solutions &amp; Platform</w:t>
            </w:r>
          </w:p>
        </w:tc>
      </w:tr>
      <w:tr>
        <w:tc>
          <w:tcPr>
            <w:tcW w:type="dxa" w:w="3000"/>
            <w:gridSpan w:val="1"/>
            <w:tcBorders>
              <w:top w:val="single" w:color="D9DEE8" w:sz="4"/>
              <w:left w:val="single" w:color="D9DEE8" w:sz="4"/>
              <w:bottom w:val="single" w:color="D9DEE8" w:sz="4"/>
              <w:right w:val="single" w:color="D9DEE8" w:sz="4"/>
            </w:tcBorders>
            <w:shd w:fill="F7F8FA" w:color="auto" w:val="clear"/>
            <w:tcMar>
              <w:top w:type="dxa" w:w="90"/>
              <w:left w:type="dxa" w:w="80"/>
              <w:bottom w:type="dxa" w:w="90"/>
              <w:right w:type="dxa" w:w="80"/>
            </w:tcMar>
            <w:vAlign w:val="center"/>
          </w:tcPr>
          <w:p>
            <w:pPr>
              <w:spacing w:after="0" w:line="240"/>
              <w:jc w:val="center"/>
            </w:pPr>
            <w:r>
              <w:rPr>
                <w:rFonts w:ascii="Consolas" w:cs="Consolas" w:eastAsia="Consolas" w:hAnsi="Consolas"/>
                <w:b/>
                <w:bCs/>
                <w:color w:val="16223C"/>
                <w:sz w:val="13"/>
                <w:szCs w:val="13"/>
              </w:rPr>
              <w:t xml:space="preserve">/receptionist</w:t>
            </w:r>
          </w:p>
        </w:tc>
        <w:tc>
          <w:tcPr>
            <w:tcW w:type="dxa" w:w="3000"/>
            <w:gridSpan w:val="1"/>
            <w:tcBorders>
              <w:top w:val="single" w:color="D9DEE8" w:sz="4"/>
              <w:left w:val="single" w:color="D9DEE8" w:sz="4"/>
              <w:bottom w:val="single" w:color="D9DEE8" w:sz="4"/>
              <w:right w:val="single" w:color="D9DEE8" w:sz="4"/>
            </w:tcBorders>
            <w:shd w:fill="F7F8FA" w:color="auto" w:val="clear"/>
            <w:tcMar>
              <w:top w:type="dxa" w:w="90"/>
              <w:left w:type="dxa" w:w="80"/>
              <w:bottom w:type="dxa" w:w="90"/>
              <w:right w:type="dxa" w:w="80"/>
            </w:tcMar>
            <w:vAlign w:val="center"/>
          </w:tcPr>
          <w:p>
            <w:pPr>
              <w:spacing w:after="0" w:line="240"/>
              <w:jc w:val="center"/>
            </w:pPr>
            <w:r>
              <w:rPr>
                <w:rFonts w:ascii="Consolas" w:cs="Consolas" w:eastAsia="Consolas" w:hAnsi="Consolas"/>
                <w:b/>
                <w:bCs/>
                <w:color w:val="16223C"/>
                <w:sz w:val="13"/>
                <w:szCs w:val="13"/>
              </w:rPr>
              <w:t xml:space="preserve">/whitelabel</w:t>
            </w:r>
          </w:p>
        </w:tc>
        <w:tc>
          <w:tcPr>
            <w:tcW w:type="dxa" w:w="3000"/>
            <w:gridSpan w:val="1"/>
            <w:tcBorders>
              <w:top w:val="single" w:color="D9DEE8" w:sz="4"/>
              <w:left w:val="single" w:color="D9DEE8" w:sz="4"/>
              <w:bottom w:val="single" w:color="D9DEE8" w:sz="4"/>
              <w:right w:val="single" w:color="D9DEE8" w:sz="4"/>
            </w:tcBorders>
            <w:shd w:fill="F7F8FA" w:color="auto" w:val="clear"/>
            <w:tcMar>
              <w:top w:type="dxa" w:w="90"/>
              <w:left w:type="dxa" w:w="80"/>
              <w:bottom w:type="dxa" w:w="90"/>
              <w:right w:type="dxa" w:w="80"/>
            </w:tcMar>
            <w:vAlign w:val="center"/>
          </w:tcPr>
          <w:p>
            <w:pPr>
              <w:spacing w:after="0" w:line="240"/>
              <w:jc w:val="center"/>
            </w:pPr>
            <w:r>
              <w:rPr>
                <w:rFonts w:ascii="Consolas" w:cs="Consolas" w:eastAsia="Consolas" w:hAnsi="Consolas"/>
                <w:b/>
                <w:bCs/>
                <w:color w:val="16223C"/>
                <w:sz w:val="13"/>
                <w:szCs w:val="13"/>
              </w:rPr>
              <w:t xml:space="preserve">/enterprise</w:t>
            </w:r>
          </w:p>
        </w:tc>
      </w:tr>
      <w:tr>
        <w:tc>
          <w:tcPr>
            <w:tcW w:type="dxa" w:w="3000"/>
            <w:gridSpan w:val="1"/>
            <w:tcBorders>
              <w:top w:val="single" w:color="D9DEE8" w:sz="4"/>
              <w:left w:val="single" w:color="D9DEE8" w:sz="4"/>
              <w:bottom w:val="single" w:color="D9DEE8" w:sz="4"/>
              <w:right w:val="single" w:color="D9DEE8" w:sz="4"/>
            </w:tcBorders>
            <w:shd w:fill="FFFFFF" w:color="auto" w:val="clear"/>
            <w:tcMar>
              <w:top w:type="dxa" w:w="90"/>
              <w:left w:type="dxa" w:w="80"/>
              <w:bottom w:type="dxa" w:w="90"/>
              <w:right w:type="dxa" w:w="80"/>
            </w:tcMar>
            <w:vAlign w:val="center"/>
          </w:tcPr>
          <w:p>
            <w:pPr>
              <w:spacing w:after="20" w:line="240"/>
              <w:jc w:val="center"/>
            </w:pPr>
            <w:r>
              <w:rPr>
                <w:rFonts w:ascii="Calibri" w:cs="Calibri" w:eastAsia="Calibri" w:hAnsi="Calibri"/>
                <w:b w:val="false"/>
                <w:bCs w:val="false"/>
                <w:color w:val="24303F"/>
                <w:sz w:val="12"/>
                <w:szCs w:val="12"/>
              </w:rPr>
              <w:t xml:space="preserve">vertical pages · answering-</w:t>
            </w:r>
          </w:p>
          <w:p>
            <w:pPr>
              <w:spacing w:after="0" w:line="240"/>
              <w:jc w:val="center"/>
            </w:pPr>
            <w:r>
              <w:rPr>
                <w:rFonts w:ascii="Calibri" w:cs="Calibri" w:eastAsia="Calibri" w:hAnsi="Calibri"/>
                <w:b w:val="false"/>
                <w:bCs w:val="false"/>
                <w:color w:val="24303F"/>
                <w:sz w:val="12"/>
                <w:szCs w:val="12"/>
              </w:rPr>
              <w:t xml:space="preserve">service education · value</w:t>
            </w:r>
          </w:p>
        </w:tc>
        <w:tc>
          <w:tcPr>
            <w:tcW w:type="dxa" w:w="3000"/>
            <w:gridSpan w:val="1"/>
            <w:tcBorders>
              <w:top w:val="single" w:color="D9DEE8" w:sz="4"/>
              <w:left w:val="single" w:color="D9DEE8" w:sz="4"/>
              <w:bottom w:val="single" w:color="D9DEE8" w:sz="4"/>
              <w:right w:val="single" w:color="D9DEE8" w:sz="4"/>
            </w:tcBorders>
            <w:shd w:fill="FFFFFF" w:color="auto" w:val="clear"/>
            <w:tcMar>
              <w:top w:type="dxa" w:w="90"/>
              <w:left w:type="dxa" w:w="80"/>
              <w:bottom w:type="dxa" w:w="90"/>
              <w:right w:type="dxa" w:w="80"/>
            </w:tcMar>
            <w:vAlign w:val="center"/>
          </w:tcPr>
          <w:p>
            <w:pPr>
              <w:spacing w:after="20" w:line="240"/>
              <w:jc w:val="center"/>
            </w:pPr>
            <w:r>
              <w:rPr>
                <w:rFonts w:ascii="Calibri" w:cs="Calibri" w:eastAsia="Calibri" w:hAnsi="Calibri"/>
                <w:b w:val="false"/>
                <w:bCs w:val="false"/>
                <w:color w:val="24303F"/>
                <w:sz w:val="12"/>
                <w:szCs w:val="12"/>
              </w:rPr>
              <w:t xml:space="preserve">academy · industries ·</w:t>
            </w:r>
          </w:p>
          <w:p>
            <w:pPr>
              <w:spacing w:after="0" w:line="240"/>
              <w:jc w:val="center"/>
            </w:pPr>
            <w:r>
              <w:rPr>
                <w:rFonts w:ascii="Calibri" w:cs="Calibri" w:eastAsia="Calibri" w:hAnsi="Calibri"/>
                <w:b w:val="false"/>
                <w:bCs w:val="false"/>
                <w:color w:val="24303F"/>
                <w:sz w:val="12"/>
                <w:szCs w:val="12"/>
              </w:rPr>
              <w:t xml:space="preserve">pricing · integrations · partners</w:t>
            </w:r>
          </w:p>
        </w:tc>
        <w:tc>
          <w:tcPr>
            <w:tcW w:type="dxa" w:w="3000"/>
            <w:gridSpan w:val="1"/>
            <w:tcBorders>
              <w:top w:val="single" w:color="D9DEE8" w:sz="4"/>
              <w:left w:val="single" w:color="D9DEE8" w:sz="4"/>
              <w:bottom w:val="single" w:color="D9DEE8" w:sz="4"/>
              <w:right w:val="single" w:color="D9DEE8" w:sz="4"/>
            </w:tcBorders>
            <w:shd w:fill="FFFFFF" w:color="auto" w:val="clear"/>
            <w:tcMar>
              <w:top w:type="dxa" w:w="90"/>
              <w:left w:type="dxa" w:w="80"/>
              <w:bottom w:type="dxa" w:w="90"/>
              <w:right w:type="dxa" w:w="80"/>
            </w:tcMar>
            <w:vAlign w:val="center"/>
          </w:tcPr>
          <w:p>
            <w:pPr>
              <w:spacing w:after="20" w:line="240"/>
              <w:jc w:val="center"/>
            </w:pPr>
            <w:r>
              <w:rPr>
                <w:rFonts w:ascii="Calibri" w:cs="Calibri" w:eastAsia="Calibri" w:hAnsi="Calibri"/>
                <w:b w:val="false"/>
                <w:bCs w:val="false"/>
                <w:color w:val="24303F"/>
                <w:sz w:val="12"/>
                <w:szCs w:val="12"/>
              </w:rPr>
              <w:t xml:space="preserve">vertical solutions ·</w:t>
            </w:r>
          </w:p>
          <w:p>
            <w:pPr>
              <w:spacing w:after="0" w:line="240"/>
              <w:jc w:val="center"/>
            </w:pPr>
            <w:r>
              <w:rPr>
                <w:rFonts w:ascii="Calibri" w:cs="Calibri" w:eastAsia="Calibri" w:hAnsi="Calibri"/>
                <w:b w:val="false"/>
                <w:bCs w:val="false"/>
                <w:color w:val="24303F"/>
                <w:sz w:val="12"/>
                <w:szCs w:val="12"/>
              </w:rPr>
              <w:t xml:space="preserve">deployment · integrations</w:t>
            </w:r>
          </w:p>
        </w:tc>
      </w:tr>
      <w:tr>
        <w:tc>
          <w:tcPr>
            <w:tcW w:type="dxa" w:w="3000"/>
            <w:gridSpan w:val="3"/>
            <w:tcBorders>
              <w:top w:val="single" w:color="D9DEE8" w:sz="4"/>
              <w:left w:val="single" w:color="D9DEE8" w:sz="4"/>
              <w:bottom w:val="single" w:color="D9DEE8" w:sz="4"/>
              <w:right w:val="single" w:color="D9DEE8" w:sz="4"/>
            </w:tcBorders>
            <w:shd w:fill="EDEFF3" w:color="auto" w:val="clear"/>
            <w:tcMar>
              <w:top w:type="dxa" w:w="90"/>
              <w:left w:type="dxa" w:w="80"/>
              <w:bottom w:type="dxa" w:w="90"/>
              <w:right w:type="dxa" w:w="80"/>
            </w:tcMar>
            <w:vAlign w:val="center"/>
          </w:tcPr>
          <w:p>
            <w:pPr>
              <w:spacing w:after="0" w:line="240"/>
              <w:jc w:val="center"/>
            </w:pPr>
            <w:r>
              <w:rPr>
                <w:rFonts w:ascii="Calibri" w:cs="Calibri" w:eastAsia="Calibri" w:hAnsi="Calibri"/>
                <w:b/>
                <w:bCs/>
                <w:color w:val="16223C"/>
                <w:sz w:val="13"/>
                <w:szCs w:val="13"/>
              </w:rPr>
              <w:t xml:space="preserve">Cross-cutting hubs:  Platform capabilities   ·   Comparisons   ·   Compliance &amp; security   ·   Resources / Academy</w:t>
            </w:r>
          </w:p>
        </w:tc>
      </w:tr>
    </w:tbl>
    <w:p>
      <w:pPr>
        <w:spacing w:after="120" w:before="30"/>
        <w:jc w:val="center"/>
      </w:pPr>
      <w:r>
        <w:rPr>
          <w:rFonts w:ascii="Calibri" w:cs="Calibri" w:eastAsia="Calibri" w:hAnsi="Calibri"/>
          <w:i/>
          <w:iCs/>
          <w:color w:val="5A6675"/>
          <w:sz w:val="15"/>
          <w:szCs w:val="15"/>
        </w:rPr>
        <w:t xml:space="preserve">Figure 2. Three product clusters over four shared cross-cutting clusters.</w:t>
      </w:r>
    </w:p>
    <w:p>
      <w:pPr>
        <w:pBdr>
          <w:bottom w:val="single" w:color="D9DEE8" w:sz="6"/>
        </w:pBdr>
        <w:spacing w:after="110" w:before="110"/>
      </w:pPr>
      <w:r>
        <w:t xml:space="preserve"/>
      </w:r>
    </w:p>
    <w:p>
      <w:pPr>
        <w:spacing w:after="50" w:before="150"/>
      </w:pPr>
      <w:r>
        <w:rPr>
          <w:rFonts w:ascii="Georgia" w:cs="Georgia" w:eastAsia="Georgia" w:hAnsi="Georgia"/>
          <w:b/>
          <w:bCs/>
          <w:color w:val="16223C"/>
          <w:sz w:val="24"/>
          <w:szCs w:val="24"/>
        </w:rPr>
        <w:t xml:space="preserve">4  Cluster inventory and completeness</w:t>
      </w:r>
    </w:p>
    <w:p>
      <w:pPr>
        <w:spacing w:after="100" w:line="278"/>
      </w:pPr>
      <w:r>
        <w:rPr>
          <w:rFonts w:ascii="Calibri" w:cs="Calibri" w:eastAsia="Calibri" w:hAnsi="Calibri"/>
          <w:i w:val="false"/>
          <w:iCs w:val="false"/>
          <w:color w:val="24303F"/>
          <w:sz w:val="20"/>
          <w:szCs w:val="20"/>
        </w:rPr>
        <w:t xml:space="preserve">The eight content pillars, their scale, hub status and completeness.</w:t>
      </w:r>
    </w:p>
    <w:tbl>
      <w:tblPr>
        <w:tblW w:type="dxa" w:w="8810"/>
        <w:tblBorders>
          <w:top w:val="single" w:color="D9DEE8" w:sz="4"/>
          <w:left w:val="single" w:color="D9DEE8" w:sz="4"/>
          <w:bottom w:val="single" w:color="D9DEE8" w:sz="4"/>
          <w:right w:val="single" w:color="D9DEE8" w:sz="4"/>
          <w:insideH w:val="single" w:color="D9DEE8" w:sz="4"/>
          <w:insideV w:val="single" w:color="D9DEE8" w:sz="4"/>
        </w:tblBorders>
      </w:tblPr>
      <w:tblGrid>
        <w:gridCol w:w="2550"/>
        <w:gridCol w:w="900"/>
        <w:gridCol w:w="1550"/>
        <w:gridCol w:w="3810"/>
      </w:tblGrid>
      <w:tr>
        <w:trPr>
          <w:tblHeader/>
        </w:trPr>
        <w:tc>
          <w:tcPr>
            <w:tcW w:type="dxa" w:w="25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Pillar</w:t>
            </w:r>
          </w:p>
        </w:tc>
        <w:tc>
          <w:tcPr>
            <w:tcW w:type="dxa" w:w="9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Pages</w:t>
            </w:r>
          </w:p>
        </w:tc>
        <w:tc>
          <w:tcPr>
            <w:tcW w:type="dxa" w:w="15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Completeness</w:t>
            </w:r>
          </w:p>
        </w:tc>
        <w:tc>
          <w:tcPr>
            <w:tcW w:type="dxa" w:w="381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Notes</w:t>
            </w:r>
          </w:p>
        </w:tc>
      </w:tr>
      <w:tr>
        <w:tc>
          <w:tcPr>
            <w:tcW w:type="dxa" w:w="2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AI Receptionist (SMB)</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~150</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 Developing</w:t>
            </w:r>
          </w:p>
        </w:tc>
        <w:tc>
          <w:tcPr>
            <w:tcW w:type="dxa" w:w="38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Product hub live; 41 vertical pages and ~107 supporting posts. Head terms rank on pages 3-5.</w:t>
            </w:r>
          </w:p>
        </w:tc>
      </w:tr>
      <w:tr>
        <w:tc>
          <w:tcPr>
            <w:tcW w:type="dxa" w:w="2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White-Label / Agency</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~185</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 Developing</w:t>
            </w:r>
          </w:p>
        </w:tc>
        <w:tc>
          <w:tcPr>
            <w:tcW w:type="dxa" w:w="38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Deep supporting content across seven sub-clusters; hub ranks on page 3 for non-brand terms.</w:t>
            </w:r>
          </w:p>
        </w:tc>
      </w:tr>
      <w:tr>
        <w:tc>
          <w:tcPr>
            <w:tcW w:type="dxa" w:w="2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Enterprise &amp; Solutions</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~25</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 Limited</w:t>
            </w:r>
          </w:p>
        </w:tc>
        <w:tc>
          <w:tcPr>
            <w:tcW w:type="dxa" w:w="38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Six vertical solution pages and thin supporting content; no consolidated hub.</w:t>
            </w:r>
          </w:p>
        </w:tc>
      </w:tr>
      <w:tr>
        <w:tc>
          <w:tcPr>
            <w:tcW w:type="dxa" w:w="2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Platform capabilities</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~10</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 Developing</w:t>
            </w:r>
          </w:p>
        </w:tc>
        <w:tc>
          <w:tcPr>
            <w:tcW w:type="dxa" w:w="38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Four capability pages; limited supporting content.</w:t>
            </w:r>
          </w:p>
        </w:tc>
      </w:tr>
      <w:tr>
        <w:tc>
          <w:tcPr>
            <w:tcW w:type="dxa" w:w="2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Answering-service education</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~25</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 Developing</w:t>
            </w:r>
          </w:p>
        </w:tc>
        <w:tc>
          <w:tcPr>
            <w:tcW w:type="dxa" w:w="38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Cost, pricing and call-forwarding content; ranks but largely below page one.</w:t>
            </w:r>
          </w:p>
        </w:tc>
      </w:tr>
      <w:tr>
        <w:tc>
          <w:tcPr>
            <w:tcW w:type="dxa" w:w="2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Comparisons</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~70</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 Developing</w:t>
            </w:r>
          </w:p>
        </w:tc>
        <w:tc>
          <w:tcPr>
            <w:tcW w:type="dxa" w:w="38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Extensive competitor and category coverage; no hub; some duplication.</w:t>
            </w:r>
          </w:p>
        </w:tc>
      </w:tr>
      <w:tr>
        <w:tc>
          <w:tcPr>
            <w:tcW w:type="dxa" w:w="2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Compliance &amp; security</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~20</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 Limited</w:t>
            </w:r>
          </w:p>
        </w:tc>
        <w:tc>
          <w:tcPr>
            <w:tcW w:type="dxa" w:w="38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Content spread across other pillars; no dedicated hub page.</w:t>
            </w:r>
          </w:p>
        </w:tc>
      </w:tr>
      <w:tr>
        <w:tc>
          <w:tcPr>
            <w:tcW w:type="dxa" w:w="2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Resources / sales enablement</w:t>
            </w:r>
          </w:p>
        </w:tc>
        <w:tc>
          <w:tcPr>
            <w:tcW w:type="dxa" w:w="9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~10</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 Limited</w:t>
            </w:r>
          </w:p>
        </w:tc>
        <w:tc>
          <w:tcPr>
            <w:tcW w:type="dxa" w:w="38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Discovery, objection-handling and pilot material; not consolidated.</w:t>
            </w:r>
          </w:p>
        </w:tc>
      </w:tr>
    </w:tbl>
    <w:p>
      <w:pPr>
        <w:pBdr>
          <w:bottom w:val="single" w:color="D9DEE8" w:sz="6"/>
        </w:pBdr>
        <w:spacing w:after="110" w:before="110"/>
      </w:pPr>
      <w:r>
        <w:t xml:space="preserve"/>
      </w:r>
    </w:p>
    <w:p>
      <w:pPr>
        <w:spacing w:after="14" w:before="90"/>
      </w:pPr>
      <w:r>
        <w:rPr>
          <w:rFonts w:ascii="Calibri" w:cs="Calibri" w:eastAsia="Calibri" w:hAnsi="Calibri"/>
          <w:b/>
          <w:bCs/>
          <w:color w:val="16223C"/>
          <w:sz w:val="19"/>
          <w:szCs w:val="19"/>
        </w:rPr>
        <w:t xml:space="preserve">4.1  AI Receptionist (SMB)</w:t>
      </w:r>
    </w:p>
    <w:p>
      <w:pPr>
        <w:spacing w:after="60" w:line="278"/>
      </w:pPr>
      <w:r>
        <w:rPr>
          <w:rFonts w:ascii="Calibri" w:cs="Calibri" w:eastAsia="Calibri" w:hAnsi="Calibri"/>
          <w:i w:val="false"/>
          <w:iCs w:val="false"/>
          <w:color w:val="24303F"/>
          <w:sz w:val="20"/>
          <w:szCs w:val="20"/>
        </w:rPr>
        <w:t xml:space="preserve">The largest cluster by page count and by search demand. It comprises the /receptionist hub and pricing page, 41 industry pages under /receptionist/industries, and roughly 107 supporting posts covering answering-service use-cases and buyer questions.</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000"/>
        <w:gridCol w:w="1050"/>
        <w:gridCol w:w="5310"/>
      </w:tblGrid>
      <w:tr>
        <w:trPr>
          <w:tblHeader/>
        </w:trPr>
        <w:tc>
          <w:tcPr>
            <w:tcW w:type="dxa" w:w="30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Sub-cluster</w:t>
            </w:r>
          </w:p>
        </w:tc>
        <w:tc>
          <w:tcPr>
            <w:tcW w:type="dxa" w:w="10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Rating</w:t>
            </w:r>
          </w:p>
        </w:tc>
        <w:tc>
          <w:tcPr>
            <w:tcW w:type="dxa" w:w="531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Coverage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Hub and pricing</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/receptionist and /receptionist/pricing are live.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Industry pages (41)</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Broad programmatic coverage; depth and differentiation vary by page.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Answering-service use-case posts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Overlap with the industry pages on several verticals.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Value and buyer-education posts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Adequate coverage of cost, comparison and suitability questions.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Head-term ranking</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Core terms rank on pages 3-5; several sit in striking distance (positions 11-20).</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Vertical coverage gaps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No pages for banking, salon and beauty, e-commerce or education.</w:t>
            </w:r>
          </w:p>
        </w:tc>
      </w:tr>
    </w:tbl>
    <w:p>
      <w:pPr>
        <w:spacing w:after="14" w:before="90"/>
      </w:pPr>
      <w:r>
        <w:rPr>
          <w:rFonts w:ascii="Calibri" w:cs="Calibri" w:eastAsia="Calibri" w:hAnsi="Calibri"/>
          <w:b/>
          <w:bCs/>
          <w:color w:val="16223C"/>
          <w:sz w:val="19"/>
          <w:szCs w:val="19"/>
        </w:rPr>
        <w:t xml:space="preserve">4.2  White-Label / Agency</w:t>
      </w:r>
    </w:p>
    <w:p>
      <w:pPr>
        <w:spacing w:after="60" w:line="278"/>
      </w:pPr>
      <w:r>
        <w:rPr>
          <w:rFonts w:ascii="Calibri" w:cs="Calibri" w:eastAsia="Calibri" w:hAnsi="Calibri"/>
          <w:i w:val="false"/>
          <w:iCs w:val="false"/>
          <w:color w:val="24303F"/>
          <w:sz w:val="20"/>
          <w:szCs w:val="20"/>
        </w:rPr>
        <w:t xml:space="preserve">178 posts organised into platform, agency-growth, industry, comparison, pricing, integrations and partnerships sub-clusters, plus the /whitelabel hub.</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000"/>
        <w:gridCol w:w="1050"/>
        <w:gridCol w:w="5310"/>
      </w:tblGrid>
      <w:tr>
        <w:trPr>
          <w:tblHeader/>
        </w:trPr>
        <w:tc>
          <w:tcPr>
            <w:tcW w:type="dxa" w:w="30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Sub-cluster</w:t>
            </w:r>
          </w:p>
        </w:tc>
        <w:tc>
          <w:tcPr>
            <w:tcW w:type="dxa" w:w="10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Rating</w:t>
            </w:r>
          </w:p>
        </w:tc>
        <w:tc>
          <w:tcPr>
            <w:tcW w:type="dxa" w:w="531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Coverage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Platform hub and definitions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Hub live; strong definitional and feature content; hub ranks on page 3 non-brand.</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Agency growth</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Comprehensive: launch, acquisition, scaling and operations.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Industry (agency-framed)</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Wide vertical coverage for reseller audiences.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Comparisons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Extensive; some competitors covered by multiple pages.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Pricing and economics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Adequate; some overlapping posts.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Integrations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GoHighLevel well covered; other integrations thin.</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Partnerships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Program pages present but limited supporting content.</w:t>
            </w:r>
          </w:p>
        </w:tc>
      </w:tr>
    </w:tbl>
    <w:p>
      <w:pPr>
        <w:spacing w:after="14" w:before="90"/>
      </w:pPr>
      <w:r>
        <w:rPr>
          <w:rFonts w:ascii="Calibri" w:cs="Calibri" w:eastAsia="Calibri" w:hAnsi="Calibri"/>
          <w:b/>
          <w:bCs/>
          <w:color w:val="16223C"/>
          <w:sz w:val="19"/>
          <w:szCs w:val="19"/>
        </w:rPr>
        <w:t xml:space="preserve">4.3  Enterprise &amp; Solutions</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000"/>
        <w:gridCol w:w="1050"/>
        <w:gridCol w:w="5310"/>
      </w:tblGrid>
      <w:tr>
        <w:trPr>
          <w:tblHeader/>
        </w:trPr>
        <w:tc>
          <w:tcPr>
            <w:tcW w:type="dxa" w:w="30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Sub-cluster</w:t>
            </w:r>
          </w:p>
        </w:tc>
        <w:tc>
          <w:tcPr>
            <w:tcW w:type="dxa" w:w="10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Rating</w:t>
            </w:r>
          </w:p>
        </w:tc>
        <w:tc>
          <w:tcPr>
            <w:tcW w:type="dxa" w:w="531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Coverage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Vertical solution pages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Six pages: health, legal, financial services, government, utilities, automotive.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Enterprise hub</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No consolidated hub; /enterprise redirects.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Operations content</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Rollout, evaluation, security-audit and ROI posts; limited depth.</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Deployment (on-premise, hybrid)</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 differentiator with no dedicated cluster.</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Enterprise integrations (PBX, CCaaS)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Occasional posts; no cluster.</w:t>
            </w:r>
          </w:p>
        </w:tc>
      </w:tr>
    </w:tbl>
    <w:p>
      <w:pPr>
        <w:spacing w:after="14" w:before="90"/>
      </w:pPr>
      <w:r>
        <w:rPr>
          <w:rFonts w:ascii="Calibri" w:cs="Calibri" w:eastAsia="Calibri" w:hAnsi="Calibri"/>
          <w:b/>
          <w:bCs/>
          <w:color w:val="16223C"/>
          <w:sz w:val="19"/>
          <w:szCs w:val="19"/>
        </w:rPr>
        <w:t xml:space="preserve">4.4  Platform capabilities</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000"/>
        <w:gridCol w:w="1050"/>
        <w:gridCol w:w="5310"/>
      </w:tblGrid>
      <w:tr>
        <w:trPr>
          <w:tblHeader/>
        </w:trPr>
        <w:tc>
          <w:tcPr>
            <w:tcW w:type="dxa" w:w="30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Sub-cluster</w:t>
            </w:r>
          </w:p>
        </w:tc>
        <w:tc>
          <w:tcPr>
            <w:tcW w:type="dxa" w:w="10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Rating</w:t>
            </w:r>
          </w:p>
        </w:tc>
        <w:tc>
          <w:tcPr>
            <w:tcW w:type="dxa" w:w="531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Coverage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Capability pages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/platform/voice, /messaging, /email, /workflows are live.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Supporting content</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Limited content connected to the capability pages.</w:t>
            </w:r>
          </w:p>
        </w:tc>
      </w:tr>
    </w:tbl>
    <w:p>
      <w:pPr>
        <w:spacing w:after="14" w:before="90"/>
      </w:pPr>
      <w:r>
        <w:rPr>
          <w:rFonts w:ascii="Calibri" w:cs="Calibri" w:eastAsia="Calibri" w:hAnsi="Calibri"/>
          <w:b/>
          <w:bCs/>
          <w:color w:val="16223C"/>
          <w:sz w:val="19"/>
          <w:szCs w:val="19"/>
        </w:rPr>
        <w:t xml:space="preserve">4.5  Answering-service education</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000"/>
        <w:gridCol w:w="1050"/>
        <w:gridCol w:w="5310"/>
      </w:tblGrid>
      <w:tr>
        <w:trPr>
          <w:tblHeader/>
        </w:trPr>
        <w:tc>
          <w:tcPr>
            <w:tcW w:type="dxa" w:w="30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Sub-cluster</w:t>
            </w:r>
          </w:p>
        </w:tc>
        <w:tc>
          <w:tcPr>
            <w:tcW w:type="dxa" w:w="10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Rating</w:t>
            </w:r>
          </w:p>
        </w:tc>
        <w:tc>
          <w:tcPr>
            <w:tcW w:type="dxa" w:w="531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Coverage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Cost, pricing and value</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Ranks on page one to two; several terms in striking distance.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Call forwarding and carrier setup</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Among the highest-traffic content on the site.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How-it-works and definitions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Adequate.</w:t>
            </w:r>
          </w:p>
        </w:tc>
      </w:tr>
    </w:tbl>
    <w:p>
      <w:pPr>
        <w:spacing w:after="14" w:before="90"/>
      </w:pPr>
      <w:r>
        <w:rPr>
          <w:rFonts w:ascii="Calibri" w:cs="Calibri" w:eastAsia="Calibri" w:hAnsi="Calibri"/>
          <w:b/>
          <w:bCs/>
          <w:color w:val="16223C"/>
          <w:sz w:val="19"/>
          <w:szCs w:val="19"/>
        </w:rPr>
        <w:t xml:space="preserve">4.6  Comparisons</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000"/>
        <w:gridCol w:w="1050"/>
        <w:gridCol w:w="5310"/>
      </w:tblGrid>
      <w:tr>
        <w:trPr>
          <w:tblHeader/>
        </w:trPr>
        <w:tc>
          <w:tcPr>
            <w:tcW w:type="dxa" w:w="30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Sub-cluster</w:t>
            </w:r>
          </w:p>
        </w:tc>
        <w:tc>
          <w:tcPr>
            <w:tcW w:type="dxa" w:w="10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Rating</w:t>
            </w:r>
          </w:p>
        </w:tc>
        <w:tc>
          <w:tcPr>
            <w:tcW w:type="dxa" w:w="531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Coverage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Competitor head-to-head</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Sixteen pages.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Competitor alternatives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Twenty pages; several competitors covered more than once.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Category comparisons</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Broad; some near-duplicate topics.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Comparison hub</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No hub; /compare returns an error.</w:t>
            </w:r>
          </w:p>
        </w:tc>
      </w:tr>
    </w:tbl>
    <w:p>
      <w:pPr>
        <w:spacing w:after="14" w:before="90"/>
      </w:pPr>
      <w:r>
        <w:rPr>
          <w:rFonts w:ascii="Calibri" w:cs="Calibri" w:eastAsia="Calibri" w:hAnsi="Calibri"/>
          <w:b/>
          <w:bCs/>
          <w:color w:val="16223C"/>
          <w:sz w:val="19"/>
          <w:szCs w:val="19"/>
        </w:rPr>
        <w:t xml:space="preserve">4.7  Compliance &amp; security</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000"/>
        <w:gridCol w:w="1050"/>
        <w:gridCol w:w="5310"/>
      </w:tblGrid>
      <w:tr>
        <w:trPr>
          <w:tblHeader/>
        </w:trPr>
        <w:tc>
          <w:tcPr>
            <w:tcW w:type="dxa" w:w="30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Sub-cluster</w:t>
            </w:r>
          </w:p>
        </w:tc>
        <w:tc>
          <w:tcPr>
            <w:tcW w:type="dxa" w:w="10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Rating</w:t>
            </w:r>
          </w:p>
        </w:tc>
        <w:tc>
          <w:tcPr>
            <w:tcW w:type="dxa" w:w="531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Coverage</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Standards content (HIPAA, SOC 2, GDPR, TCPA)</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Present but distributed across other pillars.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Data residency and deployment</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Covered within longer explainers.</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Regulatory content</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Occasional; unclustered.</w:t>
            </w:r>
          </w:p>
        </w:tc>
      </w:tr>
      <w:tr>
        <w:tc>
          <w:tcPr>
            <w:tcW w:type="dxa" w:w="30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Security hub</w:t>
            </w:r>
          </w:p>
        </w:tc>
        <w:tc>
          <w:tcPr>
            <w:tcW w:type="dxa" w:w="1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w:t>
            </w:r>
          </w:p>
        </w:tc>
        <w:tc>
          <w:tcPr>
            <w:tcW w:type="dxa" w:w="531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No hub; /security returns an error.</w:t>
            </w:r>
          </w:p>
        </w:tc>
      </w:tr>
    </w:tbl>
    <w:p>
      <w:pPr>
        <w:spacing w:after="14" w:before="90"/>
      </w:pPr>
      <w:r>
        <w:rPr>
          <w:rFonts w:ascii="Calibri" w:cs="Calibri" w:eastAsia="Calibri" w:hAnsi="Calibri"/>
          <w:b/>
          <w:bCs/>
          <w:color w:val="16223C"/>
          <w:sz w:val="19"/>
          <w:szCs w:val="19"/>
        </w:rPr>
        <w:t xml:space="preserve">4.8  Resources / sales enablement</w:t>
      </w:r>
    </w:p>
    <w:p>
      <w:pPr>
        <w:spacing w:after="40" w:line="278"/>
      </w:pPr>
      <w:r>
        <w:rPr>
          <w:rFonts w:ascii="Calibri" w:cs="Calibri" w:eastAsia="Calibri" w:hAnsi="Calibri"/>
          <w:i w:val="false"/>
          <w:iCs w:val="false"/>
          <w:color w:val="24303F"/>
          <w:sz w:val="20"/>
          <w:szCs w:val="20"/>
        </w:rPr>
        <w:t xml:space="preserve">Discovery-call, objection-handling, demo and pilot material. Useful for agency and sales audiences but not consolidated under a resource hub.</w:t>
      </w:r>
    </w:p>
    <w:p>
      <w:pPr>
        <w:pBdr>
          <w:bottom w:val="single" w:color="D9DEE8" w:sz="6"/>
        </w:pBdr>
        <w:spacing w:after="110" w:before="110"/>
      </w:pPr>
      <w:r>
        <w:t xml:space="preserve"/>
      </w:r>
    </w:p>
    <w:p>
      <w:pPr>
        <w:spacing w:after="50" w:before="150"/>
      </w:pPr>
      <w:r>
        <w:rPr>
          <w:rFonts w:ascii="Georgia" w:cs="Georgia" w:eastAsia="Georgia" w:hAnsi="Georgia"/>
          <w:b/>
          <w:bCs/>
          <w:color w:val="16223C"/>
          <w:sz w:val="24"/>
          <w:szCs w:val="24"/>
        </w:rPr>
        <w:t xml:space="preserve">5  Coverage assessment</w:t>
      </w:r>
    </w:p>
    <w:p>
      <w:pPr>
        <w:spacing w:after="100" w:line="278"/>
      </w:pPr>
      <w:r>
        <w:rPr>
          <w:rFonts w:ascii="Calibri" w:cs="Calibri" w:eastAsia="Calibri" w:hAnsi="Calibri"/>
          <w:i w:val="false"/>
          <w:iCs w:val="false"/>
          <w:color w:val="24303F"/>
          <w:sz w:val="20"/>
          <w:szCs w:val="20"/>
        </w:rPr>
        <w:t xml:space="preserve">The site's content footprint is substantially larger than its ranking footprint. The domain ranks for approximately 600 keywords in the United States market, while established competitors in the same categories rank for between 2,800 and 14,500. The gap indicates that content is published but not yet ranking, rather than that content is missing.</w:t>
      </w:r>
    </w:p>
    <w:p>
      <w:pPr>
        <w:spacing w:after="100" w:line="278"/>
      </w:pPr>
      <w:r>
        <w:rPr>
          <w:rFonts w:ascii="Calibri" w:cs="Calibri" w:eastAsia="Calibri" w:hAnsi="Calibri"/>
          <w:i w:val="false"/>
          <w:iCs w:val="false"/>
          <w:color w:val="24303F"/>
          <w:sz w:val="20"/>
          <w:szCs w:val="20"/>
        </w:rPr>
        <w:t xml:space="preserve">Two structural factors account for most of the shortfall. First, five of the eight pillars have no live hub page, so supporting pages are not consolidated into a rankable cluster. Second, several head terms and the compliance subject area are served by content distributed across multiple pillars rather than by a single authoritative page.</w:t>
      </w:r>
    </w:p>
    <w:p>
      <w:pPr>
        <w:spacing w:after="60" w:line="278"/>
      </w:pPr>
      <w:r>
        <w:rPr>
          <w:rFonts w:ascii="Calibri" w:cs="Calibri" w:eastAsia="Calibri" w:hAnsi="Calibri"/>
          <w:i w:val="false"/>
          <w:iCs w:val="false"/>
          <w:color w:val="24303F"/>
          <w:sz w:val="20"/>
          <w:szCs w:val="20"/>
        </w:rPr>
        <w:t xml:space="preserve">Where the site already ranks in striking distance (positions 11 to 20), the terms are concentrated in the answering-service subject area (for example answering-service cost, pricing and vertical answering terms), which aligns with the SMB receptionist cluster.</w:t>
      </w:r>
    </w:p>
    <w:p>
      <w:pPr>
        <w:pBdr>
          <w:bottom w:val="single" w:color="D9DEE8" w:sz="6"/>
        </w:pBdr>
        <w:spacing w:after="110" w:before="110"/>
      </w:pPr>
      <w:r>
        <w:t xml:space="preserve"/>
      </w:r>
    </w:p>
    <w:p>
      <w:pPr>
        <w:spacing w:after="50" w:before="150"/>
      </w:pPr>
      <w:r>
        <w:rPr>
          <w:rFonts w:ascii="Georgia" w:cs="Georgia" w:eastAsia="Georgia" w:hAnsi="Georgia"/>
          <w:b/>
          <w:bCs/>
          <w:color w:val="16223C"/>
          <w:sz w:val="24"/>
          <w:szCs w:val="24"/>
        </w:rPr>
        <w:t xml:space="preserve">6  Gaps</w:t>
      </w:r>
    </w:p>
    <w:p>
      <w:pPr>
        <w:spacing w:after="14" w:before="90"/>
      </w:pPr>
      <w:r>
        <w:rPr>
          <w:rFonts w:ascii="Calibri" w:cs="Calibri" w:eastAsia="Calibri" w:hAnsi="Calibri"/>
          <w:b/>
          <w:bCs/>
          <w:color w:val="16223C"/>
          <w:sz w:val="19"/>
          <w:szCs w:val="19"/>
        </w:rPr>
        <w:t xml:space="preserve">Structural</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050"/>
        <w:gridCol w:w="1550"/>
        <w:gridCol w:w="4760"/>
      </w:tblGrid>
      <w:tr>
        <w:trPr>
          <w:tblHeader/>
        </w:trPr>
        <w:tc>
          <w:tcPr>
            <w:tcW w:type="dxa" w:w="30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Gap</w:t>
            </w:r>
          </w:p>
        </w:tc>
        <w:tc>
          <w:tcPr>
            <w:tcW w:type="dxa" w:w="15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Status</w:t>
            </w:r>
          </w:p>
        </w:tc>
        <w:tc>
          <w:tcPr>
            <w:tcW w:type="dxa" w:w="476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Effect</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Compliance / security hub</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/security absent</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The compliance subject, a core product differentiator, has no page that owns it.</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Comparison hub</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/compare absent</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Seventy comparison pages are not organised under an index.</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Enterprise hub</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/enterprise redirects</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The enterprise solution pages are not consolidated.</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Per-pillar hubs</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Not built</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Agency, industry, integrations and resources clusters lack hubs.</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Vertical-page / blog overlap</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Present</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/receptionist/industries pages and vertical blog posts target similar terms.</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Cross-cluster internal links</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Limited</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The three product clusters link to one another only weakly.</w:t>
            </w:r>
          </w:p>
        </w:tc>
      </w:tr>
    </w:tbl>
    <w:p>
      <w:pPr>
        <w:spacing w:after="14" w:before="90"/>
      </w:pPr>
      <w:r>
        <w:rPr>
          <w:rFonts w:ascii="Calibri" w:cs="Calibri" w:eastAsia="Calibri" w:hAnsi="Calibri"/>
          <w:b/>
          <w:bCs/>
          <w:color w:val="16223C"/>
          <w:sz w:val="19"/>
          <w:szCs w:val="19"/>
        </w:rPr>
        <w:t xml:space="preserve">Content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3050"/>
        <w:gridCol w:w="1550"/>
        <w:gridCol w:w="4760"/>
      </w:tblGrid>
      <w:tr>
        <w:trPr>
          <w:tblHeader/>
        </w:trPr>
        <w:tc>
          <w:tcPr>
            <w:tcW w:type="dxa" w:w="30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Gap</w:t>
            </w:r>
          </w:p>
        </w:tc>
        <w:tc>
          <w:tcPr>
            <w:tcW w:type="dxa" w:w="155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Area</w:t>
            </w:r>
          </w:p>
        </w:tc>
        <w:tc>
          <w:tcPr>
            <w:tcW w:type="dxa" w:w="476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Note</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Missing verticals</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SMB &amp; agency</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Banking, salon and beauty, e-commerce, education.</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Integrations breadth</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Agency &amp; enterprise</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Beyond GoHighLevel: CRM, calendar, automation and telephony integrations.</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Deployment cluster</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Enterprise</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On-premise, hybrid and data-residency content is uncollected.</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Educational concepts</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All</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Broad category education (for example customer-service automation, AI phone systems).</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Case studies and proof</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All</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No case-study content is present on the site.</w:t>
            </w:r>
          </w:p>
        </w:tc>
      </w:tr>
      <w:tr>
        <w:tc>
          <w:tcPr>
            <w:tcW w:type="dxa" w:w="30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Partnership education</w:t>
            </w:r>
          </w:p>
        </w:tc>
        <w:tc>
          <w:tcPr>
            <w:tcW w:type="dxa" w:w="155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Agency</w:t>
            </w:r>
          </w:p>
        </w:tc>
        <w:tc>
          <w:tcPr>
            <w:tcW w:type="dxa" w:w="47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Supporting content above the partner program pages is limited.</w:t>
            </w:r>
          </w:p>
        </w:tc>
      </w:tr>
    </w:tbl>
    <w:p>
      <w:pPr>
        <w:pBdr>
          <w:bottom w:val="single" w:color="D9DEE8" w:sz="6"/>
        </w:pBdr>
        <w:spacing w:after="110" w:before="110"/>
      </w:pPr>
      <w:r>
        <w:t xml:space="preserve"/>
      </w:r>
    </w:p>
    <w:p>
      <w:pPr>
        <w:spacing w:after="50" w:before="150"/>
      </w:pPr>
      <w:r>
        <w:rPr>
          <w:rFonts w:ascii="Georgia" w:cs="Georgia" w:eastAsia="Georgia" w:hAnsi="Georgia"/>
          <w:b/>
          <w:bCs/>
          <w:color w:val="16223C"/>
          <w:sz w:val="24"/>
          <w:szCs w:val="24"/>
        </w:rPr>
        <w:t xml:space="preserve">7  Target architecture</w:t>
      </w:r>
    </w:p>
    <w:p>
      <w:pPr>
        <w:spacing w:after="100" w:line="278"/>
      </w:pPr>
      <w:r>
        <w:rPr>
          <w:rFonts w:ascii="Calibri" w:cs="Calibri" w:eastAsia="Calibri" w:hAnsi="Calibri"/>
          <w:i w:val="false"/>
          <w:iCs w:val="false"/>
          <w:color w:val="24303F"/>
          <w:sz w:val="20"/>
          <w:szCs w:val="20"/>
        </w:rPr>
        <w:t xml:space="preserve">Each product line resolves to a single hub with its own supporting clusters; four cross-cutting hubs serve all three lines. Supporting pages link up to their hub and across to the relevant product line.</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3120"/>
        <w:gridCol w:w="3120"/>
        <w:gridCol w:w="3120"/>
      </w:tblGrid>
      <w:tr>
        <w:tc>
          <w:tcPr>
            <w:tcW w:type="dxa" w:w="3000"/>
            <w:gridSpan w:val="3"/>
            <w:tcBorders>
              <w:top w:val="single" w:color="16223C" w:sz="4"/>
              <w:left w:val="single" w:color="16223C" w:sz="4"/>
              <w:bottom w:val="single" w:color="16223C" w:sz="4"/>
              <w:right w:val="single" w:color="16223C" w:sz="4"/>
            </w:tcBorders>
            <w:shd w:fill="16223C" w:color="auto" w:val="clear"/>
            <w:tcMar>
              <w:top w:type="dxa" w:w="90"/>
              <w:left w:type="dxa" w:w="80"/>
              <w:bottom w:type="dxa" w:w="90"/>
              <w:right w:type="dxa" w:w="80"/>
            </w:tcMar>
            <w:vAlign w:val="center"/>
          </w:tcPr>
          <w:p>
            <w:pPr>
              <w:spacing w:after="0" w:line="240"/>
              <w:jc w:val="center"/>
            </w:pPr>
            <w:r>
              <w:rPr>
                <w:rFonts w:ascii="Calibri" w:cs="Calibri" w:eastAsia="Calibri" w:hAnsi="Calibri"/>
                <w:b/>
                <w:bCs/>
                <w:color w:val="FFFFFF"/>
                <w:sz w:val="12"/>
                <w:szCs w:val="12"/>
              </w:rPr>
              <w:t xml:space="preserve">CORE HUBS</w:t>
            </w:r>
          </w:p>
        </w:tc>
      </w:tr>
      <w:tr>
        <w:tc>
          <w:tcPr>
            <w:tcW w:type="dxa" w:w="3000"/>
            <w:gridSpan w:val="1"/>
            <w:tcBorders>
              <w:top w:val="single" w:color="D9DEE8" w:sz="4"/>
              <w:left w:val="single" w:color="D9DEE8" w:sz="4"/>
              <w:bottom w:val="single" w:color="D9DEE8" w:sz="4"/>
              <w:right w:val="single" w:color="D9DEE8" w:sz="4"/>
            </w:tcBorders>
            <w:shd w:fill="F7F8FA" w:color="auto" w:val="clear"/>
            <w:tcMar>
              <w:top w:type="dxa" w:w="90"/>
              <w:left w:type="dxa" w:w="80"/>
              <w:bottom w:type="dxa" w:w="90"/>
              <w:right w:type="dxa" w:w="80"/>
            </w:tcMar>
            <w:vAlign w:val="center"/>
          </w:tcPr>
          <w:p>
            <w:pPr>
              <w:spacing w:after="20" w:line="240"/>
              <w:jc w:val="center"/>
            </w:pPr>
            <w:r>
              <w:rPr>
                <w:rFonts w:ascii="Consolas" w:cs="Consolas" w:eastAsia="Consolas" w:hAnsi="Consolas"/>
                <w:b/>
                <w:bCs/>
                <w:color w:val="16223C"/>
                <w:sz w:val="13"/>
                <w:szCs w:val="13"/>
              </w:rPr>
              <w:t xml:space="preserve">/receptionist</w:t>
            </w:r>
          </w:p>
          <w:p>
            <w:pPr>
              <w:spacing w:after="20" w:line="240"/>
              <w:jc w:val="center"/>
            </w:pPr>
            <w:r>
              <w:rPr>
                <w:rFonts w:ascii="Calibri" w:cs="Calibri" w:eastAsia="Calibri" w:hAnsi="Calibri"/>
                <w:b w:val="false"/>
                <w:bCs w:val="false"/>
                <w:color w:val="24303F"/>
                <w:sz w:val="11"/>
                <w:szCs w:val="11"/>
              </w:rPr>
              <w:t xml:space="preserve">pricing · verticals ·</w:t>
            </w:r>
          </w:p>
          <w:p>
            <w:pPr>
              <w:spacing w:after="0" w:line="240"/>
              <w:jc w:val="center"/>
            </w:pPr>
            <w:r>
              <w:rPr>
                <w:rFonts w:ascii="Calibri" w:cs="Calibri" w:eastAsia="Calibri" w:hAnsi="Calibri"/>
                <w:b w:val="false"/>
                <w:bCs w:val="false"/>
                <w:color w:val="24303F"/>
                <w:sz w:val="11"/>
                <w:szCs w:val="11"/>
              </w:rPr>
              <w:t xml:space="preserve">answering-service education</w:t>
            </w:r>
          </w:p>
        </w:tc>
        <w:tc>
          <w:tcPr>
            <w:tcW w:type="dxa" w:w="3000"/>
            <w:gridSpan w:val="1"/>
            <w:tcBorders>
              <w:top w:val="single" w:color="D9DEE8" w:sz="4"/>
              <w:left w:val="single" w:color="D9DEE8" w:sz="4"/>
              <w:bottom w:val="single" w:color="D9DEE8" w:sz="4"/>
              <w:right w:val="single" w:color="D9DEE8" w:sz="4"/>
            </w:tcBorders>
            <w:shd w:fill="F7F8FA" w:color="auto" w:val="clear"/>
            <w:tcMar>
              <w:top w:type="dxa" w:w="90"/>
              <w:left w:type="dxa" w:w="80"/>
              <w:bottom w:type="dxa" w:w="90"/>
              <w:right w:type="dxa" w:w="80"/>
            </w:tcMar>
            <w:vAlign w:val="center"/>
          </w:tcPr>
          <w:p>
            <w:pPr>
              <w:spacing w:after="20" w:line="240"/>
              <w:jc w:val="center"/>
            </w:pPr>
            <w:r>
              <w:rPr>
                <w:rFonts w:ascii="Consolas" w:cs="Consolas" w:eastAsia="Consolas" w:hAnsi="Consolas"/>
                <w:b/>
                <w:bCs/>
                <w:color w:val="16223C"/>
                <w:sz w:val="13"/>
                <w:szCs w:val="13"/>
              </w:rPr>
              <w:t xml:space="preserve">/whitelabel</w:t>
            </w:r>
          </w:p>
          <w:p>
            <w:pPr>
              <w:spacing w:after="20" w:line="240"/>
              <w:jc w:val="center"/>
            </w:pPr>
            <w:r>
              <w:rPr>
                <w:rFonts w:ascii="Calibri" w:cs="Calibri" w:eastAsia="Calibri" w:hAnsi="Calibri"/>
                <w:b w:val="false"/>
                <w:bCs w:val="false"/>
                <w:color w:val="24303F"/>
                <w:sz w:val="11"/>
                <w:szCs w:val="11"/>
              </w:rPr>
              <w:t xml:space="preserve">academy · industries · compare ·</w:t>
            </w:r>
          </w:p>
          <w:p>
            <w:pPr>
              <w:spacing w:after="0" w:line="240"/>
              <w:jc w:val="center"/>
            </w:pPr>
            <w:r>
              <w:rPr>
                <w:rFonts w:ascii="Calibri" w:cs="Calibri" w:eastAsia="Calibri" w:hAnsi="Calibri"/>
                <w:b w:val="false"/>
                <w:bCs w:val="false"/>
                <w:color w:val="24303F"/>
                <w:sz w:val="11"/>
                <w:szCs w:val="11"/>
              </w:rPr>
              <w:t xml:space="preserve">pricing · integrations · partners</w:t>
            </w:r>
          </w:p>
        </w:tc>
        <w:tc>
          <w:tcPr>
            <w:tcW w:type="dxa" w:w="3000"/>
            <w:gridSpan w:val="1"/>
            <w:tcBorders>
              <w:top w:val="single" w:color="D9DEE8" w:sz="4"/>
              <w:left w:val="single" w:color="D9DEE8" w:sz="4"/>
              <w:bottom w:val="single" w:color="D9DEE8" w:sz="4"/>
              <w:right w:val="single" w:color="D9DEE8" w:sz="4"/>
            </w:tcBorders>
            <w:shd w:fill="F7F8FA" w:color="auto" w:val="clear"/>
            <w:tcMar>
              <w:top w:type="dxa" w:w="90"/>
              <w:left w:type="dxa" w:w="80"/>
              <w:bottom w:type="dxa" w:w="90"/>
              <w:right w:type="dxa" w:w="80"/>
            </w:tcMar>
            <w:vAlign w:val="center"/>
          </w:tcPr>
          <w:p>
            <w:pPr>
              <w:spacing w:after="20" w:line="240"/>
              <w:jc w:val="center"/>
            </w:pPr>
            <w:r>
              <w:rPr>
                <w:rFonts w:ascii="Consolas" w:cs="Consolas" w:eastAsia="Consolas" w:hAnsi="Consolas"/>
                <w:b/>
                <w:bCs/>
                <w:color w:val="16223C"/>
                <w:sz w:val="13"/>
                <w:szCs w:val="13"/>
              </w:rPr>
              <w:t xml:space="preserve">/enterprise</w:t>
            </w:r>
          </w:p>
          <w:p>
            <w:pPr>
              <w:spacing w:after="20" w:line="240"/>
              <w:jc w:val="center"/>
            </w:pPr>
            <w:r>
              <w:rPr>
                <w:rFonts w:ascii="Calibri" w:cs="Calibri" w:eastAsia="Calibri" w:hAnsi="Calibri"/>
                <w:b w:val="false"/>
                <w:bCs w:val="false"/>
                <w:color w:val="24303F"/>
                <w:sz w:val="11"/>
                <w:szCs w:val="11"/>
              </w:rPr>
              <w:t xml:space="preserve">solutions · deployment ·</w:t>
            </w:r>
          </w:p>
          <w:p>
            <w:pPr>
              <w:spacing w:after="0" w:line="240"/>
              <w:jc w:val="center"/>
            </w:pPr>
            <w:r>
              <w:rPr>
                <w:rFonts w:ascii="Calibri" w:cs="Calibri" w:eastAsia="Calibri" w:hAnsi="Calibri"/>
                <w:b w:val="false"/>
                <w:bCs w:val="false"/>
                <w:color w:val="24303F"/>
                <w:sz w:val="11"/>
                <w:szCs w:val="11"/>
              </w:rPr>
              <w:t xml:space="preserve">enterprise integrations</w:t>
            </w:r>
          </w:p>
        </w:tc>
      </w:tr>
      <w:tr>
        <w:tc>
          <w:tcPr>
            <w:tcW w:type="dxa" w:w="3000"/>
            <w:gridSpan w:val="3"/>
            <w:tcBorders>
              <w:top w:val="single" w:color="9A6B3F" w:sz="4"/>
              <w:left w:val="single" w:color="9A6B3F" w:sz="4"/>
              <w:bottom w:val="single" w:color="9A6B3F" w:sz="4"/>
              <w:right w:val="single" w:color="9A6B3F" w:sz="4"/>
            </w:tcBorders>
            <w:shd w:fill="9A6B3F" w:color="auto" w:val="clear"/>
            <w:tcMar>
              <w:top w:type="dxa" w:w="90"/>
              <w:left w:type="dxa" w:w="80"/>
              <w:bottom w:type="dxa" w:w="90"/>
              <w:right w:type="dxa" w:w="80"/>
            </w:tcMar>
            <w:vAlign w:val="center"/>
          </w:tcPr>
          <w:p>
            <w:pPr>
              <w:spacing w:after="0" w:line="240"/>
              <w:jc w:val="center"/>
            </w:pPr>
            <w:r>
              <w:rPr>
                <w:rFonts w:ascii="Calibri" w:cs="Calibri" w:eastAsia="Calibri" w:hAnsi="Calibri"/>
                <w:b/>
                <w:bCs/>
                <w:color w:val="FFFFFF"/>
                <w:sz w:val="12"/>
                <w:szCs w:val="12"/>
              </w:rPr>
              <w:t xml:space="preserve">CROSS-CUTTING HUBS</w:t>
            </w:r>
          </w:p>
        </w:tc>
      </w:tr>
      <w:tr>
        <w:tc>
          <w:tcPr>
            <w:tcW w:type="dxa" w:w="3000"/>
            <w:gridSpan w:val="1"/>
            <w:tcBorders>
              <w:top w:val="single" w:color="D9DEE8" w:sz="4"/>
              <w:left w:val="single" w:color="D9DEE8" w:sz="4"/>
              <w:bottom w:val="single" w:color="D9DEE8" w:sz="4"/>
              <w:right w:val="single" w:color="D9DEE8" w:sz="4"/>
            </w:tcBorders>
            <w:shd w:fill="EDEFF3" w:color="auto" w:val="clear"/>
            <w:tcMar>
              <w:top w:type="dxa" w:w="90"/>
              <w:left w:type="dxa" w:w="80"/>
              <w:bottom w:type="dxa" w:w="90"/>
              <w:right w:type="dxa" w:w="80"/>
            </w:tcMar>
            <w:vAlign w:val="center"/>
          </w:tcPr>
          <w:p>
            <w:pPr>
              <w:spacing w:after="20" w:line="240"/>
              <w:jc w:val="center"/>
            </w:pPr>
            <w:r>
              <w:rPr>
                <w:rFonts w:ascii="Consolas" w:cs="Consolas" w:eastAsia="Consolas" w:hAnsi="Consolas"/>
                <w:b/>
                <w:bCs/>
                <w:color w:val="16223C"/>
                <w:sz w:val="13"/>
                <w:szCs w:val="13"/>
              </w:rPr>
              <w:t xml:space="preserve">/security</w:t>
            </w:r>
          </w:p>
          <w:p>
            <w:pPr>
              <w:spacing w:after="0" w:line="240"/>
              <w:jc w:val="center"/>
            </w:pPr>
            <w:r>
              <w:rPr>
                <w:rFonts w:ascii="Calibri" w:cs="Calibri" w:eastAsia="Calibri" w:hAnsi="Calibri"/>
                <w:b w:val="false"/>
                <w:bCs w:val="false"/>
                <w:color w:val="24303F"/>
                <w:sz w:val="11"/>
                <w:szCs w:val="11"/>
              </w:rPr>
              <w:t xml:space="preserve">compliance &amp; regulation</w:t>
            </w:r>
          </w:p>
        </w:tc>
        <w:tc>
          <w:tcPr>
            <w:tcW w:type="dxa" w:w="3000"/>
            <w:gridSpan w:val="1"/>
            <w:tcBorders>
              <w:top w:val="single" w:color="D9DEE8" w:sz="4"/>
              <w:left w:val="single" w:color="D9DEE8" w:sz="4"/>
              <w:bottom w:val="single" w:color="D9DEE8" w:sz="4"/>
              <w:right w:val="single" w:color="D9DEE8" w:sz="4"/>
            </w:tcBorders>
            <w:shd w:fill="EDEFF3" w:color="auto" w:val="clear"/>
            <w:tcMar>
              <w:top w:type="dxa" w:w="90"/>
              <w:left w:type="dxa" w:w="80"/>
              <w:bottom w:type="dxa" w:w="90"/>
              <w:right w:type="dxa" w:w="80"/>
            </w:tcMar>
            <w:vAlign w:val="center"/>
          </w:tcPr>
          <w:p>
            <w:pPr>
              <w:spacing w:after="20" w:line="240"/>
              <w:jc w:val="center"/>
            </w:pPr>
            <w:r>
              <w:rPr>
                <w:rFonts w:ascii="Consolas" w:cs="Consolas" w:eastAsia="Consolas" w:hAnsi="Consolas"/>
                <w:b/>
                <w:bCs/>
                <w:color w:val="16223C"/>
                <w:sz w:val="13"/>
                <w:szCs w:val="13"/>
              </w:rPr>
              <w:t xml:space="preserve">/compare</w:t>
            </w:r>
          </w:p>
          <w:p>
            <w:pPr>
              <w:spacing w:after="0" w:line="240"/>
              <w:jc w:val="center"/>
            </w:pPr>
            <w:r>
              <w:rPr>
                <w:rFonts w:ascii="Calibri" w:cs="Calibri" w:eastAsia="Calibri" w:hAnsi="Calibri"/>
                <w:b w:val="false"/>
                <w:bCs w:val="false"/>
                <w:color w:val="24303F"/>
                <w:sz w:val="11"/>
                <w:szCs w:val="11"/>
              </w:rPr>
              <w:t xml:space="preserve">competitors &amp; categories</w:t>
            </w:r>
          </w:p>
        </w:tc>
        <w:tc>
          <w:tcPr>
            <w:tcW w:type="dxa" w:w="3000"/>
            <w:gridSpan w:val="1"/>
            <w:tcBorders>
              <w:top w:val="single" w:color="D9DEE8" w:sz="4"/>
              <w:left w:val="single" w:color="D9DEE8" w:sz="4"/>
              <w:bottom w:val="single" w:color="D9DEE8" w:sz="4"/>
              <w:right w:val="single" w:color="D9DEE8" w:sz="4"/>
            </w:tcBorders>
            <w:shd w:fill="EDEFF3" w:color="auto" w:val="clear"/>
            <w:tcMar>
              <w:top w:type="dxa" w:w="90"/>
              <w:left w:type="dxa" w:w="80"/>
              <w:bottom w:type="dxa" w:w="90"/>
              <w:right w:type="dxa" w:w="80"/>
            </w:tcMar>
            <w:vAlign w:val="center"/>
          </w:tcPr>
          <w:p>
            <w:pPr>
              <w:spacing w:after="20" w:line="240"/>
              <w:jc w:val="center"/>
            </w:pPr>
            <w:r>
              <w:rPr>
                <w:rFonts w:ascii="Consolas" w:cs="Consolas" w:eastAsia="Consolas" w:hAnsi="Consolas"/>
                <w:b/>
                <w:bCs/>
                <w:color w:val="16223C"/>
                <w:sz w:val="12"/>
                <w:szCs w:val="12"/>
              </w:rPr>
              <w:t xml:space="preserve">/platform  ·  Resources</w:t>
            </w:r>
          </w:p>
          <w:p>
            <w:pPr>
              <w:spacing w:after="0" w:line="240"/>
              <w:jc w:val="center"/>
            </w:pPr>
            <w:r>
              <w:rPr>
                <w:rFonts w:ascii="Calibri" w:cs="Calibri" w:eastAsia="Calibri" w:hAnsi="Calibri"/>
                <w:b w:val="false"/>
                <w:bCs w:val="false"/>
                <w:color w:val="24303F"/>
                <w:sz w:val="11"/>
                <w:szCs w:val="11"/>
              </w:rPr>
              <w:t xml:space="preserve">capabilities · academy · proof</w:t>
            </w:r>
          </w:p>
        </w:tc>
      </w:tr>
    </w:tbl>
    <w:p>
      <w:pPr>
        <w:spacing w:after="120" w:before="30"/>
        <w:jc w:val="center"/>
      </w:pPr>
      <w:r>
        <w:rPr>
          <w:rFonts w:ascii="Calibri" w:cs="Calibri" w:eastAsia="Calibri" w:hAnsi="Calibri"/>
          <w:i/>
          <w:iCs/>
          <w:color w:val="5A6675"/>
          <w:sz w:val="15"/>
          <w:szCs w:val="15"/>
        </w:rPr>
        <w:t xml:space="preserve">Figure 3. Target hub structure: three product hubs and four cross-cutting hubs.</w:t>
      </w:r>
    </w:p>
    <w:p>
      <w:pPr>
        <w:pBdr>
          <w:bottom w:val="single" w:color="D9DEE8" w:sz="6"/>
        </w:pBdr>
        <w:spacing w:after="110" w:before="110"/>
      </w:pPr>
      <w:r>
        <w:t xml:space="preserve"/>
      </w:r>
    </w:p>
    <w:p>
      <w:pPr>
        <w:spacing w:after="50" w:before="150"/>
      </w:pPr>
      <w:r>
        <w:rPr>
          <w:rFonts w:ascii="Georgia" w:cs="Georgia" w:eastAsia="Georgia" w:hAnsi="Georgia"/>
          <w:b/>
          <w:bCs/>
          <w:color w:val="16223C"/>
          <w:sz w:val="24"/>
          <w:szCs w:val="24"/>
        </w:rPr>
        <w:t xml:space="preserve">8  Prioritisation</w:t>
      </w:r>
    </w:p>
    <w:p>
      <w:pPr>
        <w:spacing w:after="100" w:line="278"/>
      </w:pPr>
      <w:r>
        <w:rPr>
          <w:rFonts w:ascii="Calibri" w:cs="Calibri" w:eastAsia="Calibri" w:hAnsi="Calibri"/>
          <w:i w:val="false"/>
          <w:iCs w:val="false"/>
          <w:color w:val="24303F"/>
          <w:sz w:val="20"/>
          <w:szCs w:val="20"/>
        </w:rPr>
        <w:t xml:space="preserve">Sequenced by structural leverage and by alignment with existing demand.</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600"/>
        <w:gridCol w:w="3600"/>
        <w:gridCol w:w="5160"/>
      </w:tblGrid>
      <w:tr>
        <w:trPr>
          <w:tblHeader/>
        </w:trPr>
        <w:tc>
          <w:tcPr>
            <w:tcW w:type="dxa" w:w="6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w:t>
            </w:r>
          </w:p>
        </w:tc>
        <w:tc>
          <w:tcPr>
            <w:tcW w:type="dxa" w:w="360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Action</w:t>
            </w:r>
          </w:p>
        </w:tc>
        <w:tc>
          <w:tcPr>
            <w:tcW w:type="dxa" w:w="5160"/>
            <w:tcBorders>
              <w:top w:val="single" w:color="D9DEE8" w:sz="4"/>
              <w:left w:val="single" w:color="D9DEE8" w:sz="4"/>
              <w:bottom w:val="single" w:color="D9DEE8" w:sz="4"/>
              <w:right w:val="single" w:color="D9DEE8" w:sz="4"/>
            </w:tcBorders>
            <w:shd w:fill="16223C" w:color="auto" w:val="clear"/>
            <w:tcMar>
              <w:top w:type="dxa" w:w="52"/>
              <w:left w:type="dxa" w:w="90"/>
              <w:bottom w:type="dxa" w:w="52"/>
              <w:right w:type="dxa" w:w="90"/>
            </w:tcMar>
          </w:tcPr>
          <w:p>
            <w:pPr>
              <w:spacing w:after="0" w:line="246"/>
            </w:pPr>
            <w:r>
              <w:rPr>
                <w:rFonts w:ascii="Calibri" w:cs="Calibri" w:eastAsia="Calibri" w:hAnsi="Calibri"/>
                <w:b/>
                <w:bCs/>
                <w:color w:val="FFFFFF"/>
                <w:sz w:val="14"/>
                <w:szCs w:val="14"/>
              </w:rPr>
              <w:t xml:space="preserve">Rationale</w:t>
            </w:r>
          </w:p>
        </w:tc>
      </w:tr>
      <w:tr>
        <w:tc>
          <w:tcPr>
            <w:tcW w:type="dxa" w:w="6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1</w:t>
            </w:r>
          </w:p>
        </w:tc>
        <w:tc>
          <w:tcPr>
            <w:tcW w:type="dxa" w:w="36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Build the compliance and comparison hubs</w:t>
            </w:r>
          </w:p>
        </w:tc>
        <w:tc>
          <w:tcPr>
            <w:tcW w:type="dxa" w:w="51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Both subjects are unhoused; the compliance hub houses a core differentiator, the comparison hub organises the largest existing cluster.</w:t>
            </w:r>
          </w:p>
        </w:tc>
      </w:tr>
      <w:tr>
        <w:tc>
          <w:tcPr>
            <w:tcW w:type="dxa" w:w="6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2</w:t>
            </w:r>
          </w:p>
        </w:tc>
        <w:tc>
          <w:tcPr>
            <w:tcW w:type="dxa" w:w="36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Consolidate the SMB receptionist cluster</w:t>
            </w:r>
          </w:p>
        </w:tc>
        <w:tc>
          <w:tcPr>
            <w:tcW w:type="dxa" w:w="51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Largest demand and the clearest striking-distance opportunity; resolve the vertical-page and blog overlap.</w:t>
            </w:r>
          </w:p>
        </w:tc>
      </w:tr>
      <w:tr>
        <w:tc>
          <w:tcPr>
            <w:tcW w:type="dxa" w:w="6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3</w:t>
            </w:r>
          </w:p>
        </w:tc>
        <w:tc>
          <w:tcPr>
            <w:tcW w:type="dxa" w:w="36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Establish an enterprise hub</w:t>
            </w:r>
          </w:p>
        </w:tc>
        <w:tc>
          <w:tcPr>
            <w:tcW w:type="dxa" w:w="51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Consolidate the solution pages and add the deployment cluster.</w:t>
            </w:r>
          </w:p>
        </w:tc>
      </w:tr>
      <w:tr>
        <w:tc>
          <w:tcPr>
            <w:tcW w:type="dxa" w:w="6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4</w:t>
            </w:r>
          </w:p>
        </w:tc>
        <w:tc>
          <w:tcPr>
            <w:tcW w:type="dxa" w:w="36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Add hubs and consolidate the white-label cluster</w:t>
            </w:r>
          </w:p>
        </w:tc>
        <w:tc>
          <w:tcPr>
            <w:tcW w:type="dxa" w:w="51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Introduce the agency, industry, integrations and partnership hubs; reduce comparison duplication.</w:t>
            </w:r>
          </w:p>
        </w:tc>
      </w:tr>
      <w:tr>
        <w:tc>
          <w:tcPr>
            <w:tcW w:type="dxa" w:w="6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5</w:t>
            </w:r>
          </w:p>
        </w:tc>
        <w:tc>
          <w:tcPr>
            <w:tcW w:type="dxa" w:w="360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Fill content gaps and wire cross-cluster links</w:t>
            </w:r>
          </w:p>
        </w:tc>
        <w:tc>
          <w:tcPr>
            <w:tcW w:type="dxa" w:w="5160"/>
            <w:tcBorders>
              <w:top w:val="single" w:color="D9DEE8" w:sz="4"/>
              <w:left w:val="single" w:color="D9DEE8" w:sz="4"/>
              <w:bottom w:val="single" w:color="D9DEE8" w:sz="4"/>
              <w:right w:val="single" w:color="D9DEE8" w:sz="4"/>
            </w:tcBorders>
            <w:shd w:fill="FFFFFF" w:color="auto" w:val="clear"/>
            <w:tcMar>
              <w:top w:type="dxa" w:w="52"/>
              <w:left w:type="dxa" w:w="90"/>
              <w:bottom w:type="dxa" w:w="52"/>
              <w:right w:type="dxa" w:w="90"/>
            </w:tcMar>
          </w:tcPr>
          <w:p>
            <w:pPr>
              <w:spacing w:after="0" w:line="246"/>
            </w:pPr>
            <w:r>
              <w:rPr>
                <w:rFonts w:ascii="Calibri" w:cs="Calibri" w:eastAsia="Calibri" w:hAnsi="Calibri"/>
                <w:b w:val="false"/>
                <w:bCs w:val="false"/>
                <w:color w:val="24303F"/>
                <w:sz w:val="13"/>
                <w:szCs w:val="13"/>
              </w:rPr>
              <w:t xml:space="preserve">Missing verticals, integrations, educational content and case studies; connect the three product lines.</w:t>
            </w:r>
          </w:p>
        </w:tc>
      </w:tr>
    </w:tbl>
    <w:p>
      <w:pPr>
        <w:pBdr>
          <w:bottom w:val="single" w:color="D9DEE8" w:sz="6"/>
        </w:pBdr>
        <w:spacing w:after="110" w:before="110"/>
      </w:pPr>
      <w:r>
        <w:t xml:space="preserve"/>
      </w:r>
    </w:p>
    <w:p>
      <w:pPr>
        <w:spacing w:after="50" w:before="150"/>
      </w:pPr>
      <w:r>
        <w:rPr>
          <w:rFonts w:ascii="Georgia" w:cs="Georgia" w:eastAsia="Georgia" w:hAnsi="Georgia"/>
          <w:b/>
          <w:bCs/>
          <w:color w:val="16223C"/>
          <w:sz w:val="24"/>
          <w:szCs w:val="24"/>
        </w:rPr>
        <w:t xml:space="preserve">9  Methodology and sources</w:t>
      </w:r>
    </w:p>
    <w:p>
      <w:pPr>
        <w:pStyle w:val="ListParagraph"/>
        <w:numPr>
          <w:ilvl w:val="0"/>
          <w:numId w:val="1"/>
        </w:numPr>
        <w:spacing w:after="44" w:line="270"/>
      </w:pPr>
      <w:r>
        <w:rPr>
          <w:rFonts w:ascii="Calibri" w:cs="Calibri" w:eastAsia="Calibri" w:hAnsi="Calibri"/>
          <w:color w:val="24303F"/>
          <w:sz w:val="19"/>
          <w:szCs w:val="19"/>
        </w:rPr>
        <w:t xml:space="default"/>
      </w:r>
    </w:p>
    <w:p>
      <w:pPr>
        <w:pStyle w:val="ListParagraph"/>
        <w:numPr>
          <w:ilvl w:val="0"/>
          <w:numId w:val="1"/>
        </w:numPr>
        <w:spacing w:after="44" w:line="270"/>
      </w:pPr>
      <w:r>
        <w:rPr>
          <w:rFonts w:ascii="Calibri" w:cs="Calibri" w:eastAsia="Calibri" w:hAnsi="Calibri"/>
          <w:color w:val="24303F"/>
          <w:sz w:val="19"/>
          <w:szCs w:val="19"/>
        </w:rPr>
        <w:t xml:space="default"/>
      </w:r>
    </w:p>
    <w:p>
      <w:pPr>
        <w:pStyle w:val="ListParagraph"/>
        <w:numPr>
          <w:ilvl w:val="0"/>
          <w:numId w:val="1"/>
        </w:numPr>
        <w:spacing w:after="44" w:line="270"/>
      </w:pPr>
      <w:r>
        <w:rPr>
          <w:rFonts w:ascii="Calibri" w:cs="Calibri" w:eastAsia="Calibri" w:hAnsi="Calibri"/>
          <w:color w:val="24303F"/>
          <w:sz w:val="19"/>
          <w:szCs w:val="19"/>
        </w:rPr>
        <w:t xml:space="default"/>
      </w:r>
    </w:p>
    <w:p>
      <w:pPr>
        <w:pStyle w:val="ListParagraph"/>
        <w:numPr>
          <w:ilvl w:val="0"/>
          <w:numId w:val="1"/>
        </w:numPr>
        <w:spacing w:after="44" w:line="270"/>
      </w:pPr>
      <w:r>
        <w:rPr>
          <w:rFonts w:ascii="Calibri" w:cs="Calibri" w:eastAsia="Calibri" w:hAnsi="Calibri"/>
          <w:color w:val="24303F"/>
          <w:sz w:val="19"/>
          <w:szCs w:val="19"/>
        </w:rPr>
        <w:t xml:space="default"/>
      </w:r>
    </w:p>
    <w:p>
      <w:pPr>
        <w:pStyle w:val="ListParagraph"/>
        <w:numPr>
          <w:ilvl w:val="0"/>
          <w:numId w:val="1"/>
        </w:numPr>
        <w:spacing w:after="44" w:line="270"/>
      </w:pPr>
      <w:r>
        <w:rPr>
          <w:rFonts w:ascii="Calibri" w:cs="Calibri" w:eastAsia="Calibri" w:hAnsi="Calibri"/>
          <w:color w:val="24303F"/>
          <w:sz w:val="19"/>
          <w:szCs w:val="19"/>
        </w:rPr>
        <w:t xml:space="defaul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2026-09-16T11:35:16.808Z</dcterms:created>
  <dcterms:modified xsi:type="dcterms:W3CDTF">2026-09-16T11:35:16.808Z</dcterms:modified>
</cp:coreProperties>
</file>

<file path=docProps/custom.xml><?xml version="1.0" encoding="utf-8"?>
<Properties xmlns="http://schemas.openxmlformats.org/officeDocument/2006/custom-properties" xmlns:vt="http://schemas.openxmlformats.org/officeDocument/2006/docPropsVTypes"/>
</file>