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ARTICLE DRAFT · BLOG 1 OF 6</w:t>
      </w:r>
    </w:p>
    <w:p>
      <w:pPr>
        <w:spacing w:after="70"/>
      </w:pPr>
      <w:r>
        <w:rPr>
          <w:rFonts w:ascii="Georgia" w:cs="Georgia" w:eastAsia="Georgia" w:hAnsi="Georgia"/>
          <w:b/>
          <w:bCs/>
          <w:color w:val="16223C"/>
          <w:sz w:val="38"/>
          <w:szCs w:val="38"/>
        </w:rPr>
        <w:t xml:space="preserve">White-Label Partnerships: The Complete 2026 Guide</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/blogs/white-label-partnerships-guide  (evergreen — year in title only)</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White-Label Partnerships: The Complete 2026 Guide  (49)</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How white-label partnerships work in 2026: the models, the margins, how to choose a partner, and the compliance questions most agencies miss.  (141)</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partnerships</w:t>
      </w:r>
    </w:p>
    <w:p>
      <w:pPr>
        <w:spacing w:after="26"/>
      </w:pPr>
      <w:r>
        <w:rPr>
          <w:rFonts w:ascii="Consolas" w:cs="Consolas" w:eastAsia="Consolas" w:hAnsi="Consolas"/>
          <w:b/>
          <w:bCs/>
          <w:color w:val="9A6B3F"/>
          <w:sz w:val="14"/>
          <w:szCs w:val="14"/>
        </w:rPr>
        <w:t xml:space="preserve">SECONDARY   </w:t>
      </w:r>
      <w:r>
        <w:rPr>
          <w:rFonts w:ascii="Calibri" w:cs="Calibri" w:eastAsia="Calibri" w:hAnsi="Calibri"/>
          <w:b w:val="false"/>
          <w:bCs w:val="false"/>
          <w:color w:val="24303F"/>
          <w:sz w:val="17"/>
          <w:szCs w:val="17"/>
        </w:rPr>
        <w:t xml:space="preserve">white label partnership guide · how white label partnerships work · how to choose a white label partner · white label partner program · white label partnership agreement</w:t>
      </w:r>
    </w:p>
    <w:p>
      <w:pPr>
        <w:spacing w:after="26"/>
      </w:pPr>
      <w:r>
        <w:rPr>
          <w:rFonts w:ascii="Consolas" w:cs="Consolas" w:eastAsia="Consolas" w:hAnsi="Consolas"/>
          <w:b/>
          <w:bCs/>
          <w:color w:val="9A6B3F"/>
          <w:sz w:val="14"/>
          <w:szCs w:val="14"/>
        </w:rPr>
        <w:t xml:space="preserve">WORD COUNT   </w:t>
      </w:r>
      <w:r>
        <w:rPr>
          <w:rFonts w:ascii="Calibri" w:cs="Calibri" w:eastAsia="Calibri" w:hAnsi="Calibri"/>
          <w:b w:val="false"/>
          <w:bCs w:val="false"/>
          <w:color w:val="24303F"/>
          <w:sz w:val="17"/>
          <w:szCs w:val="17"/>
        </w:rPr>
        <w:t xml:space="preserve">~2,400 words · reading level: plain business English · voice: Trillet (clipped, Australian spelling, compliance-led)</w:t>
      </w:r>
    </w:p>
    <w:p>
      <w:pPr>
        <w:pBdr>
          <w:bottom w:val="single" w:color="D9DEE8" w:sz="6"/>
        </w:pBdr>
        <w:spacing w:after="120" w:before="120"/>
      </w:pPr>
      <w:r>
        <w:t xml:space="preserve"/>
      </w:r>
    </w:p>
    <w:p>
      <w:pPr>
        <w:spacing w:after="16" w:before="90"/>
      </w:pPr>
      <w:r>
        <w:rPr>
          <w:rFonts w:ascii="Calibri" w:cs="Calibri" w:eastAsia="Calibri" w:hAnsi="Calibri"/>
          <w:b/>
          <w:bCs/>
          <w:color w:val="16223C"/>
          <w:sz w:val="20"/>
          <w:szCs w:val="20"/>
        </w:rPr>
        <w:t xml:space="preserve">Before publishing — confirm these</w:t>
      </w:r>
    </w:p>
    <w:p>
      <w:pPr>
        <w:spacing w:after="50"/>
      </w:pPr>
      <w:r>
        <w:rPr>
          <w:rFonts w:ascii="Consolas" w:cs="Consolas" w:eastAsia="Consolas" w:hAnsi="Consolas"/>
          <w:b/>
          <w:bCs/>
          <w:color w:val="B4442E"/>
          <w:sz w:val="14"/>
          <w:szCs w:val="14"/>
        </w:rPr>
        <w:t xml:space="preserve">⚑ VERIFY  </w:t>
      </w:r>
      <w:r>
        <w:rPr>
          <w:rFonts w:ascii="Calibri" w:cs="Calibri" w:eastAsia="Calibri" w:hAnsi="Calibri"/>
          <w:color w:val="5A6675"/>
          <w:sz w:val="17"/>
          <w:szCs w:val="17"/>
        </w:rPr>
        <w:t xml:space="preserve">Trillet plan pricing is cited inconsistently across the site ($29/$49/$99/$299). This draft uses margin framing and an illustrative reseller price; replace with the canonical /whitelabel/pricing figures before publish.</w:t>
      </w:r>
    </w:p>
    <w:p>
      <w:pPr>
        <w:spacing w:after="50"/>
      </w:pPr>
      <w:r>
        <w:rPr>
          <w:rFonts w:ascii="Consolas" w:cs="Consolas" w:eastAsia="Consolas" w:hAnsi="Consolas"/>
          <w:b/>
          <w:bCs/>
          <w:color w:val="B4442E"/>
          <w:sz w:val="14"/>
          <w:szCs w:val="14"/>
        </w:rPr>
        <w:t xml:space="preserve">⚑ VERIFY  </w:t>
      </w:r>
      <w:r>
        <w:rPr>
          <w:rFonts w:ascii="Calibri" w:cs="Calibri" w:eastAsia="Calibri" w:hAnsi="Calibri"/>
          <w:color w:val="5A6675"/>
          <w:sz w:val="17"/>
          <w:szCs w:val="17"/>
        </w:rPr>
        <w:t xml:space="preserve">Market statistics (share of SaaS offering white-label; B2B distribution share) are marked [stat: source] — attribute to a checkable 2026 source or cut. Do not publish unsourced.</w:t>
      </w:r>
    </w:p>
    <w:p>
      <w:pPr>
        <w:spacing w:after="50"/>
      </w:pPr>
      <w:r>
        <w:rPr>
          <w:rFonts w:ascii="Consolas" w:cs="Consolas" w:eastAsia="Consolas" w:hAnsi="Consolas"/>
          <w:b/>
          <w:bCs/>
          <w:color w:val="B4442E"/>
          <w:sz w:val="14"/>
          <w:szCs w:val="14"/>
        </w:rPr>
        <w:t xml:space="preserve">⚑ VERIFY  </w:t>
      </w:r>
      <w:r>
        <w:rPr>
          <w:rFonts w:ascii="Calibri" w:cs="Calibri" w:eastAsia="Calibri" w:hAnsi="Calibri"/>
          <w:color w:val="5A6675"/>
          <w:sz w:val="17"/>
          <w:szCs w:val="17"/>
        </w:rPr>
        <w:t xml:space="preserve">Confirm current certifications (HIPAA, SOC 2, TCPA, GDPR, ACMA) and the on-premise/Docker claim are still accurate and cleared for public copy.</w:t>
      </w:r>
    </w:p>
    <w:p>
      <w:pPr>
        <w:pBdr>
          <w:bottom w:val="single" w:color="D9DEE8" w:sz="6"/>
        </w:pBdr>
        <w:spacing w:after="120" w:before="120"/>
      </w:pPr>
      <w:r>
        <w:t xml:space="preserve"/>
      </w:r>
    </w:p>
    <w:p>
      <w:pPr>
        <w:spacing w:after="110" w:line="276"/>
      </w:pPr>
      <w:r>
        <w:rPr>
          <w:rFonts w:ascii="Calibri" w:cs="Calibri" w:eastAsia="Calibri" w:hAnsi="Calibri"/>
          <w:b w:val="false"/>
          <w:bCs w:val="false"/>
          <w:i w:val="false"/>
          <w:iCs w:val="false"/>
          <w:color w:val="24303F"/>
          <w:sz w:val="20"/>
          <w:szCs w:val="20"/>
        </w:rPr>
        <w:t xml:space="preserve">A white-label partnership is a business arrangement where one company builds a product and another rebrands it and sells it as its own. The customer sees only the reseller’s brand; the company that built the product stays behind it.</w:t>
      </w:r>
    </w:p>
    <w:p>
      <w:pPr>
        <w:spacing w:after="110" w:line="276"/>
      </w:pPr>
      <w:r>
        <w:rPr>
          <w:rFonts w:ascii="Calibri" w:cs="Calibri" w:eastAsia="Calibri" w:hAnsi="Calibri"/>
          <w:b w:val="false"/>
          <w:bCs w:val="false"/>
          <w:i w:val="false"/>
          <w:iCs w:val="false"/>
          <w:color w:val="24303F"/>
          <w:sz w:val="20"/>
          <w:szCs w:val="20"/>
        </w:rPr>
        <w:t xml:space="preserve">For an agency, that is the fastest way to sell a real software product without building one. You keep the client relationship and most of the margin; your vendor keeps the code running. It has become the default way agencies add AI to their offer — but the model only works if you pick the right partner, and most guides skip the questions that actually decide that.</w:t>
      </w:r>
    </w:p>
    <w:p>
      <w:pPr>
        <w:spacing w:after="110" w:line="276"/>
      </w:pPr>
      <w:r>
        <w:rPr>
          <w:rFonts w:ascii="Calibri" w:cs="Calibri" w:eastAsia="Calibri" w:hAnsi="Calibri"/>
          <w:b w:val="false"/>
          <w:bCs w:val="false"/>
          <w:i w:val="false"/>
          <w:iCs w:val="false"/>
          <w:color w:val="24303F"/>
          <w:sz w:val="20"/>
          <w:szCs w:val="20"/>
        </w:rPr>
        <w:t xml:space="preserve">This guide covers what a white-label partnership is, how the money and the branding work, the four models you can choose between, and a checklist for choosing a partner — including the compliance questions that matter most when the product you are reselling talks to your clients’ customers.</w:t>
      </w:r>
    </w:p>
    <w:p>
      <w:pPr>
        <w:spacing w:after="50" w:before="150"/>
      </w:pPr>
      <w:r>
        <w:rPr>
          <w:rFonts w:ascii="Georgia" w:cs="Georgia" w:eastAsia="Georgia" w:hAnsi="Georgia"/>
          <w:b/>
          <w:bCs/>
          <w:color w:val="16223C"/>
          <w:sz w:val="26"/>
          <w:szCs w:val="26"/>
        </w:rPr>
        <w:t xml:space="preserve">What is a white-label partnership?</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24303F"/>
                <w:sz w:val="20"/>
                <w:szCs w:val="20"/>
              </w:rPr>
              <w:t xml:space="preserve">A white-label partnership lets one company sell another company’s product under its own brand. The vendor develops and maintains the product; the partner rebrands it, sets the price, sells it, and owns the customer. The vendor earns through wholesale or licence fees; the partner keeps the retail margin.</w:t>
            </w:r>
          </w:p>
        </w:tc>
      </w:tr>
    </w:tbl>
    <w:p>
      <w:pPr>
        <w:spacing w:after="110" w:line="276"/>
      </w:pPr>
      <w:r>
        <w:rPr>
          <w:rFonts w:ascii="Calibri" w:cs="Calibri" w:eastAsia="Calibri" w:hAnsi="Calibri"/>
          <w:b w:val="false"/>
          <w:bCs w:val="false"/>
          <w:i w:val="false"/>
          <w:iCs w:val="false"/>
          <w:color w:val="24303F"/>
          <w:sz w:val="20"/>
          <w:szCs w:val="20"/>
        </w:rPr>
        <w:t xml:space="preserve">The term gets used loosely, so it helps to separate it from the arrangements it’s confused with. They differ mainly in how much of the product is yours and who owns the customer.</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2000"/>
        <w:gridCol w:w="4560"/>
        <w:gridCol w:w="2800"/>
      </w:tblGrid>
      <w:tr>
        <w:trPr>
          <w:tblHeader/>
        </w:trPr>
        <w:tc>
          <w:tcPr>
            <w:tcW w:type="dxa" w:w="20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Model</w:t>
            </w:r>
          </w:p>
        </w:tc>
        <w:tc>
          <w:tcPr>
            <w:tcW w:type="dxa" w:w="45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it means</w:t>
            </w:r>
          </w:p>
        </w:tc>
        <w:tc>
          <w:tcPr>
            <w:tcW w:type="dxa" w:w="28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Who owns the customer</w:t>
            </w:r>
          </w:p>
        </w:tc>
      </w:tr>
      <w:tr>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White-label</w:t>
            </w:r>
          </w:p>
        </w:tc>
        <w:tc>
          <w:tcPr>
            <w:tcW w:type="dxa" w:w="45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resell the vendor’s product under your brand, your pricing.</w:t>
            </w:r>
          </w:p>
        </w:tc>
        <w:tc>
          <w:tcPr>
            <w:tcW w:type="dxa" w:w="28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w:t>
            </w:r>
          </w:p>
        </w:tc>
      </w:tr>
      <w:tr>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Reseller</w:t>
            </w:r>
          </w:p>
        </w:tc>
        <w:tc>
          <w:tcPr>
            <w:tcW w:type="dxa" w:w="45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sell the vendor’s product, often under the vendor’s brand, for a commission or margin.</w:t>
            </w:r>
          </w:p>
        </w:tc>
        <w:tc>
          <w:tcPr>
            <w:tcW w:type="dxa" w:w="28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Shared / vendor</w:t>
            </w:r>
          </w:p>
        </w:tc>
      </w:tr>
      <w:tr>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Referral / affiliate</w:t>
            </w:r>
          </w:p>
        </w:tc>
        <w:tc>
          <w:tcPr>
            <w:tcW w:type="dxa" w:w="45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send leads to the vendor and earn a referral fee. No product of your own.</w:t>
            </w:r>
          </w:p>
        </w:tc>
        <w:tc>
          <w:tcPr>
            <w:tcW w:type="dxa" w:w="28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Vendor</w:t>
            </w:r>
          </w:p>
        </w:tc>
      </w:tr>
      <w:tr>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OEM</w:t>
            </w:r>
          </w:p>
        </w:tc>
        <w:tc>
          <w:tcPr>
            <w:tcW w:type="dxa" w:w="45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embed the vendor’s technology inside your own larger product.</w:t>
            </w:r>
          </w:p>
        </w:tc>
        <w:tc>
          <w:tcPr>
            <w:tcW w:type="dxa" w:w="28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w:t>
            </w:r>
          </w:p>
        </w:tc>
      </w:tr>
    </w:tbl>
    <w:p>
      <w:pPr>
        <w:spacing w:after="110" w:line="276"/>
      </w:pPr>
      <w:r>
        <w:rPr>
          <w:rFonts w:ascii="Calibri" w:cs="Calibri" w:eastAsia="Calibri" w:hAnsi="Calibri"/>
          <w:b w:val="false"/>
          <w:bCs w:val="false"/>
          <w:i w:val="false"/>
          <w:iCs w:val="false"/>
          <w:color w:val="24303F"/>
          <w:sz w:val="20"/>
          <w:szCs w:val="20"/>
        </w:rPr>
        <w:t xml:space="preserve">The rest of this guide focuses on white-label and its closest cousin, reselling — the two models agencies use to build recurring revenue.</w:t>
      </w:r>
    </w:p>
    <w:p>
      <w:pPr>
        <w:spacing w:after="50" w:before="150"/>
      </w:pPr>
      <w:r>
        <w:rPr>
          <w:rFonts w:ascii="Georgia" w:cs="Georgia" w:eastAsia="Georgia" w:hAnsi="Georgia"/>
          <w:b/>
          <w:bCs/>
          <w:color w:val="16223C"/>
          <w:sz w:val="26"/>
          <w:szCs w:val="26"/>
        </w:rPr>
        <w:t xml:space="preserve">How a white-label partnership works</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24303F"/>
                <w:sz w:val="20"/>
                <w:szCs w:val="20"/>
              </w:rPr>
              <w:t xml:space="preserve">The vendor builds and runs the product. The partner rebrands it — logo, domain, dashboard — sets its own price, sells it, and handles the client. The vendor charges the partner a wholesale rate or licence fee; the partner keeps the difference as margin.</w:t>
            </w:r>
          </w:p>
        </w:tc>
      </w:tr>
    </w:tbl>
    <w:p>
      <w:pPr>
        <w:spacing w:after="16" w:before="90"/>
      </w:pPr>
      <w:r>
        <w:rPr>
          <w:rFonts w:ascii="Calibri" w:cs="Calibri" w:eastAsia="Calibri" w:hAnsi="Calibri"/>
          <w:b/>
          <w:bCs/>
          <w:color w:val="16223C"/>
          <w:sz w:val="20"/>
          <w:szCs w:val="20"/>
        </w:rPr>
        <w:t xml:space="preserve">The money flow</w:t>
      </w:r>
    </w:p>
    <w:p>
      <w:pPr>
        <w:spacing w:after="110" w:line="276"/>
      </w:pPr>
      <w:r>
        <w:rPr>
          <w:rFonts w:ascii="Calibri" w:cs="Calibri" w:eastAsia="Calibri" w:hAnsi="Calibri"/>
          <w:b w:val="false"/>
          <w:bCs w:val="false"/>
          <w:i w:val="false"/>
          <w:iCs w:val="false"/>
          <w:color w:val="24303F"/>
          <w:sz w:val="20"/>
          <w:szCs w:val="20"/>
        </w:rPr>
        <w:t xml:space="preserve">You pay the vendor a wholesale or per-usage rate. You charge your client a retail price. The gap is your margin, and it recurs every month the client stays. With voice AI, the wholesale side is usually a platform fee plus a per-minute rate; the retail side is whatever your market will bear for an always-on, branded phone agent. A well-run agency holds a healthy recurring margin on each client — see our </w:t>
      </w:r>
      <w:r>
        <w:rPr>
          <w:rFonts w:ascii="Calibri" w:cs="Calibri" w:eastAsia="Calibri" w:hAnsi="Calibri"/>
          <w:b/>
          <w:bCs/>
          <w:i w:val="false"/>
          <w:iCs w:val="false"/>
          <w:color w:val="24303F"/>
          <w:sz w:val="20"/>
          <w:szCs w:val="20"/>
        </w:rPr>
        <w:t xml:space="preserve">white-label profit margins</w:t>
      </w:r>
      <w:r>
        <w:rPr>
          <w:rFonts w:ascii="Calibri" w:cs="Calibri" w:eastAsia="Calibri" w:hAnsi="Calibri"/>
          <w:b w:val="false"/>
          <w:bCs w:val="false"/>
          <w:i w:val="false"/>
          <w:iCs w:val="false"/>
          <w:color w:val="24303F"/>
          <w:sz w:val="20"/>
          <w:szCs w:val="20"/>
        </w:rPr>
        <w:t xml:space="preserve"> breakdown for the real numbers.</w:t>
      </w:r>
    </w:p>
    <w:p>
      <w:pPr>
        <w:spacing w:after="16" w:before="90"/>
      </w:pPr>
      <w:r>
        <w:rPr>
          <w:rFonts w:ascii="Calibri" w:cs="Calibri" w:eastAsia="Calibri" w:hAnsi="Calibri"/>
          <w:b/>
          <w:bCs/>
          <w:color w:val="16223C"/>
          <w:sz w:val="20"/>
          <w:szCs w:val="20"/>
        </w:rPr>
        <w:t xml:space="preserve">How deep the branding goes</w:t>
      </w:r>
    </w:p>
    <w:p>
      <w:pPr>
        <w:spacing w:after="110" w:line="276"/>
      </w:pPr>
      <w:r>
        <w:rPr>
          <w:rFonts w:ascii="Calibri" w:cs="Calibri" w:eastAsia="Calibri" w:hAnsi="Calibri"/>
          <w:b w:val="false"/>
          <w:bCs w:val="false"/>
          <w:i w:val="false"/>
          <w:iCs w:val="false"/>
          <w:color w:val="24303F"/>
          <w:sz w:val="20"/>
          <w:szCs w:val="20"/>
        </w:rPr>
        <w:t xml:space="preserve">‘White-label’ ranges from a logo swap to a full takeover. The strongest partnerships let you run the platform on your own domain, with your own dashboard, colours and billing, so the client never sees the vendor at all. Thinner ones only skin the surface. How deep you can go is one of the first things to check, and it sits in the model comparison below.</w:t>
      </w:r>
    </w:p>
    <w:p>
      <w:pPr>
        <w:spacing w:after="50" w:before="150"/>
      </w:pPr>
      <w:r>
        <w:rPr>
          <w:rFonts w:ascii="Georgia" w:cs="Georgia" w:eastAsia="Georgia" w:hAnsi="Georgia"/>
          <w:b/>
          <w:bCs/>
          <w:color w:val="16223C"/>
          <w:sz w:val="26"/>
          <w:szCs w:val="26"/>
        </w:rPr>
        <w:t xml:space="preserve">Why agencies choose white-label</w:t>
      </w:r>
    </w:p>
    <w:p>
      <w:pPr>
        <w:pStyle w:val="ListParagraph"/>
        <w:numPr>
          <w:ilvl w:val="0"/>
          <w:numId w:val="1"/>
        </w:numPr>
        <w:spacing w:after="50" w:line="270"/>
      </w:pPr>
      <w:r>
        <w:rPr>
          <w:rFonts w:ascii="Calibri" w:cs="Calibri" w:eastAsia="Calibri" w:hAnsi="Calibri"/>
          <w:b/>
          <w:bCs/>
          <w:i w:val="false"/>
          <w:iCs w:val="false"/>
          <w:color w:val="24303F"/>
          <w:sz w:val="20"/>
          <w:szCs w:val="20"/>
        </w:rPr>
        <w:t xml:space="preserve">Speed. </w:t>
      </w:r>
      <w:r>
        <w:rPr>
          <w:rFonts w:ascii="Calibri" w:cs="Calibri" w:eastAsia="Calibri" w:hAnsi="Calibri"/>
          <w:b w:val="false"/>
          <w:bCs w:val="false"/>
          <w:i w:val="false"/>
          <w:iCs w:val="false"/>
          <w:color w:val="24303F"/>
          <w:sz w:val="20"/>
          <w:szCs w:val="20"/>
        </w:rPr>
        <w:t xml:space="preserve">You sell a finished product this month, not after a year of development.</w:t>
      </w:r>
    </w:p>
    <w:p>
      <w:pPr>
        <w:pStyle w:val="ListParagraph"/>
        <w:numPr>
          <w:ilvl w:val="0"/>
          <w:numId w:val="1"/>
        </w:numPr>
        <w:spacing w:after="50" w:line="270"/>
      </w:pPr>
      <w:r>
        <w:rPr>
          <w:rFonts w:ascii="Calibri" w:cs="Calibri" w:eastAsia="Calibri" w:hAnsi="Calibri"/>
          <w:b/>
          <w:bCs/>
          <w:i w:val="false"/>
          <w:iCs w:val="false"/>
          <w:color w:val="24303F"/>
          <w:sz w:val="20"/>
          <w:szCs w:val="20"/>
        </w:rPr>
        <w:t xml:space="preserve">No R&amp;D or maintenance. </w:t>
      </w:r>
      <w:r>
        <w:rPr>
          <w:rFonts w:ascii="Calibri" w:cs="Calibri" w:eastAsia="Calibri" w:hAnsi="Calibri"/>
          <w:b w:val="false"/>
          <w:bCs w:val="false"/>
          <w:i w:val="false"/>
          <w:iCs w:val="false"/>
          <w:color w:val="24303F"/>
          <w:sz w:val="20"/>
          <w:szCs w:val="20"/>
        </w:rPr>
        <w:t xml:space="preserve">The vendor carries the engineering, uptime, and model updates.</w:t>
      </w:r>
    </w:p>
    <w:p>
      <w:pPr>
        <w:pStyle w:val="ListParagraph"/>
        <w:numPr>
          <w:ilvl w:val="0"/>
          <w:numId w:val="1"/>
        </w:numPr>
        <w:spacing w:after="50" w:line="270"/>
      </w:pPr>
      <w:r>
        <w:rPr>
          <w:rFonts w:ascii="Calibri" w:cs="Calibri" w:eastAsia="Calibri" w:hAnsi="Calibri"/>
          <w:b/>
          <w:bCs/>
          <w:i w:val="false"/>
          <w:iCs w:val="false"/>
          <w:color w:val="24303F"/>
          <w:sz w:val="20"/>
          <w:szCs w:val="20"/>
        </w:rPr>
        <w:t xml:space="preserve">Recurring revenue. </w:t>
      </w:r>
      <w:r>
        <w:rPr>
          <w:rFonts w:ascii="Calibri" w:cs="Calibri" w:eastAsia="Calibri" w:hAnsi="Calibri"/>
          <w:b w:val="false"/>
          <w:bCs w:val="false"/>
          <w:i w:val="false"/>
          <w:iCs w:val="false"/>
          <w:color w:val="24303F"/>
          <w:sz w:val="20"/>
          <w:szCs w:val="20"/>
        </w:rPr>
        <w:t xml:space="preserve">Monthly subscriptions compound; the margin recurs for the life of each client.</w:t>
      </w:r>
    </w:p>
    <w:p>
      <w:pPr>
        <w:pStyle w:val="ListParagraph"/>
        <w:numPr>
          <w:ilvl w:val="0"/>
          <w:numId w:val="1"/>
        </w:numPr>
        <w:spacing w:after="50" w:line="270"/>
      </w:pPr>
      <w:r>
        <w:rPr>
          <w:rFonts w:ascii="Calibri" w:cs="Calibri" w:eastAsia="Calibri" w:hAnsi="Calibri"/>
          <w:b/>
          <w:bCs/>
          <w:i w:val="false"/>
          <w:iCs w:val="false"/>
          <w:color w:val="24303F"/>
          <w:sz w:val="20"/>
          <w:szCs w:val="20"/>
        </w:rPr>
        <w:t xml:space="preserve">You own the relationship. </w:t>
      </w:r>
      <w:r>
        <w:rPr>
          <w:rFonts w:ascii="Calibri" w:cs="Calibri" w:eastAsia="Calibri" w:hAnsi="Calibri"/>
          <w:b w:val="false"/>
          <w:bCs w:val="false"/>
          <w:i w:val="false"/>
          <w:iCs w:val="false"/>
          <w:color w:val="24303F"/>
          <w:sz w:val="20"/>
          <w:szCs w:val="20"/>
        </w:rPr>
        <w:t xml:space="preserve">The client is yours — the renewals, the upsells, the trust.</w:t>
      </w:r>
    </w:p>
    <w:p>
      <w:pPr>
        <w:pStyle w:val="ListParagraph"/>
        <w:numPr>
          <w:ilvl w:val="0"/>
          <w:numId w:val="1"/>
        </w:numPr>
        <w:spacing w:after="50" w:line="270"/>
      </w:pPr>
      <w:r>
        <w:rPr>
          <w:rFonts w:ascii="Calibri" w:cs="Calibri" w:eastAsia="Calibri" w:hAnsi="Calibri"/>
          <w:b/>
          <w:bCs/>
          <w:i w:val="false"/>
          <w:iCs w:val="false"/>
          <w:color w:val="24303F"/>
          <w:sz w:val="20"/>
          <w:szCs w:val="20"/>
        </w:rPr>
        <w:t xml:space="preserve">A wider offer. </w:t>
      </w:r>
      <w:r>
        <w:rPr>
          <w:rFonts w:ascii="Calibri" w:cs="Calibri" w:eastAsia="Calibri" w:hAnsi="Calibri"/>
          <w:b w:val="false"/>
          <w:bCs w:val="false"/>
          <w:i w:val="false"/>
          <w:iCs w:val="false"/>
          <w:color w:val="24303F"/>
          <w:sz w:val="20"/>
          <w:szCs w:val="20"/>
        </w:rPr>
        <w:t xml:space="preserve">Adding AI voice keeps you competitive without stretching your team.</w:t>
      </w:r>
    </w:p>
    <w:p>
      <w:pPr>
        <w:spacing w:after="50" w:before="150"/>
      </w:pPr>
      <w:r>
        <w:rPr>
          <w:rFonts w:ascii="Georgia" w:cs="Georgia" w:eastAsia="Georgia" w:hAnsi="Georgia"/>
          <w:b/>
          <w:bCs/>
          <w:color w:val="16223C"/>
          <w:sz w:val="26"/>
          <w:szCs w:val="26"/>
        </w:rPr>
        <w:t xml:space="preserve">The four white-label partnership models compared</w:t>
      </w:r>
    </w:p>
    <w:p>
      <w:pPr>
        <w:spacing w:after="110" w:line="276"/>
      </w:pPr>
      <w:r>
        <w:rPr>
          <w:rFonts w:ascii="Calibri" w:cs="Calibri" w:eastAsia="Calibri" w:hAnsi="Calibri"/>
          <w:b w:val="false"/>
          <w:bCs w:val="false"/>
          <w:i w:val="false"/>
          <w:iCs w:val="false"/>
          <w:color w:val="24303F"/>
          <w:sz w:val="20"/>
          <w:szCs w:val="20"/>
        </w:rPr>
        <w:t xml:space="preserve">Which model fits depends on how much control you want and how much work you’re willing to carry. This is the trade-off in one view.</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2000"/>
        <w:gridCol w:w="1400"/>
        <w:gridCol w:w="1300"/>
        <w:gridCol w:w="2960"/>
      </w:tblGrid>
      <w:tr>
        <w:trPr>
          <w:tblHeader/>
        </w:trPr>
        <w:tc>
          <w:tcPr>
            <w:tcW w:type="dxa" w:w="17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Model</w:t>
            </w:r>
          </w:p>
        </w:tc>
        <w:tc>
          <w:tcPr>
            <w:tcW w:type="dxa" w:w="20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Branding control</w:t>
            </w:r>
          </w:p>
        </w:tc>
        <w:tc>
          <w:tcPr>
            <w:tcW w:type="dxa" w:w="14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Margin</w:t>
            </w:r>
          </w:p>
        </w:tc>
        <w:tc>
          <w:tcPr>
            <w:tcW w:type="dxa" w:w="13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Effort</w:t>
            </w:r>
          </w:p>
        </w:tc>
        <w:tc>
          <w:tcPr>
            <w:tcW w:type="dxa" w:w="29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Best fit</w:t>
            </w:r>
          </w:p>
        </w:tc>
      </w:tr>
      <w:tr>
        <w:tc>
          <w:tcPr>
            <w:tcW w:type="dxa" w:w="17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White-label</w:t>
            </w:r>
          </w:p>
        </w:tc>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Full — your brand</w:t>
            </w:r>
          </w:p>
        </w:tc>
        <w:tc>
          <w:tcPr>
            <w:tcW w:type="dxa" w:w="1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Highest</w:t>
            </w:r>
          </w:p>
        </w:tc>
        <w:tc>
          <w:tcPr>
            <w:tcW w:type="dxa" w:w="13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Higher — you own support &amp; sales</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Agencies building a product line</w:t>
            </w:r>
          </w:p>
        </w:tc>
      </w:tr>
      <w:tr>
        <w:tc>
          <w:tcPr>
            <w:tcW w:type="dxa" w:w="17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Reseller</w:t>
            </w:r>
          </w:p>
        </w:tc>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Partial</w:t>
            </w:r>
          </w:p>
        </w:tc>
        <w:tc>
          <w:tcPr>
            <w:tcW w:type="dxa" w:w="1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Medium</w:t>
            </w:r>
          </w:p>
        </w:tc>
        <w:tc>
          <w:tcPr>
            <w:tcW w:type="dxa" w:w="13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Medium</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Agencies testing a new offer</w:t>
            </w:r>
          </w:p>
        </w:tc>
      </w:tr>
      <w:tr>
        <w:tc>
          <w:tcPr>
            <w:tcW w:type="dxa" w:w="17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Referral</w:t>
            </w:r>
          </w:p>
        </w:tc>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None</w:t>
            </w:r>
          </w:p>
        </w:tc>
        <w:tc>
          <w:tcPr>
            <w:tcW w:type="dxa" w:w="1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Low (commission)</w:t>
            </w:r>
          </w:p>
        </w:tc>
        <w:tc>
          <w:tcPr>
            <w:tcW w:type="dxa" w:w="13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Lowest</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Consultants who advise, not operate</w:t>
            </w:r>
          </w:p>
        </w:tc>
      </w:tr>
      <w:tr>
        <w:tc>
          <w:tcPr>
            <w:tcW w:type="dxa" w:w="17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OEM</w:t>
            </w:r>
          </w:p>
        </w:tc>
        <w:tc>
          <w:tcPr>
            <w:tcW w:type="dxa" w:w="20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Embedded in your product</w:t>
            </w:r>
          </w:p>
        </w:tc>
        <w:tc>
          <w:tcPr>
            <w:tcW w:type="dxa" w:w="1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Varies</w:t>
            </w:r>
          </w:p>
        </w:tc>
        <w:tc>
          <w:tcPr>
            <w:tcW w:type="dxa" w:w="13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Highest — integration work</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Software companies adding a feature</w:t>
            </w:r>
          </w:p>
        </w:tc>
      </w:tr>
    </w:tbl>
    <w:p>
      <w:pPr>
        <w:spacing w:after="50" w:before="150"/>
      </w:pPr>
      <w:r>
        <w:rPr>
          <w:rFonts w:ascii="Georgia" w:cs="Georgia" w:eastAsia="Georgia" w:hAnsi="Georgia"/>
          <w:b/>
          <w:bCs/>
          <w:color w:val="16223C"/>
          <w:sz w:val="26"/>
          <w:szCs w:val="26"/>
        </w:rPr>
        <w:t xml:space="preserve">How to choose a white-label partner</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24303F"/>
                <w:sz w:val="20"/>
                <w:szCs w:val="20"/>
              </w:rPr>
              <w:t xml:space="preserve">Judge a white-label partner on six things: pricing and margin headroom, how deep the branding goes, reliability and uptime, the quality of support and onboarding, the contract terms — and whether the platform keeps a verifiable, compliant record of every customer interaction. The last one is where most agencies get caught out.</w:t>
            </w:r>
          </w:p>
        </w:tc>
      </w:tr>
    </w:tbl>
    <w:p>
      <w:pPr>
        <w:spacing w:after="110" w:line="276"/>
      </w:pPr>
      <w:r>
        <w:rPr>
          <w:rFonts w:ascii="Calibri" w:cs="Calibri" w:eastAsia="Calibri" w:hAnsi="Calibri"/>
          <w:b w:val="false"/>
          <w:bCs w:val="false"/>
          <w:i w:val="false"/>
          <w:iCs w:val="false"/>
          <w:color w:val="24303F"/>
          <w:sz w:val="20"/>
          <w:szCs w:val="20"/>
        </w:rPr>
        <w:t xml:space="preserve">Work through these before you sign. The right-hand column is the answer that should make you walk away.</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2100"/>
        <w:gridCol w:w="4360"/>
        <w:gridCol w:w="2900"/>
      </w:tblGrid>
      <w:tr>
        <w:trPr>
          <w:tblHeader/>
        </w:trPr>
        <w:tc>
          <w:tcPr>
            <w:tcW w:type="dxa" w:w="21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Check</w:t>
            </w:r>
          </w:p>
        </w:tc>
        <w:tc>
          <w:tcPr>
            <w:tcW w:type="dxa" w:w="43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good looks like</w:t>
            </w:r>
          </w:p>
        </w:tc>
        <w:tc>
          <w:tcPr>
            <w:tcW w:type="dxa" w:w="29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Red flag</w:t>
            </w:r>
          </w:p>
        </w:tc>
      </w:tr>
      <w:tr>
        <w:tc>
          <w:tcPr>
            <w:tcW w:type="dxa" w:w="21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Pricing &amp; margin</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Transparent wholesale rate that leaves you a healthy, predictable margin.</w:t>
            </w:r>
          </w:p>
        </w:tc>
        <w:tc>
          <w:tcPr>
            <w:tcW w:type="dxa" w:w="29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Pricing that changes with volume in ways you can’t forecast.</w:t>
            </w:r>
          </w:p>
        </w:tc>
      </w:tr>
      <w:tr>
        <w:tc>
          <w:tcPr>
            <w:tcW w:type="dxa" w:w="21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Branding depth</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Your domain, dashboard, and billing — client never sees the vendor.</w:t>
            </w:r>
          </w:p>
        </w:tc>
        <w:tc>
          <w:tcPr>
            <w:tcW w:type="dxa" w:w="29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Logo-only skin; vendor’s name still shows.</w:t>
            </w:r>
          </w:p>
        </w:tc>
      </w:tr>
      <w:tr>
        <w:tc>
          <w:tcPr>
            <w:tcW w:type="dxa" w:w="21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Reliability</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Published uptime, redundancy, real status history.</w:t>
            </w:r>
          </w:p>
        </w:tc>
        <w:tc>
          <w:tcPr>
            <w:tcW w:type="dxa" w:w="29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No SLA, no status page.</w:t>
            </w:r>
          </w:p>
        </w:tc>
      </w:tr>
      <w:tr>
        <w:tc>
          <w:tcPr>
            <w:tcW w:type="dxa" w:w="21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Support &amp; onboarding</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You’re trained and handed launch-ready assets.</w:t>
            </w:r>
          </w:p>
        </w:tc>
        <w:tc>
          <w:tcPr>
            <w:tcW w:type="dxa" w:w="29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You’re left to work it out alone.</w:t>
            </w:r>
          </w:p>
        </w:tc>
      </w:tr>
      <w:tr>
        <w:tc>
          <w:tcPr>
            <w:tcW w:type="dxa" w:w="21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Contract terms</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Clear term, pricing locks, data ownership, clean exit.</w:t>
            </w:r>
          </w:p>
        </w:tc>
        <w:tc>
          <w:tcPr>
            <w:tcW w:type="dxa" w:w="29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Auto-renewing lock-ins, vendor owns the data.</w:t>
            </w:r>
          </w:p>
        </w:tc>
      </w:tr>
      <w:tr>
        <w:tc>
          <w:tcPr>
            <w:tcW w:type="dxa" w:w="21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Compliance &amp; audit</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Certifications included; a verifiable record of every conversation.</w:t>
            </w:r>
          </w:p>
        </w:tc>
        <w:tc>
          <w:tcPr>
            <w:tcW w:type="dxa" w:w="29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Compliance sold as an add-on, or no audit trail at all.</w:t>
            </w:r>
          </w:p>
        </w:tc>
      </w:tr>
    </w:tbl>
    <w:p>
      <w:pPr>
        <w:spacing w:after="16" w:before="90"/>
      </w:pPr>
      <w:r>
        <w:rPr>
          <w:rFonts w:ascii="Calibri" w:cs="Calibri" w:eastAsia="Calibri" w:hAnsi="Calibri"/>
          <w:b/>
          <w:bCs/>
          <w:color w:val="16223C"/>
          <w:sz w:val="20"/>
          <w:szCs w:val="20"/>
        </w:rPr>
        <w:t xml:space="preserve">The compliance question most agencies miss</w:t>
      </w:r>
    </w:p>
    <w:p>
      <w:pPr>
        <w:spacing w:after="110" w:line="276"/>
      </w:pPr>
      <w:r>
        <w:rPr>
          <w:rFonts w:ascii="Calibri" w:cs="Calibri" w:eastAsia="Calibri" w:hAnsi="Calibri"/>
          <w:b w:val="false"/>
          <w:bCs w:val="false"/>
          <w:i w:val="false"/>
          <w:iCs w:val="false"/>
          <w:color w:val="24303F"/>
          <w:sz w:val="20"/>
          <w:szCs w:val="20"/>
        </w:rPr>
        <w:t xml:space="preserve">When you put your brand on an AI that speaks to your clients’ customers, you inherit the liability for what it says and how it handles their data. If a call is disputed, you need a verifiable record of what was said. If the client is a clinic or a law firm, you need the platform to be compliant by default — not compliant if you pay extra.</w:t>
      </w:r>
    </w:p>
    <w:p>
      <w:pPr>
        <w:spacing w:after="110" w:line="276"/>
      </w:pPr>
      <w:r>
        <w:rPr>
          <w:rFonts w:ascii="Calibri" w:cs="Calibri" w:eastAsia="Calibri" w:hAnsi="Calibri"/>
          <w:b w:val="false"/>
          <w:bCs w:val="false"/>
          <w:i w:val="false"/>
          <w:iCs w:val="false"/>
          <w:color w:val="24303F"/>
          <w:sz w:val="20"/>
          <w:szCs w:val="20"/>
        </w:rPr>
        <w:t xml:space="preserve">This is the one criterion the generic guides leave out, and it’s the one Trillet is built around. Compliance — HIPAA, SOC 2, TCPA, GDPR and ACMA — is included on every plan, not sold as an upgrade, and every conversation leaves an auditable record. For agencies with clients in regulated industries, that’s the difference between a partnership you can defend and one you can’t. See </w:t>
      </w:r>
      <w:r>
        <w:rPr>
          <w:rFonts w:ascii="Calibri" w:cs="Calibri" w:eastAsia="Calibri" w:hAnsi="Calibri"/>
          <w:b/>
          <w:bCs/>
          <w:i w:val="false"/>
          <w:iCs w:val="false"/>
          <w:color w:val="24303F"/>
          <w:sz w:val="20"/>
          <w:szCs w:val="20"/>
        </w:rPr>
        <w:t xml:space="preserve">white-label AI with built-in compliance</w:t>
      </w:r>
      <w:r>
        <w:rPr>
          <w:rFonts w:ascii="Calibri" w:cs="Calibri" w:eastAsia="Calibri" w:hAnsi="Calibri"/>
          <w:b w:val="false"/>
          <w:bCs w:val="false"/>
          <w:i w:val="false"/>
          <w:iCs w:val="false"/>
          <w:color w:val="24303F"/>
          <w:sz w:val="20"/>
          <w:szCs w:val="20"/>
        </w:rPr>
        <w:t xml:space="preserve"> for how it works in practice.</w:t>
      </w:r>
    </w:p>
    <w:p>
      <w:pPr>
        <w:spacing w:after="50" w:before="150"/>
      </w:pPr>
      <w:r>
        <w:rPr>
          <w:rFonts w:ascii="Georgia" w:cs="Georgia" w:eastAsia="Georgia" w:hAnsi="Georgia"/>
          <w:b/>
          <w:bCs/>
          <w:color w:val="16223C"/>
          <w:sz w:val="26"/>
          <w:szCs w:val="26"/>
        </w:rPr>
        <w:t xml:space="preserve">White-label partnership agreements: what to nail down</w:t>
      </w:r>
    </w:p>
    <w:p>
      <w:pPr>
        <w:spacing w:after="110" w:line="276"/>
      </w:pPr>
      <w:r>
        <w:rPr>
          <w:rFonts w:ascii="Calibri" w:cs="Calibri" w:eastAsia="Calibri" w:hAnsi="Calibri"/>
          <w:b w:val="false"/>
          <w:bCs w:val="false"/>
          <w:i w:val="false"/>
          <w:iCs w:val="false"/>
          <w:color w:val="24303F"/>
          <w:sz w:val="20"/>
          <w:szCs w:val="20"/>
        </w:rPr>
        <w:t xml:space="preserve">Treat the agreement as a multi-year commitment, because switching vendors later means re-platforming every client you’ve signed. Before you commit, get these in writing:</w:t>
      </w:r>
    </w:p>
    <w:p>
      <w:pPr>
        <w:pStyle w:val="ListParagraph"/>
        <w:numPr>
          <w:ilvl w:val="0"/>
          <w:numId w:val="1"/>
        </w:numPr>
        <w:spacing w:after="50" w:line="270"/>
      </w:pPr>
      <w:r>
        <w:rPr>
          <w:rFonts w:ascii="Calibri" w:cs="Calibri" w:eastAsia="Calibri" w:hAnsi="Calibri"/>
          <w:b w:val="false"/>
          <w:bCs w:val="false"/>
          <w:i w:val="false"/>
          <w:iCs w:val="false"/>
          <w:color w:val="24303F"/>
          <w:sz w:val="20"/>
          <w:szCs w:val="20"/>
        </w:rPr>
        <w:t xml:space="preserve">Term and pricing locks — </w:t>
      </w:r>
      <w:r>
        <w:rPr>
          <w:rFonts w:ascii="Calibri" w:cs="Calibri" w:eastAsia="Calibri" w:hAnsi="Calibri"/>
          <w:b w:val="false"/>
          <w:bCs w:val="false"/>
          <w:i w:val="false"/>
          <w:iCs w:val="false"/>
          <w:color w:val="24303F"/>
          <w:sz w:val="20"/>
          <w:szCs w:val="20"/>
        </w:rPr>
        <w:t xml:space="preserve">how long, and whether your wholesale rate can move under you.</w:t>
      </w:r>
    </w:p>
    <w:p>
      <w:pPr>
        <w:pStyle w:val="ListParagraph"/>
        <w:numPr>
          <w:ilvl w:val="0"/>
          <w:numId w:val="1"/>
        </w:numPr>
        <w:spacing w:after="50" w:line="270"/>
      </w:pPr>
      <w:r>
        <w:rPr>
          <w:rFonts w:ascii="Calibri" w:cs="Calibri" w:eastAsia="Calibri" w:hAnsi="Calibri"/>
          <w:b w:val="false"/>
          <w:bCs w:val="false"/>
          <w:i w:val="false"/>
          <w:iCs w:val="false"/>
          <w:color w:val="24303F"/>
          <w:sz w:val="20"/>
          <w:szCs w:val="20"/>
        </w:rPr>
        <w:t xml:space="preserve">Data ownership — </w:t>
      </w:r>
      <w:r>
        <w:rPr>
          <w:rFonts w:ascii="Calibri" w:cs="Calibri" w:eastAsia="Calibri" w:hAnsi="Calibri"/>
          <w:b w:val="false"/>
          <w:bCs w:val="false"/>
          <w:i w:val="false"/>
          <w:iCs w:val="false"/>
          <w:color w:val="24303F"/>
          <w:sz w:val="20"/>
          <w:szCs w:val="20"/>
        </w:rPr>
        <w:t xml:space="preserve">your client data is yours, exportable, and not the vendor’s to reuse.</w:t>
      </w:r>
    </w:p>
    <w:p>
      <w:pPr>
        <w:pStyle w:val="ListParagraph"/>
        <w:numPr>
          <w:ilvl w:val="0"/>
          <w:numId w:val="1"/>
        </w:numPr>
        <w:spacing w:after="50" w:line="270"/>
      </w:pPr>
      <w:r>
        <w:rPr>
          <w:rFonts w:ascii="Calibri" w:cs="Calibri" w:eastAsia="Calibri" w:hAnsi="Calibri"/>
          <w:b w:val="false"/>
          <w:bCs w:val="false"/>
          <w:i w:val="false"/>
          <w:iCs w:val="false"/>
          <w:color w:val="24303F"/>
          <w:sz w:val="20"/>
          <w:szCs w:val="20"/>
        </w:rPr>
        <w:t xml:space="preserve">Exit and off-boarding — </w:t>
      </w:r>
      <w:r>
        <w:rPr>
          <w:rFonts w:ascii="Calibri" w:cs="Calibri" w:eastAsia="Calibri" w:hAnsi="Calibri"/>
          <w:b w:val="false"/>
          <w:bCs w:val="false"/>
          <w:i w:val="false"/>
          <w:iCs w:val="false"/>
          <w:color w:val="24303F"/>
          <w:sz w:val="20"/>
          <w:szCs w:val="20"/>
        </w:rPr>
        <w:t xml:space="preserve">how you leave, and what happens to live clients if you do.</w:t>
      </w:r>
    </w:p>
    <w:p>
      <w:pPr>
        <w:pStyle w:val="ListParagraph"/>
        <w:numPr>
          <w:ilvl w:val="0"/>
          <w:numId w:val="1"/>
        </w:numPr>
        <w:spacing w:after="50" w:line="270"/>
      </w:pPr>
      <w:r>
        <w:rPr>
          <w:rFonts w:ascii="Calibri" w:cs="Calibri" w:eastAsia="Calibri" w:hAnsi="Calibri"/>
          <w:b w:val="false"/>
          <w:bCs w:val="false"/>
          <w:i w:val="false"/>
          <w:iCs w:val="false"/>
          <w:color w:val="24303F"/>
          <w:sz w:val="20"/>
          <w:szCs w:val="20"/>
        </w:rPr>
        <w:t xml:space="preserve">Service levels — </w:t>
      </w:r>
      <w:r>
        <w:rPr>
          <w:rFonts w:ascii="Calibri" w:cs="Calibri" w:eastAsia="Calibri" w:hAnsi="Calibri"/>
          <w:b w:val="false"/>
          <w:bCs w:val="false"/>
          <w:i w:val="false"/>
          <w:iCs w:val="false"/>
          <w:color w:val="24303F"/>
          <w:sz w:val="20"/>
          <w:szCs w:val="20"/>
        </w:rPr>
        <w:t xml:space="preserve">uptime commitments and what you’re owed if they’re missed.</w:t>
      </w:r>
    </w:p>
    <w:p>
      <w:pPr>
        <w:spacing w:after="110" w:line="276"/>
      </w:pPr>
      <w:r>
        <w:rPr>
          <w:rFonts w:ascii="Calibri" w:cs="Calibri" w:eastAsia="Calibri" w:hAnsi="Calibri"/>
          <w:b w:val="false"/>
          <w:bCs w:val="false"/>
          <w:i w:val="false"/>
          <w:iCs w:val="false"/>
          <w:color w:val="24303F"/>
          <w:sz w:val="20"/>
          <w:szCs w:val="20"/>
        </w:rPr>
        <w:t xml:space="preserve">This is practical guidance, not legal advice — have any agreement reviewed before you sign.</w:t>
      </w:r>
    </w:p>
    <w:p>
      <w:pPr>
        <w:spacing w:after="50" w:before="150"/>
      </w:pPr>
      <w:r>
        <w:rPr>
          <w:rFonts w:ascii="Georgia" w:cs="Georgia" w:eastAsia="Georgia" w:hAnsi="Georgia"/>
          <w:b/>
          <w:bCs/>
          <w:color w:val="16223C"/>
          <w:sz w:val="26"/>
          <w:szCs w:val="26"/>
        </w:rPr>
        <w:t xml:space="preserve">Where white-label AI partnerships work best</w:t>
      </w:r>
    </w:p>
    <w:p>
      <w:pPr>
        <w:spacing w:after="110" w:line="276"/>
      </w:pPr>
      <w:r>
        <w:rPr>
          <w:rFonts w:ascii="Calibri" w:cs="Calibri" w:eastAsia="Calibri" w:hAnsi="Calibri"/>
          <w:b w:val="false"/>
          <w:bCs w:val="false"/>
          <w:i w:val="false"/>
          <w:iCs w:val="false"/>
          <w:color w:val="24303F"/>
          <w:sz w:val="20"/>
          <w:szCs w:val="20"/>
        </w:rPr>
        <w:t xml:space="preserve">The strongest fit is any business that lives on the phone and loses money when a call is missed — legal intake, medical reception, home services, real estate. These are also the verticals where the compliance and audit-trail requirement is highest, which is where a compliant platform earns its keep. Trillet’s </w:t>
      </w:r>
      <w:r>
        <w:rPr>
          <w:rFonts w:ascii="Calibri" w:cs="Calibri" w:eastAsia="Calibri" w:hAnsi="Calibri"/>
          <w:b/>
          <w:bCs/>
          <w:i w:val="false"/>
          <w:iCs w:val="false"/>
          <w:color w:val="24303F"/>
          <w:sz w:val="20"/>
          <w:szCs w:val="20"/>
        </w:rPr>
        <w:t xml:space="preserve">white-label voice AI platform</w:t>
      </w:r>
      <w:r>
        <w:rPr>
          <w:rFonts w:ascii="Calibri" w:cs="Calibri" w:eastAsia="Calibri" w:hAnsi="Calibri"/>
          <w:b w:val="false"/>
          <w:bCs w:val="false"/>
          <w:i w:val="false"/>
          <w:iCs w:val="false"/>
          <w:color w:val="24303F"/>
          <w:sz w:val="20"/>
          <w:szCs w:val="20"/>
        </w:rPr>
        <w:t xml:space="preserve"> is built for exactly these resale motions.</w:t>
      </w:r>
    </w:p>
    <w:p>
      <w:pPr>
        <w:spacing w:after="50" w:before="150"/>
      </w:pPr>
      <w:r>
        <w:rPr>
          <w:rFonts w:ascii="Georgia" w:cs="Georgia" w:eastAsia="Georgia" w:hAnsi="Georgia"/>
          <w:b/>
          <w:bCs/>
          <w:color w:val="16223C"/>
          <w:sz w:val="26"/>
          <w:szCs w:val="26"/>
        </w:rPr>
        <w:t xml:space="preserve">Getting started with your first white-label partnership</w:t>
      </w:r>
    </w:p>
    <w:p>
      <w:pPr>
        <w:spacing w:after="110" w:line="276"/>
      </w:pPr>
      <w:r>
        <w:rPr>
          <w:rFonts w:ascii="Calibri" w:cs="Calibri" w:eastAsia="Calibri" w:hAnsi="Calibri"/>
          <w:b w:val="false"/>
          <w:bCs w:val="false"/>
          <w:i w:val="false"/>
          <w:iCs w:val="false"/>
          <w:color w:val="24303F"/>
          <w:sz w:val="20"/>
          <w:szCs w:val="20"/>
        </w:rPr>
        <w:t xml:space="preserve">Start narrow. Pick one vertical you already understand, choose a partner that scores well on the six checks above, and sign two or three clients before you scale. Price for a margin you can defend, lead with compliance where your clients are regulated, and keep the onboarding tight.</w:t>
      </w:r>
    </w:p>
    <w:p>
      <w:pPr>
        <w:spacing w:after="110" w:line="276"/>
      </w:pPr>
      <w:r>
        <w:rPr>
          <w:rFonts w:ascii="Calibri" w:cs="Calibri" w:eastAsia="Calibri" w:hAnsi="Calibri"/>
          <w:b w:val="false"/>
          <w:bCs w:val="false"/>
          <w:i w:val="false"/>
          <w:iCs w:val="false"/>
          <w:color w:val="24303F"/>
          <w:sz w:val="20"/>
          <w:szCs w:val="20"/>
        </w:rPr>
        <w:t xml:space="preserve">Trillet runs three partner tracks — reseller, OEM and referral — so you can match the model to how much you want to operate. </w:t>
      </w:r>
      <w:r>
        <w:rPr>
          <w:rFonts w:ascii="Calibri" w:cs="Calibri" w:eastAsia="Calibri" w:hAnsi="Calibri"/>
          <w:b/>
          <w:bCs/>
          <w:i w:val="false"/>
          <w:iCs w:val="false"/>
          <w:color w:val="24303F"/>
          <w:sz w:val="20"/>
          <w:szCs w:val="20"/>
        </w:rPr>
        <w:t xml:space="preserve">Explore the Trillet partner program</w:t>
      </w:r>
      <w:r>
        <w:rPr>
          <w:rFonts w:ascii="Calibri" w:cs="Calibri" w:eastAsia="Calibri" w:hAnsi="Calibri"/>
          <w:b w:val="false"/>
          <w:bCs w:val="false"/>
          <w:i w:val="false"/>
          <w:iCs w:val="false"/>
          <w:color w:val="24303F"/>
          <w:sz w:val="20"/>
          <w:szCs w:val="20"/>
        </w:rPr>
        <w:t xml:space="preserve"> to see the tracks, the margins and what’s included, or compare the </w:t>
      </w:r>
      <w:r>
        <w:rPr>
          <w:rFonts w:ascii="Calibri" w:cs="Calibri" w:eastAsia="Calibri" w:hAnsi="Calibri"/>
          <w:b/>
          <w:bCs/>
          <w:i w:val="false"/>
          <w:iCs w:val="false"/>
          <w:color w:val="24303F"/>
          <w:sz w:val="20"/>
          <w:szCs w:val="20"/>
        </w:rPr>
        <w:t xml:space="preserve">reseller program options</w:t>
      </w:r>
      <w:r>
        <w:rPr>
          <w:rFonts w:ascii="Calibri" w:cs="Calibri" w:eastAsia="Calibri" w:hAnsi="Calibri"/>
          <w:b w:val="false"/>
          <w:bCs w:val="false"/>
          <w:i w:val="false"/>
          <w:iCs w:val="false"/>
          <w:color w:val="24303F"/>
          <w:sz w:val="20"/>
          <w:szCs w:val="20"/>
        </w:rPr>
        <w:t xml:space="preserve"> first.</w:t>
      </w:r>
    </w:p>
    <w:p>
      <w:pPr>
        <w:spacing w:after="50" w:before="150"/>
      </w:pPr>
      <w:r>
        <w:rPr>
          <w:rFonts w:ascii="Georgia" w:cs="Georgia" w:eastAsia="Georgia" w:hAnsi="Georgia"/>
          <w:b/>
          <w:bCs/>
          <w:color w:val="16223C"/>
          <w:sz w:val="26"/>
          <w:szCs w:val="26"/>
        </w:rPr>
        <w:t xml:space="preserve">Frequently asked questions</w:t>
      </w:r>
    </w:p>
    <w:p>
      <w:pPr>
        <w:spacing w:after="16" w:before="90"/>
      </w:pPr>
      <w:r>
        <w:rPr>
          <w:rFonts w:ascii="Calibri" w:cs="Calibri" w:eastAsia="Calibri" w:hAnsi="Calibri"/>
          <w:b/>
          <w:bCs/>
          <w:color w:val="16223C"/>
          <w:sz w:val="20"/>
          <w:szCs w:val="20"/>
        </w:rPr>
        <w:t xml:space="preserve">What is a white-label partnership?</w:t>
      </w:r>
    </w:p>
    <w:p>
      <w:pPr>
        <w:spacing w:after="110" w:line="276"/>
      </w:pPr>
      <w:r>
        <w:rPr>
          <w:rFonts w:ascii="Calibri" w:cs="Calibri" w:eastAsia="Calibri" w:hAnsi="Calibri"/>
          <w:b w:val="false"/>
          <w:bCs w:val="false"/>
          <w:i w:val="false"/>
          <w:iCs w:val="false"/>
          <w:color w:val="24303F"/>
          <w:sz w:val="20"/>
          <w:szCs w:val="20"/>
        </w:rPr>
        <w:t xml:space="preserve">A white-label partnership lets one company sell another’s product under its own brand. The vendor builds and maintains it; the partner rebrands, prices, sells and supports it, and keeps the margin.</w:t>
      </w:r>
    </w:p>
    <w:p>
      <w:pPr>
        <w:spacing w:after="16" w:before="90"/>
      </w:pPr>
      <w:r>
        <w:rPr>
          <w:rFonts w:ascii="Calibri" w:cs="Calibri" w:eastAsia="Calibri" w:hAnsi="Calibri"/>
          <w:b/>
          <w:bCs/>
          <w:color w:val="16223C"/>
          <w:sz w:val="20"/>
          <w:szCs w:val="20"/>
        </w:rPr>
        <w:t xml:space="preserve">What’s the difference between white-label, reseller and OEM?</w:t>
      </w:r>
    </w:p>
    <w:p>
      <w:pPr>
        <w:spacing w:after="110" w:line="276"/>
      </w:pPr>
      <w:r>
        <w:rPr>
          <w:rFonts w:ascii="Calibri" w:cs="Calibri" w:eastAsia="Calibri" w:hAnsi="Calibri"/>
          <w:b w:val="false"/>
          <w:bCs w:val="false"/>
          <w:i w:val="false"/>
          <w:iCs w:val="false"/>
          <w:color w:val="24303F"/>
          <w:sz w:val="20"/>
          <w:szCs w:val="20"/>
        </w:rPr>
        <w:t xml:space="preserve">White-label means you sell the product as fully your own brand. Reselling usually keeps the vendor’s brand for a commission. OEM means you embed the vendor’s technology inside your own larger product.</w:t>
      </w:r>
    </w:p>
    <w:p>
      <w:pPr>
        <w:spacing w:after="16" w:before="90"/>
      </w:pPr>
      <w:r>
        <w:rPr>
          <w:rFonts w:ascii="Calibri" w:cs="Calibri" w:eastAsia="Calibri" w:hAnsi="Calibri"/>
          <w:b/>
          <w:bCs/>
          <w:color w:val="16223C"/>
          <w:sz w:val="20"/>
          <w:szCs w:val="20"/>
        </w:rPr>
        <w:t xml:space="preserve">How much can an agency earn from a white-label AI partnership?</w:t>
      </w:r>
    </w:p>
    <w:p>
      <w:pPr>
        <w:spacing w:after="110" w:line="276"/>
      </w:pPr>
      <w:r>
        <w:rPr>
          <w:rFonts w:ascii="Calibri" w:cs="Calibri" w:eastAsia="Calibri" w:hAnsi="Calibri"/>
          <w:b w:val="false"/>
          <w:bCs w:val="false"/>
          <w:i w:val="false"/>
          <w:iCs w:val="false"/>
          <w:color w:val="24303F"/>
          <w:sz w:val="20"/>
          <w:szCs w:val="20"/>
        </w:rPr>
        <w:t xml:space="preserve">You keep the gap between the vendor’s wholesale rate and your retail price, every month a client stays. Margins are healthy and recurring; the exact figure depends on your pricing and the vendor’s rate.</w:t>
      </w:r>
    </w:p>
    <w:p>
      <w:pPr>
        <w:spacing w:after="16" w:before="90"/>
      </w:pPr>
      <w:r>
        <w:rPr>
          <w:rFonts w:ascii="Calibri" w:cs="Calibri" w:eastAsia="Calibri" w:hAnsi="Calibri"/>
          <w:b/>
          <w:bCs/>
          <w:color w:val="16223C"/>
          <w:sz w:val="20"/>
          <w:szCs w:val="20"/>
        </w:rPr>
        <w:t xml:space="preserve">How do I choose a white-label partner?</w:t>
      </w:r>
    </w:p>
    <w:p>
      <w:pPr>
        <w:spacing w:after="110" w:line="276"/>
      </w:pPr>
      <w:r>
        <w:rPr>
          <w:rFonts w:ascii="Calibri" w:cs="Calibri" w:eastAsia="Calibri" w:hAnsi="Calibri"/>
          <w:b w:val="false"/>
          <w:bCs w:val="false"/>
          <w:i w:val="false"/>
          <w:iCs w:val="false"/>
          <w:color w:val="24303F"/>
          <w:sz w:val="20"/>
          <w:szCs w:val="20"/>
        </w:rPr>
        <w:t xml:space="preserve">Score candidates on pricing and margin, branding depth, reliability, support, contract terms, and compliance with a verifiable audit trail. Weight compliance highest if your clients are in regulated industries.</w:t>
      </w:r>
    </w:p>
    <w:p>
      <w:pPr>
        <w:spacing w:after="16" w:before="90"/>
      </w:pPr>
      <w:r>
        <w:rPr>
          <w:rFonts w:ascii="Calibri" w:cs="Calibri" w:eastAsia="Calibri" w:hAnsi="Calibri"/>
          <w:b/>
          <w:bCs/>
          <w:color w:val="16223C"/>
          <w:sz w:val="20"/>
          <w:szCs w:val="20"/>
        </w:rPr>
        <w:t xml:space="preserve">Do I need a contract for a white-label partnership?</w:t>
      </w:r>
    </w:p>
    <w:p>
      <w:pPr>
        <w:spacing w:after="110" w:line="276"/>
      </w:pPr>
      <w:r>
        <w:rPr>
          <w:rFonts w:ascii="Calibri" w:cs="Calibri" w:eastAsia="Calibri" w:hAnsi="Calibri"/>
          <w:b w:val="false"/>
          <w:bCs w:val="false"/>
          <w:i w:val="false"/>
          <w:iCs w:val="false"/>
          <w:color w:val="24303F"/>
          <w:sz w:val="20"/>
          <w:szCs w:val="20"/>
        </w:rPr>
        <w:t xml:space="preserve">Yes. Nail down term length, pricing locks, data ownership, service levels and a clean exit before you sign, and have it reviewed — you’re committing multiple years of client relationships to it.</w:t>
      </w:r>
    </w:p>
    <w:p>
      <w:pPr>
        <w:spacing w:after="16" w:before="90"/>
      </w:pPr>
      <w:r>
        <w:rPr>
          <w:rFonts w:ascii="Calibri" w:cs="Calibri" w:eastAsia="Calibri" w:hAnsi="Calibri"/>
          <w:b/>
          <w:bCs/>
          <w:color w:val="16223C"/>
          <w:sz w:val="20"/>
          <w:szCs w:val="20"/>
        </w:rPr>
        <w:t xml:space="preserve">Is the AI compliant when I resell it under my brand?</w:t>
      </w:r>
    </w:p>
    <w:p>
      <w:pPr>
        <w:spacing w:after="110" w:line="276"/>
      </w:pPr>
      <w:r>
        <w:rPr>
          <w:rFonts w:ascii="Calibri" w:cs="Calibri" w:eastAsia="Calibri" w:hAnsi="Calibri"/>
          <w:b w:val="false"/>
          <w:bCs w:val="false"/>
          <w:i w:val="false"/>
          <w:iCs w:val="false"/>
          <w:color w:val="24303F"/>
          <w:sz w:val="20"/>
          <w:szCs w:val="20"/>
        </w:rPr>
        <w:t xml:space="preserve">Only if the platform is. With Trillet, HIPAA, SOC 2, TCPA, GDPR and ACMA are included on every plan and every conversation is recorded to an auditable trail, so compliance carries through to your brand.</w:t>
      </w:r>
    </w:p>
    <w:p>
      <w:pPr>
        <w:pBdr>
          <w:bottom w:val="single" w:color="D9DEE8" w:sz="6"/>
        </w:pBdr>
        <w:spacing w:after="120" w:before="120"/>
      </w:pPr>
      <w:r>
        <w:t xml:space="preserve"/>
      </w:r>
    </w:p>
    <w:p>
      <w:pPr>
        <w:spacing w:after="50" w:before="150"/>
      </w:pPr>
      <w:r>
        <w:rPr>
          <w:rFonts w:ascii="Georgia" w:cs="Georgia" w:eastAsia="Georgia" w:hAnsi="Georgia"/>
          <w:b/>
          <w:bCs/>
          <w:color w:val="16223C"/>
          <w:sz w:val="26"/>
          <w:szCs w:val="26"/>
        </w:rPr>
        <w:t xml:space="preserve">Structured data (JSON-LD)</w:t>
      </w:r>
    </w:p>
    <w:p>
      <w:pPr>
        <w:spacing w:after="110" w:line="276"/>
      </w:pPr>
      <w:r>
        <w:rPr>
          <w:rFonts w:ascii="Calibri" w:cs="Calibri" w:eastAsia="Calibri" w:hAnsi="Calibri"/>
          <w:b w:val="false"/>
          <w:bCs w:val="false"/>
          <w:i w:val="false"/>
          <w:iCs w:val="false"/>
          <w:color w:val="5A6675"/>
          <w:sz w:val="17"/>
          <w:szCs w:val="17"/>
        </w:rPr>
        <w:t xml:space="preserve">Place in the page head. Article + FAQPage + BreadcrumbList; reuse the sitewide Organization @id.</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"headline":"White-Label Partnerships: The Complete 2026 Guide",</w:t>
            </w:r>
          </w:p>
          <w:p>
            <w:pPr>
              <w:spacing w:after="0" w:line="230"/>
            </w:pPr>
            <w:r>
              <w:rPr>
                <w:rFonts w:ascii="Consolas" w:cs="Consolas" w:eastAsia="Consolas" w:hAnsi="Consolas"/>
                <w:color w:val="24303F"/>
                <w:sz w:val="13"/>
                <w:szCs w:val="13"/>
              </w:rPr>
              <w:t xml:space="preserve">    "description":"How white-label partnerships work in 2026: models,",</w:t>
            </w:r>
          </w:p>
          <w:p>
            <w:pPr>
              <w:spacing w:after="0" w:line="230"/>
            </w:pPr>
            <w:r>
              <w:rPr>
                <w:rFonts w:ascii="Consolas" w:cs="Consolas" w:eastAsia="Consolas" w:hAnsi="Consolas"/>
                <w:color w:val="24303F"/>
                <w:sz w:val="13"/>
                <w:szCs w:val="13"/>
              </w:rPr>
              <w:t xml:space="preserve">                  "margins, choosing a partner, and compliance.",</w:t>
            </w:r>
          </w:p>
          <w:p>
            <w:pPr>
              <w:spacing w:after="0" w:line="230"/>
            </w:pPr>
            <w:r>
              <w:rPr>
                <w:rFonts w:ascii="Consolas" w:cs="Consolas" w:eastAsia="Consolas" w:hAnsi="Consolas"/>
                <w:color w:val="24303F"/>
                <w:sz w:val="13"/>
                <w:szCs w:val="13"/>
              </w:rPr>
              <w:t xml:space="preserve">    "author":{"@type":"Organization","@id":"https://trillet.ai/#org"},</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"datePublished":"2026-09-14","dateModified":"2026-09-14",</w:t>
            </w:r>
          </w:p>
          <w:p>
            <w:pPr>
              <w:spacing w:after="0" w:line="230"/>
            </w:pPr>
            <w:r>
              <w:rPr>
                <w:rFonts w:ascii="Consolas" w:cs="Consolas" w:eastAsia="Consolas" w:hAnsi="Consolas"/>
                <w:color w:val="24303F"/>
                <w:sz w:val="13"/>
                <w:szCs w:val="13"/>
              </w:rPr>
              <w:t xml:space="preserve">    "mainEntityOfPage":"https://trillet.ai/blogs/white-label-partnerships-guide" },</w:t>
            </w:r>
          </w:p>
          <w:p>
            <w:pPr>
              <w:spacing w:after="0" w:line="230"/>
            </w:pPr>
            <w:r>
              <w:rPr>
                <w:rFonts w:ascii="Consolas" w:cs="Consolas" w:eastAsia="Consolas" w:hAnsi="Consolas"/>
                <w:color w:val="24303F"/>
                <w:sz w:val="13"/>
                <w:szCs w:val="13"/>
              </w:rPr>
              <w:t xml:space="preserve">  { "@type":"FAQPage", "mainEntity":[</w:t>
            </w:r>
          </w:p>
          <w:p>
            <w:pPr>
              <w:spacing w:after="0" w:line="230"/>
            </w:pPr>
            <w:r>
              <w:rPr>
                <w:rFonts w:ascii="Consolas" w:cs="Consolas" w:eastAsia="Consolas" w:hAnsi="Consolas"/>
                <w:color w:val="24303F"/>
                <w:sz w:val="13"/>
                <w:szCs w:val="13"/>
              </w:rPr>
              <w:t xml:space="preserve">    {"@type":"Question","name":"What is a white-label partnership?",</w:t>
            </w:r>
          </w:p>
          <w:p>
            <w:pPr>
              <w:spacing w:after="0" w:line="230"/>
            </w:pPr>
            <w:r>
              <w:rPr>
                <w:rFonts w:ascii="Consolas" w:cs="Consolas" w:eastAsia="Consolas" w:hAnsi="Consolas"/>
                <w:color w:val="24303F"/>
                <w:sz w:val="13"/>
                <w:szCs w:val="13"/>
              </w:rPr>
              <w:t xml:space="preserve">     "acceptedAnswer":{"@type":"Answer","text":"..."}},</w:t>
            </w:r>
          </w:p>
          <w:p>
            <w:pPr>
              <w:spacing w:after="0" w:line="230"/>
            </w:pPr>
            <w:r>
              <w:rPr>
                <w:rFonts w:ascii="Consolas" w:cs="Consolas" w:eastAsia="Consolas" w:hAnsi="Consolas"/>
                <w:color w:val="24303F"/>
                <w:sz w:val="13"/>
                <w:szCs w:val="13"/>
              </w:rPr>
              <w:t xml:space="preserve">    {"@type":"Question","name":"White-label vs reseller vs OEM?",</w:t>
            </w:r>
          </w:p>
          <w:p>
            <w:pPr>
              <w:spacing w:after="0" w:line="230"/>
            </w:pPr>
            <w:r>
              <w:rPr>
                <w:rFonts w:ascii="Consolas" w:cs="Consolas" w:eastAsia="Consolas" w:hAnsi="Consolas"/>
                <w:color w:val="24303F"/>
                <w:sz w:val="13"/>
                <w:szCs w:val="13"/>
              </w:rPr>
              <w:t xml:space="preserve">     "acceptedAnswer":{"@type":"Answer","text":"..."}}</w:t>
            </w:r>
          </w:p>
          <w:p>
            <w:pPr>
              <w:spacing w:after="0" w:line="230"/>
            </w:pPr>
            <w:r>
              <w:rPr>
                <w:rFonts w:ascii="Consolas" w:cs="Consolas" w:eastAsia="Consolas" w:hAnsi="Consolas"/>
                <w:color w:val="24303F"/>
                <w:sz w:val="13"/>
                <w:szCs w:val="13"/>
              </w:rPr>
              <w:t xml:space="preserve">    /* ...remaining Q&amp;As, text matching the on-page FAQ verbatim... */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{"@type":"ListItem","position":3,"name":"White-Label Partnerships Guide"}]}</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2026-09-12T13:17:12.613Z</dcterms:created>
  <dcterms:modified xsi:type="dcterms:W3CDTF">2026-09-12T13:17:12.628Z</dcterms:modified>
</cp:coreProperties>
</file>

<file path=docProps/custom.xml><?xml version="1.0" encoding="utf-8"?>
<Properties xmlns="http://schemas.openxmlformats.org/officeDocument/2006/custom-properties" xmlns:vt="http://schemas.openxmlformats.org/officeDocument/2006/docPropsVTypes"/>
</file>