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52646A"/>
          <w:spacing w:val="20"/>
          <w:sz w:val="17"/>
          <w:szCs w:val="17"/>
        </w:rPr>
        <w:t xml:space="preserve">BLOG OUTLINE  |  POST 01 OF THE CANADA CONTENT PLAN  |  1 OCTOBER 2026</w:t>
      </w:r>
    </w:p>
    <w:p>
      <w:pPr>
        <w:pStyle w:val="Title"/>
      </w:pPr>
      <w:r>
        <w:t xml:space="preserve">Buy Ontario and US supplier restrictions: what hospitals can and can't buy in 2026</w:t>
      </w:r>
    </w:p>
    <w:p>
      <w:pPr>
        <w:spacing w:after="120" w:line="288"/>
      </w:pPr>
      <w:r>
        <w:rPr>
          <w:color w:val="52646A"/>
          <w:sz w:val="22"/>
          <w:szCs w:val="22"/>
        </w:rPr>
        <w:t xml:space="preserve">A comprehensive outline for the first post in the Canada content plan. Facts are taken from the Ontario government's own Procurement Restriction Policy FAQ (updated 30 March 2026) unless another source is named.</w:t>
      </w:r>
    </w:p>
    <w:p>
      <w:pPr>
        <w:pStyle w:val="Heading1"/>
      </w:pPr>
      <w:r>
        <w:t xml:space="preserve">1.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Item</w:t>
            </w:r>
          </w:p>
        </w:tc>
        <w:tc>
          <w:tcPr>
            <w:tcW w:type="dxa" w:w="67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Detail</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Primary reader</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Procurement and supply-chain leads at Ontario hospitals, hospital shared-services organisations and group purchasing organisations</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Secondary readers</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Hospital CIOs and patient-access leads, and vendors selling into Ontario health</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Search intent</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Informational and practical: "does this apply to us, what is in scope, how do we handle renewals and software"</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Job of the post</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Be the clearest plain-English guide to the US restriction as it applies to hospitals, especially for software, cloud and AI purchases</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Target length</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2,400 to 2,900 words, plus FAQ</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Tone</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Neutral, factual, practical. Written for a procurement professional. No sales copy in the body.</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Trillet mention</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One short paragraph in section 11 only, added after gating check 1 (domicile) is confirmed</w:t>
            </w:r>
          </w:p>
        </w:tc>
      </w:tr>
      <w:tr>
        <w:tc>
          <w:tcPr>
            <w:tcW w:type="dxa" w:w="23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Primary CTA</w:t>
            </w:r>
          </w:p>
        </w:tc>
        <w:tc>
          <w:tcPr>
            <w:tcW w:type="dxa" w:w="67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Download the vendor eligibility checklist (post 02). Secondary: follow the dispute timeline (post 03).</w:t>
            </w:r>
          </w:p>
        </w:tc>
      </w:tr>
    </w:tbl>
    <w:p>
      <w:pPr>
        <w:spacing w:after="60"/>
      </w:pPr>
    </w:p>
    <w:p>
      <w:pPr>
        <w:pStyle w:val="Heading2"/>
      </w:pPr>
      <w:r>
        <w:t xml:space="preserve">Search and page details</w:t>
      </w:r>
    </w:p>
    <w:p>
      <w:pPr>
        <w:spacing w:after="70" w:line="276"/>
      </w:pPr>
      <w:r>
        <w:rPr>
          <w:b/>
          <w:bCs/>
          <w:color w:val="52646A"/>
          <w:sz w:val="20"/>
          <w:szCs w:val="20"/>
        </w:rPr>
        <w:t xml:space="preserve">Slug: </w:t>
      </w:r>
      <w:r>
        <w:rPr>
          <w:sz w:val="20"/>
          <w:szCs w:val="20"/>
        </w:rPr>
        <w:t xml:space="preserve">/blogs/buy-ontario-us-supplier-restrictions-hospitals</w:t>
      </w:r>
    </w:p>
    <w:p>
      <w:pPr>
        <w:spacing w:after="70" w:line="276"/>
      </w:pPr>
      <w:r>
        <w:rPr>
          <w:b/>
          <w:bCs/>
          <w:color w:val="52646A"/>
          <w:sz w:val="20"/>
          <w:szCs w:val="20"/>
        </w:rPr>
        <w:t xml:space="preserve">Title tag (under 60 characters): </w:t>
      </w:r>
      <w:r>
        <w:rPr>
          <w:sz w:val="20"/>
          <w:szCs w:val="20"/>
        </w:rPr>
        <w:t xml:space="preserve">Buy Ontario US Supplier Rules for Hospitals (2026 Guide)</w:t>
      </w:r>
    </w:p>
    <w:p>
      <w:pPr>
        <w:spacing w:after="70" w:line="276"/>
      </w:pPr>
      <w:r>
        <w:rPr>
          <w:b/>
          <w:bCs/>
          <w:color w:val="52646A"/>
          <w:sz w:val="20"/>
          <w:szCs w:val="20"/>
        </w:rPr>
        <w:t xml:space="preserve">Meta description (under 155 characters): </w:t>
      </w:r>
      <w:r>
        <w:rPr>
          <w:sz w:val="20"/>
          <w:szCs w:val="20"/>
        </w:rPr>
        <w:t xml:space="preserve">How the Buy Ontario Directive restricts US suppliers in Ontario hospitals: who counts as a US business, the two exceptions, and what it means for software.</w:t>
      </w:r>
    </w:p>
    <w:p>
      <w:pPr>
        <w:spacing w:after="70" w:line="276"/>
      </w:pPr>
      <w:r>
        <w:rPr>
          <w:b/>
          <w:bCs/>
          <w:color w:val="52646A"/>
          <w:sz w:val="20"/>
          <w:szCs w:val="20"/>
        </w:rPr>
        <w:t xml:space="preserve">Primary keyword: </w:t>
      </w:r>
      <w:r>
        <w:rPr>
          <w:sz w:val="20"/>
          <w:szCs w:val="20"/>
        </w:rPr>
        <w:t xml:space="preserve">Buy Ontario procurement directive hospitals</w:t>
      </w:r>
    </w:p>
    <w:p>
      <w:pPr>
        <w:spacing w:after="70" w:line="276"/>
      </w:pPr>
      <w:r>
        <w:rPr>
          <w:b/>
          <w:bCs/>
          <w:color w:val="52646A"/>
          <w:sz w:val="20"/>
          <w:szCs w:val="20"/>
        </w:rPr>
        <w:t xml:space="preserve">Secondary keywords: </w:t>
      </w:r>
      <w:r>
        <w:rPr>
          <w:sz w:val="20"/>
          <w:szCs w:val="20"/>
        </w:rPr>
        <w:t xml:space="preserve">Ontario procurement restriction policy US businesses; Ontario hospital procurement US suppliers; Buy Ontario Act software; US business definition Ontario procurement; 90% Canadian staff exception</w:t>
      </w:r>
    </w:p>
    <w:p>
      <w:pPr>
        <w:spacing w:after="90" w:line="276"/>
        <w:ind w:left="360"/>
      </w:pPr>
      <w:r>
        <w:rPr>
          <w:i/>
          <w:iCs/>
          <w:color w:val="52646A"/>
          <w:sz w:val="19"/>
          <w:szCs w:val="19"/>
        </w:rPr>
        <w:t xml:space="preserve">Search volumes were not measured. Validate the keyword set in a keyword tool before finalising headings.</w:t>
      </w:r>
    </w:p>
    <w:p>
      <w:pPr>
        <w:pStyle w:val="Heading1"/>
      </w:pPr>
      <w:r>
        <w:t xml:space="preserve">2. Article structure</w:t>
      </w:r>
    </w:p>
    <w:p>
      <w:pPr>
        <w:spacing w:after="120" w:line="288"/>
      </w:pPr>
      <w:r>
        <w:t xml:space="preserve">Headings below are the proposed H2s, in reading order. Each lists its target length, its job, the points it must cover and its source.</w:t>
      </w:r>
    </w:p>
    <w:p>
      <w:pPr>
        <w:pStyle w:val="Heading2"/>
      </w:pPr>
      <w:r>
        <w:t xml:space="preserve">H1 and opening (150 to 200 words)</w:t>
      </w:r>
    </w:p>
    <w:p>
      <w:pPr>
        <w:pStyle w:val="ListParagraph"/>
        <w:numPr>
          <w:ilvl w:val="0"/>
          <w:numId w:val="2"/>
        </w:numPr>
        <w:spacing w:after="80" w:line="276"/>
      </w:pPr>
      <w:r>
        <w:t xml:space="preserve">Open with the reader's situation: a renewal, a new software purchase or an RFP is due, and the rules changed twice in 13 months.</w:t>
      </w:r>
    </w:p>
    <w:p>
      <w:pPr>
        <w:pStyle w:val="ListParagraph"/>
        <w:numPr>
          <w:ilvl w:val="0"/>
          <w:numId w:val="2"/>
        </w:numPr>
        <w:spacing w:after="80" w:line="276"/>
      </w:pPr>
      <w:r>
        <w:t xml:space="preserve">Then a </w:t>
      </w:r>
      <w:r>
        <w:rPr>
          <w:b/>
          <w:bCs/>
        </w:rPr>
        <w:t xml:space="preserve">"The short answer" box</w:t>
      </w:r>
      <w:r>
        <w:t xml:space="preserve"> of 4 to 5 lines for skimmers and AI answer engines:</w:t>
      </w:r>
    </w:p>
    <w:p>
      <w:pPr>
        <w:pStyle w:val="ListParagraph"/>
        <w:numPr>
          <w:ilvl w:val="0"/>
          <w:numId w:val="2"/>
        </w:numPr>
        <w:spacing w:after="80" w:line="276"/>
      </w:pPr>
      <w:r>
        <w:t xml:space="preserve">Ontario hospitals must exclude US businesses from all new procurements of goods and services, at any value.</w:t>
      </w:r>
    </w:p>
    <w:p>
      <w:pPr>
        <w:pStyle w:val="ListParagraph"/>
        <w:numPr>
          <w:ilvl w:val="0"/>
          <w:numId w:val="2"/>
        </w:numPr>
        <w:spacing w:after="80" w:line="276"/>
      </w:pPr>
      <w:r>
        <w:t xml:space="preserve">A "US business" has its headquarters or main office in the US and fewer than 250 full-time employees in Canada.</w:t>
      </w:r>
    </w:p>
    <w:p>
      <w:pPr>
        <w:pStyle w:val="ListParagraph"/>
        <w:numPr>
          <w:ilvl w:val="0"/>
          <w:numId w:val="2"/>
        </w:numPr>
        <w:spacing w:after="80" w:line="276"/>
      </w:pPr>
      <w:r>
        <w:t xml:space="preserve">There are two exceptions: an only viable source that cannot be delayed, and services where at least 90% of delivery staff are in Canada.</w:t>
      </w:r>
    </w:p>
    <w:p>
      <w:pPr>
        <w:pStyle w:val="ListParagraph"/>
        <w:numPr>
          <w:ilvl w:val="0"/>
          <w:numId w:val="2"/>
        </w:numPr>
        <w:spacing w:after="80" w:line="276"/>
      </w:pPr>
      <w:r>
        <w:t xml:space="preserve">The rule applies to the vendor signing the contract. Product origin and subcontractors are outside it.</w:t>
      </w:r>
    </w:p>
    <w:p>
      <w:pPr>
        <w:pStyle w:val="ListParagraph"/>
        <w:numPr>
          <w:ilvl w:val="0"/>
          <w:numId w:val="2"/>
        </w:numPr>
        <w:spacing w:after="80" w:line="276"/>
      </w:pPr>
      <w:r>
        <w:t xml:space="preserve">Show a visible "Last updated" date under the title. Add a byline and a one-line disclaimer.</w:t>
      </w:r>
    </w:p>
    <w:p>
      <w:pPr>
        <w:pStyle w:val="Heading2"/>
      </w:pPr>
      <w:r>
        <w:t xml:space="preserve">What changed, and when</w:t>
      </w:r>
    </w:p>
    <w:p>
      <w:pPr>
        <w:spacing w:after="70" w:line="276"/>
      </w:pPr>
      <w:r>
        <w:rPr>
          <w:b/>
          <w:bCs/>
          <w:color w:val="52646A"/>
          <w:sz w:val="20"/>
          <w:szCs w:val="20"/>
        </w:rPr>
        <w:t xml:space="preserve">Target length: </w:t>
      </w:r>
      <w:r>
        <w:rPr>
          <w:sz w:val="20"/>
          <w:szCs w:val="20"/>
        </w:rPr>
        <w:t xml:space="preserve">250 words plus a timeline table</w:t>
      </w:r>
    </w:p>
    <w:p>
      <w:pPr>
        <w:spacing w:after="70" w:line="276"/>
      </w:pPr>
      <w:r>
        <w:rPr>
          <w:b/>
          <w:bCs/>
          <w:color w:val="52646A"/>
          <w:sz w:val="20"/>
          <w:szCs w:val="20"/>
        </w:rPr>
        <w:t xml:space="preserve">Job of this section: </w:t>
      </w:r>
      <w:r>
        <w:rPr>
          <w:sz w:val="20"/>
          <w:szCs w:val="20"/>
        </w:rPr>
        <w:t xml:space="preserve">Give the reader the history in one place, because three dates get confused in coverage.</w:t>
      </w:r>
    </w:p>
    <w:p>
      <w:pPr>
        <w:pStyle w:val="ListParagraph"/>
        <w:numPr>
          <w:ilvl w:val="0"/>
          <w:numId w:val="2"/>
        </w:numPr>
        <w:spacing w:after="80" w:line="276"/>
      </w:pPr>
      <w:r>
        <w:rPr>
          <w:b/>
          <w:bCs/>
        </w:rPr>
        <w:t xml:space="preserve">4 March 2025:</w:t>
      </w:r>
      <w:r>
        <w:t xml:space="preserve"> the Procurement Restriction Policy takes effect for government entities and designated broader public sector (BPS) organisations.</w:t>
      </w:r>
    </w:p>
    <w:p>
      <w:pPr>
        <w:pStyle w:val="ListParagraph"/>
        <w:numPr>
          <w:ilvl w:val="0"/>
          <w:numId w:val="2"/>
        </w:numPr>
        <w:spacing w:after="80" w:line="276"/>
      </w:pPr>
      <w:r>
        <w:rPr>
          <w:b/>
          <w:bCs/>
        </w:rPr>
        <w:t xml:space="preserve">20 November 2025:</w:t>
      </w:r>
      <w:r>
        <w:t xml:space="preserve"> the updated policy takes effect. Procurements posted on or after this date follow the updated rules.</w:t>
      </w:r>
    </w:p>
    <w:p>
      <w:pPr>
        <w:pStyle w:val="ListParagraph"/>
        <w:numPr>
          <w:ilvl w:val="0"/>
          <w:numId w:val="2"/>
        </w:numPr>
        <w:spacing w:after="80" w:line="276"/>
      </w:pPr>
      <w:r>
        <w:rPr>
          <w:b/>
          <w:bCs/>
        </w:rPr>
        <w:t xml:space="preserve">13 April 2026:</w:t>
      </w:r>
      <w:r>
        <w:t xml:space="preserve"> the Buy Ontario Procurement Directive takes effect, issued under the Buy Ontario Act (Public Sector Procurement), 2025. The US restriction now sits in </w:t>
      </w:r>
      <w:r>
        <w:rPr>
          <w:b/>
          <w:bCs/>
        </w:rPr>
        <w:t xml:space="preserve">section 4.3</w:t>
      </w:r>
      <w:r>
        <w:t xml:space="preserve"> of the directive. The requirements themselves are unchanged.</w:t>
      </w:r>
    </w:p>
    <w:p>
      <w:pPr>
        <w:pStyle w:val="ListParagraph"/>
        <w:numPr>
          <w:ilvl w:val="0"/>
          <w:numId w:val="2"/>
        </w:numPr>
        <w:spacing w:after="80" w:line="276"/>
      </w:pPr>
      <w:r>
        <w:t xml:space="preserve">The policy can be rescinded if the US removes tariffs on Canadian products. Mention this neutrally as a planning consideration.</w:t>
      </w:r>
    </w:p>
    <w:p>
      <w:pPr>
        <w:spacing w:after="90" w:line="276"/>
        <w:ind w:left="360"/>
      </w:pPr>
      <w:r>
        <w:rPr>
          <w:i/>
          <w:iCs/>
          <w:color w:val="52646A"/>
          <w:sz w:val="19"/>
          <w:szCs w:val="19"/>
        </w:rPr>
        <w:t xml:space="preserve">Source: Supply Ontario FAQ, questions 1, 4 and 6</w:t>
      </w:r>
    </w:p>
    <w:p>
      <w:pPr>
        <w:pStyle w:val="Heading2"/>
      </w:pPr>
      <w:r>
        <w:t xml:space="preserve">Does it apply to your organisation?</w:t>
      </w:r>
    </w:p>
    <w:p>
      <w:pPr>
        <w:spacing w:after="70" w:line="276"/>
      </w:pPr>
      <w:r>
        <w:rPr>
          <w:b/>
          <w:bCs/>
          <w:color w:val="52646A"/>
          <w:sz w:val="20"/>
          <w:szCs w:val="20"/>
        </w:rPr>
        <w:t xml:space="preserve">Target length: </w:t>
      </w:r>
      <w:r>
        <w:rPr>
          <w:sz w:val="20"/>
          <w:szCs w:val="20"/>
        </w:rPr>
        <w:t xml:space="preserve">200 words plus a bulleted list</w:t>
      </w:r>
    </w:p>
    <w:p>
      <w:pPr>
        <w:spacing w:after="70" w:line="276"/>
      </w:pPr>
      <w:r>
        <w:rPr>
          <w:b/>
          <w:bCs/>
          <w:color w:val="52646A"/>
          <w:sz w:val="20"/>
          <w:szCs w:val="20"/>
        </w:rPr>
        <w:t xml:space="preserve">Job of this section: </w:t>
      </w:r>
      <w:r>
        <w:rPr>
          <w:sz w:val="20"/>
          <w:szCs w:val="20"/>
        </w:rPr>
        <w:t xml:space="preserve">Let the reader self-qualify in seconds.</w:t>
      </w:r>
    </w:p>
    <w:p>
      <w:pPr>
        <w:pStyle w:val="ListParagraph"/>
        <w:numPr>
          <w:ilvl w:val="0"/>
          <w:numId w:val="2"/>
        </w:numPr>
        <w:spacing w:after="80" w:line="276"/>
      </w:pPr>
      <w:r>
        <w:t xml:space="preserve">In scope: all ministries and provincial agencies, OPG and IESO, and designated BPS organisations.</w:t>
      </w:r>
    </w:p>
    <w:p>
      <w:pPr>
        <w:pStyle w:val="ListParagraph"/>
        <w:numPr>
          <w:ilvl w:val="0"/>
          <w:numId w:val="2"/>
        </w:numPr>
        <w:spacing w:after="80" w:line="276"/>
      </w:pPr>
      <w:r>
        <w:t xml:space="preserve">Designated BPS includes </w:t>
      </w:r>
      <w:r>
        <w:rPr>
          <w:b/>
          <w:bCs/>
        </w:rPr>
        <w:t xml:space="preserve">hospitals</w:t>
      </w:r>
      <w:r>
        <w:t xml:space="preserve">, school boards, colleges and universities, children's aid societies, </w:t>
      </w:r>
      <w:r>
        <w:rPr>
          <w:b/>
          <w:bCs/>
        </w:rPr>
        <w:t xml:space="preserve">shared services and group purchasing organisations</w:t>
      </w:r>
      <w:r>
        <w:t xml:space="preserve">, and publicly funded organisations that received $10M or more from the province in the previous fiscal year.</w:t>
      </w:r>
    </w:p>
    <w:p>
      <w:pPr>
        <w:pStyle w:val="ListParagraph"/>
        <w:numPr>
          <w:ilvl w:val="0"/>
          <w:numId w:val="2"/>
        </w:numPr>
        <w:spacing w:after="80" w:line="276"/>
      </w:pPr>
      <w:r>
        <w:t xml:space="preserve">Out of scope: municipalities. They have their own Buy Ontario rules without the US restriction.</w:t>
      </w:r>
    </w:p>
    <w:p>
      <w:pPr>
        <w:pStyle w:val="ListParagraph"/>
        <w:numPr>
          <w:ilvl w:val="0"/>
          <w:numId w:val="2"/>
        </w:numPr>
        <w:spacing w:after="80" w:line="276"/>
      </w:pPr>
      <w:r>
        <w:t xml:space="preserve">Point to subsection 1(1) of the Broader Public Sector Accountability Act, 2010 for the formal definition.</w:t>
      </w:r>
    </w:p>
    <w:p>
      <w:pPr>
        <w:spacing w:after="90" w:line="276"/>
        <w:ind w:left="360"/>
      </w:pPr>
      <w:r>
        <w:rPr>
          <w:i/>
          <w:iCs/>
          <w:color w:val="52646A"/>
          <w:sz w:val="19"/>
          <w:szCs w:val="19"/>
        </w:rPr>
        <w:t xml:space="preserve">Source: Supply Ontario FAQ, questions 5 and 12; Torys on municipal rules</w:t>
      </w:r>
    </w:p>
    <w:p>
      <w:pPr>
        <w:pStyle w:val="Heading2"/>
      </w:pPr>
      <w:r>
        <w:t xml:space="preserve">Who counts as a "US business"</w:t>
      </w:r>
    </w:p>
    <w:p>
      <w:pPr>
        <w:spacing w:after="70" w:line="276"/>
      </w:pPr>
      <w:r>
        <w:rPr>
          <w:b/>
          <w:bCs/>
          <w:color w:val="52646A"/>
          <w:sz w:val="20"/>
          <w:szCs w:val="20"/>
        </w:rPr>
        <w:t xml:space="preserve">Target length: </w:t>
      </w:r>
      <w:r>
        <w:rPr>
          <w:sz w:val="20"/>
          <w:szCs w:val="20"/>
        </w:rPr>
        <w:t xml:space="preserve">350 words plus a scenarios table</w:t>
      </w:r>
    </w:p>
    <w:p>
      <w:pPr>
        <w:spacing w:after="70" w:line="276"/>
      </w:pPr>
      <w:r>
        <w:rPr>
          <w:b/>
          <w:bCs/>
          <w:color w:val="52646A"/>
          <w:sz w:val="20"/>
          <w:szCs w:val="20"/>
        </w:rPr>
        <w:t xml:space="preserve">Job of this section: </w:t>
      </w:r>
      <w:r>
        <w:rPr>
          <w:sz w:val="20"/>
          <w:szCs w:val="20"/>
        </w:rPr>
        <w:t xml:space="preserve">The single most searched question. Make it unambiguous.</w:t>
      </w:r>
    </w:p>
    <w:p>
      <w:pPr>
        <w:pStyle w:val="ListParagraph"/>
        <w:numPr>
          <w:ilvl w:val="0"/>
          <w:numId w:val="2"/>
        </w:numPr>
        <w:spacing w:after="80" w:line="276"/>
      </w:pPr>
      <w:r>
        <w:t xml:space="preserve">The two-part test, word for word: headquarters or main office in the US, </w:t>
      </w:r>
      <w:r>
        <w:rPr>
          <w:b/>
          <w:bCs/>
        </w:rPr>
        <w:t xml:space="preserve">and</w:t>
      </w:r>
      <w:r>
        <w:t xml:space="preserve"> fewer than 250 full-time employees in Canada at the time of the procurement.</w:t>
      </w:r>
    </w:p>
    <w:p>
      <w:pPr>
        <w:pStyle w:val="ListParagraph"/>
        <w:numPr>
          <w:ilvl w:val="0"/>
          <w:numId w:val="2"/>
        </w:numPr>
        <w:spacing w:after="80" w:line="276"/>
      </w:pPr>
      <w:r>
        <w:t xml:space="preserve">Any business structure counts: sole proprietorship, partnership or corporation.</w:t>
      </w:r>
    </w:p>
    <w:p>
      <w:pPr>
        <w:pStyle w:val="ListParagraph"/>
        <w:numPr>
          <w:ilvl w:val="0"/>
          <w:numId w:val="2"/>
        </w:numPr>
        <w:spacing w:after="80" w:line="276"/>
      </w:pPr>
      <w:r>
        <w:rPr>
          <w:b/>
          <w:bCs/>
        </w:rPr>
        <w:t xml:space="preserve">Subsidiaries:</w:t>
      </w:r>
      <w:r>
        <w:t xml:space="preserve"> a Canadian subsidiary is a US business if it is controlled by a US-headquartered corporation and has fewer than 250 employees in Canada.</w:t>
      </w:r>
    </w:p>
    <w:p>
      <w:pPr>
        <w:pStyle w:val="ListParagraph"/>
        <w:numPr>
          <w:ilvl w:val="0"/>
          <w:numId w:val="2"/>
        </w:numPr>
        <w:spacing w:after="80" w:line="276"/>
      </w:pPr>
      <w:r>
        <w:rPr>
          <w:b/>
          <w:bCs/>
        </w:rPr>
        <w:t xml:space="preserve">Control:</w:t>
      </w:r>
      <w:r>
        <w:t xml:space="preserve"> the policy gives no threshold. The FAQ points to the Ontario Business Corporations Act, subsection 1(5): more than 50% of voting securities, sufficient to elect a majority of the board.</w:t>
      </w:r>
    </w:p>
    <w:p>
      <w:pPr>
        <w:pStyle w:val="ListParagraph"/>
        <w:numPr>
          <w:ilvl w:val="0"/>
          <w:numId w:val="2"/>
        </w:numPr>
        <w:spacing w:after="80" w:line="276"/>
      </w:pPr>
      <w:r>
        <w:rPr>
          <w:b/>
          <w:bCs/>
        </w:rPr>
        <w:t xml:space="preserve">Verification:</w:t>
      </w:r>
      <w:r>
        <w:t xml:space="preserve"> buyers can rely on a bidder's written attestation and do not have to verify independently. Sample attestation language is in Supply Ontario's Guide for Users.</w:t>
      </w:r>
    </w:p>
    <w:p>
      <w:pPr>
        <w:pStyle w:val="ListParagraph"/>
        <w:numPr>
          <w:ilvl w:val="0"/>
          <w:numId w:val="2"/>
        </w:numPr>
        <w:spacing w:after="80" w:line="276"/>
      </w:pPr>
      <w:r>
        <w:t xml:space="preserve">Scenarios table (label as illustrative): (a) US software company selling direct; (b) Canadian subsidiary of a US company with 300 Canadian staff; (c) Canadian reseller of a US product; (d) vendor headquartered in Australia or the EU; (e) Canadian start-up majority-owned by a US-headquartered parent. Give the outcome for each.</w:t>
      </w:r>
    </w:p>
    <w:p>
      <w:pPr>
        <w:spacing w:after="90" w:line="276"/>
        <w:ind w:left="360"/>
      </w:pPr>
      <w:r>
        <w:rPr>
          <w:i/>
          <w:iCs/>
          <w:color w:val="52646A"/>
          <w:sz w:val="19"/>
          <w:szCs w:val="19"/>
        </w:rPr>
        <w:t xml:space="preserve">Source: Supply Ontario FAQ, questions 9, 10, 11, 14 and 22</w:t>
      </w:r>
    </w:p>
    <w:p>
      <w:pPr>
        <w:pStyle w:val="Heading2"/>
      </w:pPr>
      <w:r>
        <w:t xml:space="preserve">What purchases are covered</w:t>
      </w:r>
    </w:p>
    <w:p>
      <w:pPr>
        <w:spacing w:after="70" w:line="276"/>
      </w:pPr>
      <w:r>
        <w:rPr>
          <w:b/>
          <w:bCs/>
          <w:color w:val="52646A"/>
          <w:sz w:val="20"/>
          <w:szCs w:val="20"/>
        </w:rPr>
        <w:t xml:space="preserve">Target length: </w:t>
      </w:r>
      <w:r>
        <w:rPr>
          <w:sz w:val="20"/>
          <w:szCs w:val="20"/>
        </w:rPr>
        <w:t xml:space="preserve">250 words</w:t>
      </w:r>
    </w:p>
    <w:p>
      <w:pPr>
        <w:spacing w:after="70" w:line="276"/>
      </w:pPr>
      <w:r>
        <w:rPr>
          <w:b/>
          <w:bCs/>
          <w:color w:val="52646A"/>
          <w:sz w:val="20"/>
          <w:szCs w:val="20"/>
        </w:rPr>
        <w:t xml:space="preserve">Job of this section: </w:t>
      </w:r>
      <w:r>
        <w:rPr>
          <w:sz w:val="20"/>
          <w:szCs w:val="20"/>
        </w:rPr>
        <w:t xml:space="preserve">Correct the common assumption that small or routine purchases are exempt.</w:t>
      </w:r>
    </w:p>
    <w:p>
      <w:pPr>
        <w:pStyle w:val="ListParagraph"/>
        <w:numPr>
          <w:ilvl w:val="0"/>
          <w:numId w:val="2"/>
        </w:numPr>
        <w:spacing w:after="80" w:line="276"/>
      </w:pPr>
      <w:r>
        <w:t xml:space="preserve">All new procurements, </w:t>
      </w:r>
      <w:r>
        <w:rPr>
          <w:b/>
          <w:bCs/>
        </w:rPr>
        <w:t xml:space="preserve">regardless of value</w:t>
      </w:r>
      <w:r>
        <w:t xml:space="preserve"> or method: invitational, open competitive and non-competitive.</w:t>
      </w:r>
    </w:p>
    <w:p>
      <w:pPr>
        <w:pStyle w:val="ListParagraph"/>
        <w:numPr>
          <w:ilvl w:val="0"/>
          <w:numId w:val="2"/>
        </w:numPr>
        <w:spacing w:after="80" w:line="276"/>
      </w:pPr>
      <w:r>
        <w:t xml:space="preserve">Covers day-to-day purchases outside a formal contract, purchases under $5,000, and </w:t>
      </w:r>
      <w:r>
        <w:rPr>
          <w:b/>
          <w:bCs/>
        </w:rPr>
        <w:t xml:space="preserve">annual subscriptions for online services or platforms</w:t>
      </w:r>
      <w:r>
        <w:t xml:space="preserve">.</w:t>
      </w:r>
    </w:p>
    <w:p>
      <w:pPr>
        <w:pStyle w:val="ListParagraph"/>
        <w:numPr>
          <w:ilvl w:val="0"/>
          <w:numId w:val="2"/>
        </w:numPr>
        <w:spacing w:after="80" w:line="276"/>
      </w:pPr>
      <w:r>
        <w:t xml:space="preserve">Net-new contracts with a US vendor you already use are covered.</w:t>
      </w:r>
    </w:p>
    <w:p>
      <w:pPr>
        <w:pStyle w:val="ListParagraph"/>
        <w:numPr>
          <w:ilvl w:val="0"/>
          <w:numId w:val="2"/>
        </w:numPr>
        <w:spacing w:after="80" w:line="276"/>
      </w:pPr>
      <w:r>
        <w:t xml:space="preserve">A contract extension that was not written into the original contract counts as a new non-competitive procurement.</w:t>
      </w:r>
    </w:p>
    <w:p>
      <w:pPr>
        <w:pStyle w:val="ListParagraph"/>
        <w:numPr>
          <w:ilvl w:val="0"/>
          <w:numId w:val="2"/>
        </w:numPr>
        <w:spacing w:after="80" w:line="276"/>
      </w:pPr>
      <w:r>
        <w:t xml:space="preserve">Auto-renewals: out of scope only if the contract was signed before the policy and its terms already allow the amendment.</w:t>
      </w:r>
    </w:p>
    <w:p>
      <w:pPr>
        <w:spacing w:after="90" w:line="276"/>
        <w:ind w:left="360"/>
      </w:pPr>
      <w:r>
        <w:rPr>
          <w:i/>
          <w:iCs/>
          <w:color w:val="52646A"/>
          <w:sz w:val="19"/>
          <w:szCs w:val="19"/>
        </w:rPr>
        <w:t xml:space="preserve">Source: Supply Ontario FAQ, questions 7, 15, 16, 18, 19 and 20</w:t>
      </w:r>
    </w:p>
    <w:p>
      <w:pPr>
        <w:pStyle w:val="Heading2"/>
      </w:pPr>
      <w:r>
        <w:t xml:space="preserve">What is out of scope</w:t>
      </w:r>
    </w:p>
    <w:p>
      <w:pPr>
        <w:spacing w:after="70" w:line="276"/>
      </w:pPr>
      <w:r>
        <w:rPr>
          <w:b/>
          <w:bCs/>
          <w:color w:val="52646A"/>
          <w:sz w:val="20"/>
          <w:szCs w:val="20"/>
        </w:rPr>
        <w:t xml:space="preserve">Target length: </w:t>
      </w:r>
      <w:r>
        <w:rPr>
          <w:sz w:val="20"/>
          <w:szCs w:val="20"/>
        </w:rPr>
        <w:t xml:space="preserve">200 words</w:t>
      </w:r>
    </w:p>
    <w:p>
      <w:pPr>
        <w:spacing w:after="70" w:line="276"/>
      </w:pPr>
      <w:r>
        <w:rPr>
          <w:b/>
          <w:bCs/>
          <w:color w:val="52646A"/>
          <w:sz w:val="20"/>
          <w:szCs w:val="20"/>
        </w:rPr>
        <w:t xml:space="preserve">Job of this section: </w:t>
      </w:r>
      <w:r>
        <w:rPr>
          <w:sz w:val="20"/>
          <w:szCs w:val="20"/>
        </w:rPr>
        <w:t xml:space="preserve">Reassure the reader about existing contracts.</w:t>
      </w:r>
    </w:p>
    <w:p>
      <w:pPr>
        <w:pStyle w:val="ListParagraph"/>
        <w:numPr>
          <w:ilvl w:val="0"/>
          <w:numId w:val="2"/>
        </w:numPr>
        <w:spacing w:after="80" w:line="276"/>
      </w:pPr>
      <w:r>
        <w:t xml:space="preserve">Procurements already issued before the relevant effective date.</w:t>
      </w:r>
    </w:p>
    <w:p>
      <w:pPr>
        <w:pStyle w:val="ListParagraph"/>
        <w:numPr>
          <w:ilvl w:val="0"/>
          <w:numId w:val="2"/>
        </w:numPr>
        <w:spacing w:after="80" w:line="276"/>
      </w:pPr>
      <w:r>
        <w:t xml:space="preserve">Buying through an existing Vendor of Record arrangement, including second-stage selection.</w:t>
      </w:r>
    </w:p>
    <w:p>
      <w:pPr>
        <w:pStyle w:val="ListParagraph"/>
        <w:numPr>
          <w:ilvl w:val="0"/>
          <w:numId w:val="2"/>
        </w:numPr>
        <w:spacing w:after="80" w:line="276"/>
      </w:pPr>
      <w:r>
        <w:t xml:space="preserve">Extension options already written into the original contract.</w:t>
      </w:r>
    </w:p>
    <w:p>
      <w:pPr>
        <w:pStyle w:val="ListParagraph"/>
        <w:numPr>
          <w:ilvl w:val="0"/>
          <w:numId w:val="2"/>
        </w:numPr>
        <w:spacing w:after="80" w:line="276"/>
      </w:pPr>
      <w:r>
        <w:t xml:space="preserve">Urgent and unforeseen situations (emergencies), handled under internal procedures and still documented.</w:t>
      </w:r>
    </w:p>
    <w:p>
      <w:pPr>
        <w:pStyle w:val="ListParagraph"/>
        <w:numPr>
          <w:ilvl w:val="0"/>
          <w:numId w:val="2"/>
        </w:numPr>
        <w:spacing w:after="80" w:line="276"/>
      </w:pPr>
      <w:r>
        <w:t xml:space="preserve">Subcontractors, and the origin of the product. The rule follows the supplier signing the contract.</w:t>
      </w:r>
    </w:p>
    <w:p>
      <w:pPr>
        <w:pStyle w:val="ListParagraph"/>
        <w:numPr>
          <w:ilvl w:val="0"/>
          <w:numId w:val="2"/>
        </w:numPr>
        <w:spacing w:after="80" w:line="276"/>
      </w:pPr>
      <w:r>
        <w:t xml:space="preserve">Existing contracts do not need to be cancelled. The FAQ states there are no exemptions beyond these.</w:t>
      </w:r>
    </w:p>
    <w:p>
      <w:pPr>
        <w:spacing w:after="90" w:line="276"/>
        <w:ind w:left="360"/>
      </w:pPr>
      <w:r>
        <w:rPr>
          <w:i/>
          <w:iCs/>
          <w:color w:val="52646A"/>
          <w:sz w:val="19"/>
          <w:szCs w:val="19"/>
        </w:rPr>
        <w:t xml:space="preserve">Source: Supply Ontario FAQ, questions 8, 13, 17, 23, 33 and 43</w:t>
      </w:r>
    </w:p>
    <w:p>
      <w:pPr>
        <w:pStyle w:val="Heading2"/>
      </w:pPr>
      <w:r>
        <w:t xml:space="preserve">The two exceptions, and how to document them</w:t>
      </w:r>
    </w:p>
    <w:p>
      <w:pPr>
        <w:spacing w:after="70" w:line="276"/>
      </w:pPr>
      <w:r>
        <w:rPr>
          <w:b/>
          <w:bCs/>
          <w:color w:val="52646A"/>
          <w:sz w:val="20"/>
          <w:szCs w:val="20"/>
        </w:rPr>
        <w:t xml:space="preserve">Target length: </w:t>
      </w:r>
      <w:r>
        <w:rPr>
          <w:sz w:val="20"/>
          <w:szCs w:val="20"/>
        </w:rPr>
        <w:t xml:space="preserve">400 words</w:t>
      </w:r>
    </w:p>
    <w:p>
      <w:pPr>
        <w:spacing w:after="70" w:line="276"/>
      </w:pPr>
      <w:r>
        <w:rPr>
          <w:b/>
          <w:bCs/>
          <w:color w:val="52646A"/>
          <w:sz w:val="20"/>
          <w:szCs w:val="20"/>
        </w:rPr>
        <w:t xml:space="preserve">Job of this section: </w:t>
      </w:r>
      <w:r>
        <w:rPr>
          <w:sz w:val="20"/>
          <w:szCs w:val="20"/>
        </w:rPr>
        <w:t xml:space="preserve">Explain exactly when a US vendor can still be used, and what the paper trail looks like.</w:t>
      </w:r>
    </w:p>
    <w:p>
      <w:pPr>
        <w:pStyle w:val="ListParagraph"/>
        <w:numPr>
          <w:ilvl w:val="0"/>
          <w:numId w:val="2"/>
        </w:numPr>
        <w:spacing w:after="80" w:line="276"/>
      </w:pPr>
      <w:r>
        <w:rPr>
          <w:b/>
          <w:bCs/>
        </w:rPr>
        <w:t xml:space="preserve">Exception 1: only viable source, and the procurement cannot be delayed.</w:t>
      </w:r>
      <w:r>
        <w:t xml:space="preserve"> Both conditions must hold. List the FAQ's examples: unique skills or technology, exclusive rights or patents, sole availability, confidentiality, health and safety, insufficient suppliers, and demonstrated superior outcomes for health, safety or quality of life.</w:t>
      </w:r>
    </w:p>
    <w:p>
      <w:pPr>
        <w:pStyle w:val="ListParagraph"/>
        <w:numPr>
          <w:ilvl w:val="0"/>
          <w:numId w:val="2"/>
        </w:numPr>
        <w:spacing w:after="80" w:line="276"/>
      </w:pPr>
      <w:r>
        <w:t xml:space="preserve">Tests for "cannot be delayed": service continuity, health or safety, immediate need.</w:t>
      </w:r>
    </w:p>
    <w:p>
      <w:pPr>
        <w:pStyle w:val="ListParagraph"/>
        <w:numPr>
          <w:ilvl w:val="0"/>
          <w:numId w:val="2"/>
        </w:numPr>
        <w:spacing w:after="80" w:line="276"/>
      </w:pPr>
      <w:r>
        <w:rPr>
          <w:b/>
          <w:bCs/>
        </w:rPr>
        <w:t xml:space="preserve">Exception 2: services with at least 90% of required staff in Canada.</w:t>
      </w:r>
      <w:r>
        <w:t xml:space="preserve"> "Required staff" includes employees and contractors performing the services. Location means physical location. Falling below 90% after award may be a breach of contract.</w:t>
      </w:r>
    </w:p>
    <w:p>
      <w:pPr>
        <w:pStyle w:val="ListParagraph"/>
        <w:numPr>
          <w:ilvl w:val="0"/>
          <w:numId w:val="2"/>
        </w:numPr>
        <w:spacing w:after="80" w:line="276"/>
      </w:pPr>
      <w:r>
        <w:t xml:space="preserve">Verification: a self-declaration at bid time, optionally backed by a staffing list showing each role and its location.</w:t>
      </w:r>
    </w:p>
    <w:p>
      <w:pPr>
        <w:pStyle w:val="ListParagraph"/>
        <w:numPr>
          <w:ilvl w:val="0"/>
          <w:numId w:val="2"/>
        </w:numPr>
        <w:spacing w:after="80" w:line="276"/>
      </w:pPr>
      <w:r>
        <w:rPr>
          <w:b/>
          <w:bCs/>
        </w:rPr>
        <w:t xml:space="preserve">Documentation:</w:t>
      </w:r>
      <w:r>
        <w:t xml:space="preserve"> a business case covering justification, due diligence, market research, risk assessment and consultation. BPS organisations can use existing internal approval levels. Approvals for low-risk purchases can be grouped.</w:t>
      </w:r>
    </w:p>
    <w:p>
      <w:pPr>
        <w:pStyle w:val="ListParagraph"/>
        <w:numPr>
          <w:ilvl w:val="0"/>
          <w:numId w:val="2"/>
        </w:numPr>
        <w:spacing w:after="80" w:line="276"/>
      </w:pPr>
      <w:r>
        <w:rPr>
          <w:b/>
          <w:bCs/>
        </w:rPr>
        <w:t xml:space="preserve">Reporting:</w:t>
      </w:r>
      <w:r>
        <w:t xml:space="preserve"> buyers must keep records of whether each procurement was with a US business, and report exception requests and outcomes weekly to Supply Ontario.</w:t>
      </w:r>
    </w:p>
    <w:p>
      <w:pPr>
        <w:pStyle w:val="ListParagraph"/>
        <w:numPr>
          <w:ilvl w:val="0"/>
          <w:numId w:val="2"/>
        </w:numPr>
        <w:spacing w:after="80" w:line="276"/>
      </w:pPr>
      <w:r>
        <w:t xml:space="preserve">Mention the Procurement Rationale Report Form for consulting Supply Ontario.</w:t>
      </w:r>
    </w:p>
    <w:p>
      <w:pPr>
        <w:spacing w:after="90" w:line="276"/>
        <w:ind w:left="360"/>
      </w:pPr>
      <w:r>
        <w:rPr>
          <w:i/>
          <w:iCs/>
          <w:color w:val="52646A"/>
          <w:sz w:val="19"/>
          <w:szCs w:val="19"/>
        </w:rPr>
        <w:t xml:space="preserve">Source: Supply Ontario FAQ, questions 25 to 32, 35 to 37 and 51</w:t>
      </w:r>
    </w:p>
    <w:p>
      <w:pPr>
        <w:pStyle w:val="Heading2"/>
      </w:pPr>
      <w:r>
        <w:t xml:space="preserve">What it means for software, cloud and AI tools</w:t>
      </w:r>
    </w:p>
    <w:p>
      <w:pPr>
        <w:spacing w:after="70" w:line="276"/>
      </w:pPr>
      <w:r>
        <w:rPr>
          <w:b/>
          <w:bCs/>
          <w:color w:val="52646A"/>
          <w:sz w:val="20"/>
          <w:szCs w:val="20"/>
        </w:rPr>
        <w:t xml:space="preserve">Target length: </w:t>
      </w:r>
      <w:r>
        <w:rPr>
          <w:sz w:val="20"/>
          <w:szCs w:val="20"/>
        </w:rPr>
        <w:t xml:space="preserve">450 words</w:t>
      </w:r>
    </w:p>
    <w:p>
      <w:pPr>
        <w:spacing w:after="70" w:line="276"/>
      </w:pPr>
      <w:r>
        <w:rPr>
          <w:b/>
          <w:bCs/>
          <w:color w:val="52646A"/>
          <w:sz w:val="20"/>
          <w:szCs w:val="20"/>
        </w:rPr>
        <w:t xml:space="preserve">Job of this section: </w:t>
      </w:r>
      <w:r>
        <w:rPr>
          <w:sz w:val="20"/>
          <w:szCs w:val="20"/>
        </w:rPr>
        <w:t xml:space="preserve">The differentiating section. Most coverage stops before this point.</w:t>
      </w:r>
    </w:p>
    <w:p>
      <w:pPr>
        <w:pStyle w:val="ListParagraph"/>
        <w:numPr>
          <w:ilvl w:val="0"/>
          <w:numId w:val="2"/>
        </w:numPr>
        <w:spacing w:after="80" w:line="276"/>
      </w:pPr>
      <w:r>
        <w:t xml:space="preserve">Online subscriptions and platforms are explicitly in scope, so SaaS renewals and new AI tools need checking.</w:t>
      </w:r>
    </w:p>
    <w:p>
      <w:pPr>
        <w:pStyle w:val="ListParagraph"/>
        <w:numPr>
          <w:ilvl w:val="0"/>
          <w:numId w:val="2"/>
        </w:numPr>
        <w:spacing w:after="80" w:line="276"/>
      </w:pPr>
      <w:r>
        <w:t xml:space="preserve">The restriction attaches to the </w:t>
      </w:r>
      <w:r>
        <w:rPr>
          <w:b/>
          <w:bCs/>
        </w:rPr>
        <w:t xml:space="preserve">contracting supplier</w:t>
      </w:r>
      <w:r>
        <w:t xml:space="preserve">. A non-US reseller can supply a US-made product. State this plainly, since it is the most practical route many teams will use.</w:t>
      </w:r>
    </w:p>
    <w:p>
      <w:pPr>
        <w:pStyle w:val="ListParagraph"/>
        <w:numPr>
          <w:ilvl w:val="0"/>
          <w:numId w:val="2"/>
        </w:numPr>
        <w:spacing w:after="80" w:line="276"/>
      </w:pPr>
      <w:r>
        <w:t xml:space="preserve">Sub-processors and hosting providers are subcontractors, so they sit outside this policy. They still matter for </w:t>
      </w:r>
      <w:r>
        <w:rPr>
          <w:b/>
          <w:bCs/>
        </w:rPr>
        <w:t xml:space="preserve">PHIPA</w:t>
      </w:r>
      <w:r>
        <w:t xml:space="preserve">, privacy impact assessments and data residency, which are separate obligations. Link to post 05 when it exists.</w:t>
      </w:r>
    </w:p>
    <w:p>
      <w:pPr>
        <w:pStyle w:val="ListParagraph"/>
        <w:numPr>
          <w:ilvl w:val="0"/>
          <w:numId w:val="2"/>
        </w:numPr>
        <w:spacing w:after="80" w:line="276"/>
      </w:pPr>
      <w:r>
        <w:t xml:space="preserve">The 90% staffing exception is harder to apply to software, where delivery staff can be spread across support, engineering and hosting. Advise asking vendors to define "required staff" for the contract in writing.</w:t>
      </w:r>
    </w:p>
    <w:p>
      <w:pPr>
        <w:pStyle w:val="ListParagraph"/>
        <w:numPr>
          <w:ilvl w:val="0"/>
          <w:numId w:val="2"/>
        </w:numPr>
        <w:spacing w:after="80" w:line="276"/>
      </w:pPr>
      <w:r>
        <w:t xml:space="preserve">Renewal calendar: list SaaS, telephony, contact-centre and AI contracts with renewal or extension dates, and flag which ones lack written extension options.</w:t>
      </w:r>
    </w:p>
    <w:p>
      <w:pPr>
        <w:pStyle w:val="ListParagraph"/>
        <w:numPr>
          <w:ilvl w:val="0"/>
          <w:numId w:val="2"/>
        </w:numPr>
        <w:spacing w:after="80" w:line="276"/>
      </w:pPr>
      <w:r>
        <w:t xml:space="preserve">Worked example for hospitals: a patient-access phone line or appointment-reminder service. Walk through the questions a buyer asks.</w:t>
      </w:r>
    </w:p>
    <w:p>
      <w:pPr>
        <w:spacing w:after="90" w:line="276"/>
        <w:ind w:left="360"/>
      </w:pPr>
      <w:r>
        <w:rPr>
          <w:i/>
          <w:iCs/>
          <w:color w:val="52646A"/>
          <w:sz w:val="19"/>
          <w:szCs w:val="19"/>
        </w:rPr>
        <w:t xml:space="preserve">Source: Supply Ontario FAQ, questions 13, 14, 18 and 23</w:t>
      </w:r>
    </w:p>
    <w:p>
      <w:pPr>
        <w:pStyle w:val="Heading2"/>
      </w:pPr>
      <w:r>
        <w:t xml:space="preserve">Beyond the US restriction: Ontario and Canadian preferences</w:t>
      </w:r>
    </w:p>
    <w:p>
      <w:pPr>
        <w:spacing w:after="70" w:line="276"/>
      </w:pPr>
      <w:r>
        <w:rPr>
          <w:b/>
          <w:bCs/>
          <w:color w:val="52646A"/>
          <w:sz w:val="20"/>
          <w:szCs w:val="20"/>
        </w:rPr>
        <w:t xml:space="preserve">Target length: </w:t>
      </w:r>
      <w:r>
        <w:rPr>
          <w:sz w:val="20"/>
          <w:szCs w:val="20"/>
        </w:rPr>
        <w:t xml:space="preserve">300 words plus a thresholds table</w:t>
      </w:r>
    </w:p>
    <w:p>
      <w:pPr>
        <w:spacing w:after="70" w:line="276"/>
      </w:pPr>
      <w:r>
        <w:rPr>
          <w:b/>
          <w:bCs/>
          <w:color w:val="52646A"/>
          <w:sz w:val="20"/>
          <w:szCs w:val="20"/>
        </w:rPr>
        <w:t xml:space="preserve">Job of this section: </w:t>
      </w:r>
      <w:r>
        <w:rPr>
          <w:sz w:val="20"/>
          <w:szCs w:val="20"/>
        </w:rPr>
        <w:t xml:space="preserve">Show that the directive also ranks eligible suppliers, so the reader sees the whole picture.</w:t>
      </w:r>
    </w:p>
    <w:p>
      <w:pPr>
        <w:pStyle w:val="ListParagraph"/>
        <w:numPr>
          <w:ilvl w:val="0"/>
          <w:numId w:val="2"/>
        </w:numPr>
        <w:spacing w:after="80" w:line="276"/>
      </w:pPr>
      <w:r>
        <w:t xml:space="preserve">The Building Ontario Businesses Initiative (BOBI) sets tiered preferences. Thresholds for BPS entities: </w:t>
      </w:r>
      <w:r>
        <w:rPr>
          <w:b/>
          <w:bCs/>
        </w:rPr>
        <w:t xml:space="preserve">below $139,000</w:t>
      </w:r>
      <w:r>
        <w:t xml:space="preserve">, preference for Ontario businesses; </w:t>
      </w:r>
      <w:r>
        <w:rPr>
          <w:b/>
          <w:bCs/>
        </w:rPr>
        <w:t xml:space="preserve">$139,000 to $368,000</w:t>
      </w:r>
      <w:r>
        <w:t xml:space="preserve">, preference for Canadian businesses; </w:t>
      </w:r>
      <w:r>
        <w:rPr>
          <w:b/>
          <w:bCs/>
        </w:rPr>
        <w:t xml:space="preserve">$368,000 and above</w:t>
      </w:r>
      <w:r>
        <w:t xml:space="preserve">, preference for businesses of Ontario's trading partners, with weighted domestic criteria.</w:t>
      </w:r>
    </w:p>
    <w:p>
      <w:pPr>
        <w:pStyle w:val="ListParagraph"/>
        <w:numPr>
          <w:ilvl w:val="0"/>
          <w:numId w:val="2"/>
        </w:numPr>
        <w:spacing w:after="80" w:line="276"/>
      </w:pPr>
      <w:r>
        <w:t xml:space="preserve">An Ontario business: permanent activities in Ontario, and headquarters in Ontario or at least 250 full-time staff there. A Canadian business uses the same test across Canada.</w:t>
      </w:r>
    </w:p>
    <w:p>
      <w:pPr>
        <w:pStyle w:val="ListParagraph"/>
        <w:numPr>
          <w:ilvl w:val="0"/>
          <w:numId w:val="2"/>
        </w:numPr>
        <w:spacing w:after="80" w:line="276"/>
      </w:pPr>
      <w:r>
        <w:t xml:space="preserve">Mechanisms: restricting eligibility to Ontario businesses, or a 10% evaluation advantage.</w:t>
      </w:r>
    </w:p>
    <w:p>
      <w:pPr>
        <w:pStyle w:val="ListParagraph"/>
        <w:numPr>
          <w:ilvl w:val="0"/>
          <w:numId w:val="2"/>
        </w:numPr>
        <w:spacing w:after="80" w:line="276"/>
      </w:pPr>
      <w:r>
        <w:t xml:space="preserve">Trade agreements apply at higher values, which is where suppliers from partner countries compete.</w:t>
      </w:r>
    </w:p>
    <w:p>
      <w:pPr>
        <w:spacing w:after="90" w:line="276"/>
        <w:ind w:left="360"/>
      </w:pPr>
      <w:r>
        <w:rPr>
          <w:i/>
          <w:iCs/>
          <w:color w:val="52646A"/>
          <w:sz w:val="19"/>
          <w:szCs w:val="19"/>
        </w:rPr>
        <w:t xml:space="preserve">Source: Torys, Buy Ontario Procurement Directive (April 2026). CONFIRM the thresholds against the directive text before publishing.</w:t>
      </w:r>
    </w:p>
    <w:p>
      <w:pPr>
        <w:pStyle w:val="Heading2"/>
      </w:pPr>
      <w:r>
        <w:t xml:space="preserve">A checklist for hospital procurement teams</w:t>
      </w:r>
    </w:p>
    <w:p>
      <w:pPr>
        <w:spacing w:after="70" w:line="276"/>
      </w:pPr>
      <w:r>
        <w:rPr>
          <w:b/>
          <w:bCs/>
          <w:color w:val="52646A"/>
          <w:sz w:val="20"/>
          <w:szCs w:val="20"/>
        </w:rPr>
        <w:t xml:space="preserve">Target length: </w:t>
      </w:r>
      <w:r>
        <w:rPr>
          <w:sz w:val="20"/>
          <w:szCs w:val="20"/>
        </w:rPr>
        <w:t xml:space="preserve">250 words</w:t>
      </w:r>
    </w:p>
    <w:p>
      <w:pPr>
        <w:spacing w:after="70" w:line="276"/>
      </w:pPr>
      <w:r>
        <w:rPr>
          <w:b/>
          <w:bCs/>
          <w:color w:val="52646A"/>
          <w:sz w:val="20"/>
          <w:szCs w:val="20"/>
        </w:rPr>
        <w:t xml:space="preserve">Job of this section: </w:t>
      </w:r>
      <w:r>
        <w:rPr>
          <w:sz w:val="20"/>
          <w:szCs w:val="20"/>
        </w:rPr>
        <w:t xml:space="preserve">A practical close. This is the bridge to post 02.</w:t>
      </w:r>
    </w:p>
    <w:p>
      <w:pPr>
        <w:pStyle w:val="ListParagraph"/>
        <w:numPr>
          <w:ilvl w:val="0"/>
          <w:numId w:val="2"/>
        </w:numPr>
        <w:spacing w:after="80" w:line="276"/>
      </w:pPr>
      <w:r>
        <w:t xml:space="preserve">Add the US-business attestation to every RFx and quote request, using Supply Ontario's sample language.</w:t>
      </w:r>
    </w:p>
    <w:p>
      <w:pPr>
        <w:pStyle w:val="ListParagraph"/>
        <w:numPr>
          <w:ilvl w:val="0"/>
          <w:numId w:val="2"/>
        </w:numPr>
        <w:spacing w:after="80" w:line="276"/>
      </w:pPr>
      <w:r>
        <w:t xml:space="preserve">For subsidiaries, ask who controls the bidder and where the parent company is headquartered.</w:t>
      </w:r>
    </w:p>
    <w:p>
      <w:pPr>
        <w:pStyle w:val="ListParagraph"/>
        <w:numPr>
          <w:ilvl w:val="0"/>
          <w:numId w:val="2"/>
        </w:numPr>
        <w:spacing w:after="80" w:line="276"/>
      </w:pPr>
      <w:r>
        <w:t xml:space="preserve">For services exceptions, request a staffing list with role and location.</w:t>
      </w:r>
    </w:p>
    <w:p>
      <w:pPr>
        <w:pStyle w:val="ListParagraph"/>
        <w:numPr>
          <w:ilvl w:val="0"/>
          <w:numId w:val="2"/>
        </w:numPr>
        <w:spacing w:after="80" w:line="276"/>
      </w:pPr>
      <w:r>
        <w:t xml:space="preserve">Review the renewal calendar for contracts without written extension options.</w:t>
      </w:r>
    </w:p>
    <w:p>
      <w:pPr>
        <w:pStyle w:val="ListParagraph"/>
        <w:numPr>
          <w:ilvl w:val="0"/>
          <w:numId w:val="2"/>
        </w:numPr>
        <w:spacing w:after="80" w:line="276"/>
      </w:pPr>
      <w:r>
        <w:t xml:space="preserve">Record whether each award went to a US business.</w:t>
      </w:r>
    </w:p>
    <w:p>
      <w:pPr>
        <w:pStyle w:val="ListParagraph"/>
        <w:numPr>
          <w:ilvl w:val="0"/>
          <w:numId w:val="2"/>
        </w:numPr>
        <w:spacing w:after="80" w:line="276"/>
      </w:pPr>
      <w:r>
        <w:t xml:space="preserve">Contact Supply Ontario for unclear cases.</w:t>
      </w:r>
    </w:p>
    <w:p>
      <w:pPr>
        <w:pStyle w:val="ListParagraph"/>
        <w:numPr>
          <w:ilvl w:val="0"/>
          <w:numId w:val="2"/>
        </w:numPr>
        <w:spacing w:after="80" w:line="276"/>
      </w:pPr>
      <w:r>
        <w:t xml:space="preserve">CTA: "Download the full vendor eligibility checklist" (post 02).</w:t>
      </w:r>
    </w:p>
    <w:p>
      <w:pPr>
        <w:pStyle w:val="Heading2"/>
      </w:pPr>
      <w:r>
        <w:t xml:space="preserve">How the federal rules and other provinces differ</w:t>
      </w:r>
    </w:p>
    <w:p>
      <w:pPr>
        <w:spacing w:after="70" w:line="276"/>
      </w:pPr>
      <w:r>
        <w:rPr>
          <w:b/>
          <w:bCs/>
          <w:color w:val="52646A"/>
          <w:sz w:val="20"/>
          <w:szCs w:val="20"/>
        </w:rPr>
        <w:t xml:space="preserve">Target length: </w:t>
      </w:r>
      <w:r>
        <w:rPr>
          <w:sz w:val="20"/>
          <w:szCs w:val="20"/>
        </w:rPr>
        <w:t xml:space="preserve">200 words plus a comparison table</w:t>
      </w:r>
    </w:p>
    <w:p>
      <w:pPr>
        <w:spacing w:after="70" w:line="276"/>
      </w:pPr>
      <w:r>
        <w:rPr>
          <w:b/>
          <w:bCs/>
          <w:color w:val="52646A"/>
          <w:sz w:val="20"/>
          <w:szCs w:val="20"/>
        </w:rPr>
        <w:t xml:space="preserve">Job of this section: </w:t>
      </w:r>
      <w:r>
        <w:rPr>
          <w:sz w:val="20"/>
          <w:szCs w:val="20"/>
        </w:rPr>
        <w:t xml:space="preserve">Serve readers with national or multi-province contracts, and link to post 03.</w:t>
      </w:r>
    </w:p>
    <w:p>
      <w:pPr>
        <w:pStyle w:val="ListParagraph"/>
        <w:numPr>
          <w:ilvl w:val="0"/>
          <w:numId w:val="2"/>
        </w:numPr>
        <w:spacing w:after="80" w:line="276"/>
      </w:pPr>
      <w:r>
        <w:t xml:space="preserve">Federal: Buy Canadian Policy and Interim Policy on Reciprocal Procurement since 16 December 2025. US suppliers can still bid where a trade agreement applies.</w:t>
      </w:r>
    </w:p>
    <w:p>
      <w:pPr>
        <w:pStyle w:val="ListParagraph"/>
        <w:numPr>
          <w:ilvl w:val="0"/>
          <w:numId w:val="2"/>
        </w:numPr>
        <w:spacing w:after="80" w:line="276"/>
      </w:pPr>
      <w:r>
        <w:t xml:space="preserve">New Brunswick: US goods and services excluded from provincial contracts over $5M from 1 October 2026.</w:t>
      </w:r>
    </w:p>
    <w:p>
      <w:pPr>
        <w:pStyle w:val="ListParagraph"/>
        <w:numPr>
          <w:ilvl w:val="0"/>
          <w:numId w:val="2"/>
        </w:numPr>
        <w:spacing w:after="80" w:line="276"/>
      </w:pPr>
      <w:r>
        <w:t xml:space="preserve">Quebec, Nova Scotia, British Columbia and Manitoba: similar measures at different stages.</w:t>
      </w:r>
    </w:p>
    <w:p>
      <w:pPr>
        <w:pStyle w:val="ListParagraph"/>
        <w:numPr>
          <w:ilvl w:val="0"/>
          <w:numId w:val="2"/>
        </w:numPr>
        <w:spacing w:after="80" w:line="276"/>
      </w:pPr>
      <w:r>
        <w:t xml:space="preserve">Link to the timeline post for updates.</w:t>
      </w:r>
    </w:p>
    <w:p>
      <w:pPr>
        <w:spacing w:after="90" w:line="276"/>
        <w:ind w:left="360"/>
      </w:pPr>
      <w:r>
        <w:rPr>
          <w:i/>
          <w:iCs/>
          <w:color w:val="52646A"/>
          <w:sz w:val="19"/>
          <w:szCs w:val="19"/>
        </w:rPr>
        <w:t xml:space="preserve">Source: Strategy document, section 2</w:t>
      </w:r>
    </w:p>
    <w:p>
      <w:pPr>
        <w:pStyle w:val="Heading2"/>
      </w:pPr>
      <w:r>
        <w:t xml:space="preserve">Where vendors from trading-partner countries fit</w:t>
      </w:r>
    </w:p>
    <w:p>
      <w:pPr>
        <w:spacing w:after="70" w:line="276"/>
      </w:pPr>
      <w:r>
        <w:rPr>
          <w:b/>
          <w:bCs/>
          <w:color w:val="52646A"/>
          <w:sz w:val="20"/>
          <w:szCs w:val="20"/>
        </w:rPr>
        <w:t xml:space="preserve">Target length: </w:t>
      </w:r>
      <w:r>
        <w:rPr>
          <w:sz w:val="20"/>
          <w:szCs w:val="20"/>
        </w:rPr>
        <w:t xml:space="preserve">100 to 150 words</w:t>
      </w:r>
    </w:p>
    <w:p>
      <w:pPr>
        <w:spacing w:after="70" w:line="276"/>
      </w:pPr>
      <w:r>
        <w:rPr>
          <w:b/>
          <w:bCs/>
          <w:color w:val="52646A"/>
          <w:sz w:val="20"/>
          <w:szCs w:val="20"/>
        </w:rPr>
        <w:t xml:space="preserve">Job of this section: </w:t>
      </w:r>
      <w:r>
        <w:rPr>
          <w:sz w:val="20"/>
          <w:szCs w:val="20"/>
        </w:rPr>
        <w:t xml:space="preserve">The only place Trillet appears. Keep it factual.</w:t>
      </w:r>
    </w:p>
    <w:p>
      <w:pPr>
        <w:pStyle w:val="ListParagraph"/>
        <w:numPr>
          <w:ilvl w:val="0"/>
          <w:numId w:val="2"/>
        </w:numPr>
        <w:spacing w:after="80" w:line="276"/>
      </w:pPr>
      <w:r>
        <w:t xml:space="preserve">Vendors headquartered outside the US, for example in Australia, the UK or the EU, fall outside section 4.3.</w:t>
      </w:r>
    </w:p>
    <w:p>
      <w:pPr>
        <w:pStyle w:val="ListParagraph"/>
        <w:numPr>
          <w:ilvl w:val="0"/>
          <w:numId w:val="2"/>
        </w:numPr>
        <w:spacing w:after="80" w:line="276"/>
      </w:pPr>
      <w:r>
        <w:t xml:space="preserve">BOBI preferences for Ontario and Canadian businesses still apply to them below the higher thresholds.</w:t>
      </w:r>
    </w:p>
    <w:p>
      <w:pPr>
        <w:pStyle w:val="ListParagraph"/>
        <w:numPr>
          <w:ilvl w:val="0"/>
          <w:numId w:val="2"/>
        </w:numPr>
        <w:spacing w:after="80" w:line="276"/>
      </w:pPr>
      <w:r>
        <w:t xml:space="preserve">One line on Trillet as an example: an Australian-headquartered voice AI provider that can deploy inside a hospital's own Canadian environment.</w:t>
      </w:r>
    </w:p>
    <w:p>
      <w:pPr>
        <w:pStyle w:val="ListParagraph"/>
        <w:numPr>
          <w:ilvl w:val="0"/>
          <w:numId w:val="2"/>
        </w:numPr>
        <w:spacing w:after="80" w:line="276"/>
      </w:pPr>
      <w:r>
        <w:t xml:space="preserve">Publish this paragraph only after gating check 1 (corporate domicile and control) is confirmed in writing.</w:t>
      </w:r>
    </w:p>
    <w:p>
      <w:pPr>
        <w:pStyle w:val="Heading2"/>
      </w:pPr>
      <w:r>
        <w:t xml:space="preserve">FAQ block (marked up as FAQPage schema)</w:t>
      </w:r>
    </w:p>
    <w:p>
      <w:pPr>
        <w:spacing w:after="70" w:line="276"/>
      </w:pPr>
      <w:r>
        <w:rPr>
          <w:b/>
          <w:bCs/>
          <w:color w:val="52646A"/>
          <w:sz w:val="20"/>
          <w:szCs w:val="20"/>
        </w:rPr>
        <w:t xml:space="preserve">Target length: </w:t>
      </w:r>
      <w:r>
        <w:rPr>
          <w:sz w:val="20"/>
          <w:szCs w:val="20"/>
        </w:rPr>
        <w:t xml:space="preserve">6 to 8 questions, 40 to 70 words per answer</w:t>
      </w:r>
    </w:p>
    <w:p>
      <w:pPr>
        <w:pStyle w:val="ListParagraph"/>
        <w:numPr>
          <w:ilvl w:val="0"/>
          <w:numId w:val="2"/>
        </w:numPr>
        <w:spacing w:after="80" w:line="276"/>
      </w:pPr>
      <w:r>
        <w:t xml:space="preserve">Does the Buy Ontario Directive apply to hospitals?</w:t>
      </w:r>
    </w:p>
    <w:p>
      <w:pPr>
        <w:pStyle w:val="ListParagraph"/>
        <w:numPr>
          <w:ilvl w:val="0"/>
          <w:numId w:val="2"/>
        </w:numPr>
        <w:spacing w:after="80" w:line="276"/>
      </w:pPr>
      <w:r>
        <w:t xml:space="preserve">Is a Canadian subsidiary of a US company a "US business"?</w:t>
      </w:r>
    </w:p>
    <w:p>
      <w:pPr>
        <w:pStyle w:val="ListParagraph"/>
        <w:numPr>
          <w:ilvl w:val="0"/>
          <w:numId w:val="2"/>
        </w:numPr>
        <w:spacing w:after="80" w:line="276"/>
      </w:pPr>
      <w:r>
        <w:t xml:space="preserve">Can a hospital buy a US product through a Canadian reseller?</w:t>
      </w:r>
    </w:p>
    <w:p>
      <w:pPr>
        <w:pStyle w:val="ListParagraph"/>
        <w:numPr>
          <w:ilvl w:val="0"/>
          <w:numId w:val="2"/>
        </w:numPr>
        <w:spacing w:after="80" w:line="276"/>
      </w:pPr>
      <w:r>
        <w:t xml:space="preserve">Does the restriction apply to purchases under $5,000 or software subscriptions?</w:t>
      </w:r>
    </w:p>
    <w:p>
      <w:pPr>
        <w:pStyle w:val="ListParagraph"/>
        <w:numPr>
          <w:ilvl w:val="0"/>
          <w:numId w:val="2"/>
        </w:numPr>
        <w:spacing w:after="80" w:line="276"/>
      </w:pPr>
      <w:r>
        <w:t xml:space="preserve">Can we renew or extend a contract with a US vendor?</w:t>
      </w:r>
    </w:p>
    <w:p>
      <w:pPr>
        <w:pStyle w:val="ListParagraph"/>
        <w:numPr>
          <w:ilvl w:val="0"/>
          <w:numId w:val="2"/>
        </w:numPr>
        <w:spacing w:after="80" w:line="276"/>
      </w:pPr>
      <w:r>
        <w:t xml:space="preserve">Do hospitals have to verify a vendor's status themselves?</w:t>
      </w:r>
    </w:p>
    <w:p>
      <w:pPr>
        <w:pStyle w:val="ListParagraph"/>
        <w:numPr>
          <w:ilvl w:val="0"/>
          <w:numId w:val="2"/>
        </w:numPr>
        <w:spacing w:after="80" w:line="276"/>
      </w:pPr>
      <w:r>
        <w:t xml:space="preserve">Does the restriction apply to municipalities?</w:t>
      </w:r>
    </w:p>
    <w:p>
      <w:pPr>
        <w:pStyle w:val="ListParagraph"/>
        <w:numPr>
          <w:ilvl w:val="0"/>
          <w:numId w:val="2"/>
        </w:numPr>
        <w:spacing w:after="80" w:line="276"/>
      </w:pPr>
      <w:r>
        <w:t xml:space="preserve">Will the restriction end if US tariffs are removed?</w:t>
      </w:r>
    </w:p>
    <w:p>
      <w:pPr>
        <w:pStyle w:val="Heading2"/>
      </w:pPr>
      <w:r>
        <w:t xml:space="preserve">Closing (80 to 120 words)</w:t>
      </w:r>
    </w:p>
    <w:p>
      <w:pPr>
        <w:pStyle w:val="ListParagraph"/>
        <w:numPr>
          <w:ilvl w:val="0"/>
          <w:numId w:val="2"/>
        </w:numPr>
        <w:spacing w:after="80" w:line="276"/>
      </w:pPr>
      <w:r>
        <w:t xml:space="preserve">Two-line summary of the rule and the exceptions.</w:t>
      </w:r>
    </w:p>
    <w:p>
      <w:pPr>
        <w:pStyle w:val="ListParagraph"/>
        <w:numPr>
          <w:ilvl w:val="0"/>
          <w:numId w:val="2"/>
        </w:numPr>
        <w:spacing w:after="80" w:line="276"/>
      </w:pPr>
      <w:r>
        <w:t xml:space="preserve">CTA to the checklist (post 02) and the timeline (post 03).</w:t>
      </w:r>
    </w:p>
    <w:p>
      <w:pPr>
        <w:pStyle w:val="ListParagraph"/>
        <w:numPr>
          <w:ilvl w:val="0"/>
          <w:numId w:val="2"/>
        </w:numPr>
        <w:spacing w:after="80" w:line="276"/>
      </w:pPr>
      <w:r>
        <w:t xml:space="preserve">Disclaimer: general information, with a recommendation to confirm specific procurements with Supply Ontario or legal counsel.</w:t>
      </w:r>
    </w:p>
    <w:p>
      <w:pPr>
        <w:pStyle w:val="ListParagraph"/>
        <w:numPr>
          <w:ilvl w:val="0"/>
          <w:numId w:val="2"/>
        </w:numPr>
        <w:spacing w:after="80" w:line="276"/>
      </w:pPr>
      <w:r>
        <w:t xml:space="preserve">Sources list of primary documents only.</w:t>
      </w:r>
    </w:p>
    <w:p>
      <w:pPr>
        <w:pStyle w:val="Heading1"/>
      </w:pPr>
      <w:r>
        <w:t xml:space="preserve">3. Supporting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526"/>
      </w:tblGrid>
      <w:tr>
        <w:trPr>
          <w:tblHeader/>
        </w:trPr>
        <w:tc>
          <w:tcPr>
            <w:tcW w:type="dxa" w:w="27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Asset</w:t>
            </w:r>
          </w:p>
        </w:tc>
        <w:tc>
          <w:tcPr>
            <w:tcW w:type="dxa" w:w="2800"/>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Purpose</w:t>
            </w:r>
          </w:p>
        </w:tc>
        <w:tc>
          <w:tcPr>
            <w:tcW w:type="dxa" w:w="3526"/>
            <w:tcBorders>
              <w:top w:val="single" w:color="D6E0E1" w:sz="4"/>
              <w:left w:val="single" w:color="D6E0E1" w:sz="4"/>
              <w:bottom w:val="single" w:color="D6E0E1" w:sz="4"/>
              <w:right w:val="single" w:color="D6E0E1" w:sz="4"/>
            </w:tcBorders>
            <w:shd w:fill="E8EFEF" w:color="auto" w:val="clear"/>
            <w:tcMar>
              <w:top w:type="dxa" w:w="80"/>
              <w:left w:type="dxa" w:w="110"/>
              <w:bottom w:type="dxa" w:w="80"/>
              <w:right w:type="dxa" w:w="110"/>
            </w:tcMar>
          </w:tcPr>
          <w:p>
            <w:r>
              <w:rPr>
                <w:b/>
                <w:bCs/>
                <w:color w:val="52646A"/>
                <w:sz w:val="19"/>
                <w:szCs w:val="19"/>
              </w:rPr>
              <w:t xml:space="preserve">Notes</w:t>
            </w:r>
          </w:p>
        </w:tc>
      </w:tr>
      <w:tr>
        <w:tc>
          <w:tcPr>
            <w:tcW w:type="dxa" w:w="2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"Short answer" box</w:t>
            </w:r>
          </w:p>
        </w:tc>
        <w:tc>
          <w:tcPr>
            <w:tcW w:type="dxa" w:w="2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Skimmers and AI answer engines</w:t>
            </w:r>
          </w:p>
        </w:tc>
        <w:tc>
          <w:tcPr>
            <w:tcW w:type="dxa" w:w="3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Plain HTML text, near the top</w:t>
            </w:r>
          </w:p>
        </w:tc>
      </w:tr>
      <w:tr>
        <w:tc>
          <w:tcPr>
            <w:tcW w:type="dxa" w:w="2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Timeline table</w:t>
            </w:r>
          </w:p>
        </w:tc>
        <w:tc>
          <w:tcPr>
            <w:tcW w:type="dxa" w:w="2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Section 1</w:t>
            </w:r>
          </w:p>
        </w:tc>
        <w:tc>
          <w:tcPr>
            <w:tcW w:type="dxa" w:w="3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Reuse in post 03</w:t>
            </w:r>
          </w:p>
        </w:tc>
      </w:tr>
      <w:tr>
        <w:tc>
          <w:tcPr>
            <w:tcW w:type="dxa" w:w="2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"US business" scenarios table</w:t>
            </w:r>
          </w:p>
        </w:tc>
        <w:tc>
          <w:tcPr>
            <w:tcW w:type="dxa" w:w="2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Section 3</w:t>
            </w:r>
          </w:p>
        </w:tc>
        <w:tc>
          <w:tcPr>
            <w:tcW w:type="dxa" w:w="3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Five illustrative scenarios with outcomes</w:t>
            </w:r>
          </w:p>
        </w:tc>
      </w:tr>
      <w:tr>
        <w:tc>
          <w:tcPr>
            <w:tcW w:type="dxa" w:w="2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BOBI thresholds table</w:t>
            </w:r>
          </w:p>
        </w:tc>
        <w:tc>
          <w:tcPr>
            <w:tcW w:type="dxa" w:w="2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Section 8</w:t>
            </w:r>
          </w:p>
        </w:tc>
        <w:tc>
          <w:tcPr>
            <w:tcW w:type="dxa" w:w="3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BPS values, with a CONFIRM note until checked</w:t>
            </w:r>
          </w:p>
        </w:tc>
      </w:tr>
      <w:tr>
        <w:tc>
          <w:tcPr>
            <w:tcW w:type="dxa" w:w="2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Summary graphic (one page)</w:t>
            </w:r>
          </w:p>
        </w:tc>
        <w:tc>
          <w:tcPr>
            <w:tcW w:type="dxa" w:w="2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LinkedIn and email sharing</w:t>
            </w:r>
          </w:p>
        </w:tc>
        <w:tc>
          <w:tcPr>
            <w:tcW w:type="dxa" w:w="3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Who is in scope, the test, two exceptions</w:t>
            </w:r>
          </w:p>
        </w:tc>
      </w:tr>
      <w:tr>
        <w:tc>
          <w:tcPr>
            <w:tcW w:type="dxa" w:w="27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b/>
                <w:bCs/>
                <w:color w:val="0E1B22"/>
                <w:sz w:val="19"/>
                <w:szCs w:val="19"/>
              </w:rPr>
              <w:t xml:space="preserve">Checklist download</w:t>
            </w:r>
          </w:p>
        </w:tc>
        <w:tc>
          <w:tcPr>
            <w:tcW w:type="dxa" w:w="2800"/>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Lead capture</w:t>
            </w:r>
          </w:p>
        </w:tc>
        <w:tc>
          <w:tcPr>
            <w:tcW w:type="dxa" w:w="3526"/>
            <w:tcBorders>
              <w:top w:val="single" w:color="D6E0E1" w:sz="4"/>
              <w:left w:val="single" w:color="D6E0E1" w:sz="4"/>
              <w:bottom w:val="single" w:color="D6E0E1" w:sz="4"/>
              <w:right w:val="single" w:color="D6E0E1" w:sz="4"/>
            </w:tcBorders>
            <w:tcMar>
              <w:top w:type="dxa" w:w="80"/>
              <w:left w:type="dxa" w:w="110"/>
              <w:bottom w:type="dxa" w:w="80"/>
              <w:right w:type="dxa" w:w="110"/>
            </w:tcMar>
          </w:tcPr>
          <w:p>
            <w:r>
              <w:rPr>
                <w:color w:val="0E1B22"/>
                <w:sz w:val="19"/>
                <w:szCs w:val="19"/>
              </w:rPr>
              <w:t xml:space="preserve">Delivered by post 02</w:t>
            </w:r>
          </w:p>
        </w:tc>
      </w:tr>
    </w:tbl>
    <w:p>
      <w:pPr>
        <w:spacing w:after="60"/>
      </w:pPr>
    </w:p>
    <w:p>
      <w:pPr>
        <w:pStyle w:val="Heading2"/>
      </w:pPr>
      <w:r>
        <w:t xml:space="preserve">Technical SEO</w:t>
      </w:r>
    </w:p>
    <w:p>
      <w:pPr>
        <w:pStyle w:val="ListParagraph"/>
        <w:numPr>
          <w:ilvl w:val="0"/>
          <w:numId w:val="2"/>
        </w:numPr>
        <w:spacing w:after="80" w:line="276"/>
      </w:pPr>
      <w:r>
        <w:t xml:space="preserve">Article and FAQPage JSON-LD. Use dateModified for updates.</w:t>
      </w:r>
    </w:p>
    <w:p>
      <w:pPr>
        <w:pStyle w:val="ListParagraph"/>
        <w:numPr>
          <w:ilvl w:val="0"/>
          <w:numId w:val="2"/>
        </w:numPr>
        <w:spacing w:after="80" w:line="276"/>
      </w:pPr>
      <w:r>
        <w:t xml:space="preserve">Keep all tables as real HTML text so search and AI engines can quote them.</w:t>
      </w:r>
    </w:p>
    <w:p>
      <w:pPr>
        <w:pStyle w:val="ListParagraph"/>
        <w:numPr>
          <w:ilvl w:val="0"/>
          <w:numId w:val="2"/>
        </w:numPr>
        <w:spacing w:after="80" w:line="276"/>
      </w:pPr>
      <w:r>
        <w:t xml:space="preserve">Internal links: posts 02, 03 and 05, and Trillet's data-residency post. Add them as each post goes live.</w:t>
      </w:r>
    </w:p>
    <w:p>
      <w:pPr>
        <w:pStyle w:val="ListParagraph"/>
        <w:numPr>
          <w:ilvl w:val="0"/>
          <w:numId w:val="2"/>
        </w:numPr>
        <w:spacing w:after="80" w:line="276"/>
      </w:pPr>
      <w:r>
        <w:t xml:space="preserve">External links: the Ontario policy page, the Supply Ontario FAQ and Guide for Users, and the Buy Ontario Act.</w:t>
      </w:r>
    </w:p>
    <w:p>
      <w:pPr>
        <w:pStyle w:val="ListParagraph"/>
        <w:numPr>
          <w:ilvl w:val="0"/>
          <w:numId w:val="2"/>
        </w:numPr>
        <w:spacing w:after="80" w:line="276"/>
      </w:pPr>
      <w:r>
        <w:t xml:space="preserve">Review monthly. Update the "Last updated" date only when content changes.</w:t>
      </w:r>
    </w:p>
    <w:p>
      <w:pPr>
        <w:pStyle w:val="Heading1"/>
      </w:pPr>
      <w:r>
        <w:t xml:space="preserve">4. Fact-check before publishing</w:t>
      </w:r>
    </w:p>
    <w:p>
      <w:pPr>
        <w:pBdr>
          <w:left w:val="single" w:color="9A5B0C" w:sz="18" w:space="8"/>
        </w:pBdr>
        <w:shd w:fill="F6E8D2" w:color="auto" w:val="clear"/>
        <w:spacing w:after="160" w:before="120" w:line="288"/>
        <w:ind w:left="180" w:right="180"/>
      </w:pPr>
      <w:r>
        <w:t xml:space="preserve">Supply Ontario updates this guidance often. Check every item below against the live source on the day of publishing.</w:t>
      </w:r>
    </w:p>
    <w:p>
      <w:pPr>
        <w:pStyle w:val="ListParagraph"/>
        <w:numPr>
          <w:ilvl w:val="0"/>
          <w:numId w:val="2"/>
        </w:numPr>
        <w:spacing w:after="80" w:line="276"/>
      </w:pPr>
      <w:r>
        <w:t xml:space="preserve">The policy is still in force and has not been rescinded.</w:t>
      </w:r>
    </w:p>
    <w:p>
      <w:pPr>
        <w:pStyle w:val="ListParagraph"/>
        <w:numPr>
          <w:ilvl w:val="0"/>
          <w:numId w:val="2"/>
        </w:numPr>
        <w:spacing w:after="80" w:line="276"/>
      </w:pPr>
      <w:r>
        <w:t xml:space="preserve">Section 4.3 is still the correct directive reference.</w:t>
      </w:r>
    </w:p>
    <w:p>
      <w:pPr>
        <w:pStyle w:val="ListParagraph"/>
        <w:numPr>
          <w:ilvl w:val="0"/>
          <w:numId w:val="2"/>
        </w:numPr>
        <w:spacing w:after="80" w:line="276"/>
      </w:pPr>
      <w:r>
        <w:t xml:space="preserve">The BOBI thresholds for BPS entities ($139,000 and $368,000) match the directive text.</w:t>
      </w:r>
    </w:p>
    <w:p>
      <w:pPr>
        <w:pStyle w:val="ListParagraph"/>
        <w:numPr>
          <w:ilvl w:val="0"/>
          <w:numId w:val="2"/>
        </w:numPr>
        <w:spacing w:after="80" w:line="276"/>
      </w:pPr>
      <w:r>
        <w:t xml:space="preserve">The FAQ has not been superseded by a version dated after 30 March 2026.</w:t>
      </w:r>
    </w:p>
    <w:p>
      <w:pPr>
        <w:pStyle w:val="ListParagraph"/>
        <w:numPr>
          <w:ilvl w:val="0"/>
          <w:numId w:val="2"/>
        </w:numPr>
        <w:spacing w:after="80" w:line="276"/>
      </w:pPr>
      <w:r>
        <w:t xml:space="preserve">The New Brunswick start date and threshold.</w:t>
      </w:r>
    </w:p>
    <w:p>
      <w:pPr>
        <w:pStyle w:val="ListParagraph"/>
        <w:numPr>
          <w:ilvl w:val="0"/>
          <w:numId w:val="2"/>
        </w:numPr>
        <w:spacing w:after="80" w:line="276"/>
      </w:pPr>
      <w:r>
        <w:t xml:space="preserve">Gating check 1 is confirmed in writing before the Trillet paragraph goes live.</w:t>
      </w:r>
    </w:p>
    <w:p>
      <w:pPr>
        <w:pStyle w:val="Heading1"/>
      </w:pPr>
      <w:r>
        <w:t xml:space="preserve">5. Notes for the strategy</w:t>
      </w:r>
    </w:p>
    <w:p>
      <w:pPr>
        <w:spacing w:after="120" w:line="288"/>
      </w:pPr>
      <w:r>
        <w:t xml:space="preserve">Reading the primary source sharpened three points in the strategy document. They should be reflected there:</w:t>
      </w:r>
    </w:p>
    <w:p>
      <w:pPr>
        <w:pStyle w:val="ListParagraph"/>
        <w:numPr>
          <w:ilvl w:val="0"/>
          <w:numId w:val="2"/>
        </w:numPr>
        <w:spacing w:after="80" w:line="276"/>
      </w:pPr>
      <w:r>
        <w:rPr>
          <w:b/>
          <w:bCs/>
        </w:rPr>
        <w:t xml:space="preserve">Resellers.</w:t>
      </w:r>
      <w:r>
        <w:t xml:space="preserve"> A Canadian reseller can supply a US product. US vendors are therefore restricted from contracting directly, with a reseller route still open. Our positioning should stress direct contracting, Canadian deployment and data control.</w:t>
      </w:r>
    </w:p>
    <w:p>
      <w:pPr>
        <w:pStyle w:val="ListParagraph"/>
        <w:numPr>
          <w:ilvl w:val="0"/>
          <w:numId w:val="2"/>
        </w:numPr>
        <w:spacing w:after="80" w:line="276"/>
      </w:pPr>
      <w:r>
        <w:rPr>
          <w:b/>
          <w:bCs/>
        </w:rPr>
        <w:t xml:space="preserve">Preferences below $368,000.</w:t>
      </w:r>
      <w:r>
        <w:t xml:space="preserve"> Under BOBI, Ontario and then Canadian businesses are preferred on smaller BPS contracts. Trillet is strongest on larger contracts, or when bidding through a Canadian partner.</w:t>
      </w:r>
    </w:p>
    <w:p>
      <w:pPr>
        <w:pStyle w:val="ListParagraph"/>
        <w:numPr>
          <w:ilvl w:val="0"/>
          <w:numId w:val="2"/>
        </w:numPr>
        <w:spacing w:after="80" w:line="276"/>
      </w:pPr>
      <w:r>
        <w:rPr>
          <w:b/>
          <w:bCs/>
        </w:rPr>
        <w:t xml:space="preserve">Domicile test.</w:t>
      </w:r>
      <w:r>
        <w:t xml:space="preserve"> The test is where the headquarters or main office of the controlling company is located, rather than where it is incorporated. Gating check 1 should confirm both the head office location and who controls the contracting entity.</w:t>
      </w:r>
    </w:p>
    <w:p>
      <w:pPr>
        <w:pStyle w:val="Heading1"/>
      </w:pPr>
      <w:r>
        <w:t xml:space="preserve">6. Sources</w:t>
      </w:r>
    </w:p>
    <w:p>
      <w:pPr>
        <w:pStyle w:val="ListParagraph"/>
        <w:numPr>
          <w:ilvl w:val="0"/>
          <w:numId w:val="2"/>
        </w:numPr>
        <w:spacing w:after="60"/>
      </w:pPr>
      <w:hyperlink w:history="1" r:id="rIddkuao9siqlg-o38gkycto">
        <w:r>
          <w:rPr>
            <w:rStyle w:val="Hyperlink"/>
            <w:sz w:val="20"/>
            <w:szCs w:val="20"/>
          </w:rPr>
          <w:t xml:space="preserve">Supply Ontario: Procurement Restriction Policy FAQ (30 March 2026)</w:t>
        </w:r>
      </w:hyperlink>
    </w:p>
    <w:p>
      <w:pPr>
        <w:pStyle w:val="ListParagraph"/>
        <w:numPr>
          <w:ilvl w:val="0"/>
          <w:numId w:val="2"/>
        </w:numPr>
        <w:spacing w:after="60"/>
      </w:pPr>
      <w:hyperlink w:history="1" r:id="rId3l6addnjv1ekd50z1qdy5">
        <w:r>
          <w:rPr>
            <w:rStyle w:val="Hyperlink"/>
            <w:sz w:val="20"/>
            <w:szCs w:val="20"/>
          </w:rPr>
          <w:t xml:space="preserve">Supply Ontario: Procurement Restriction Policy guide for government and BPS entities</w:t>
        </w:r>
      </w:hyperlink>
    </w:p>
    <w:p>
      <w:pPr>
        <w:pStyle w:val="ListParagraph"/>
        <w:numPr>
          <w:ilvl w:val="0"/>
          <w:numId w:val="2"/>
        </w:numPr>
        <w:spacing w:after="60"/>
      </w:pPr>
      <w:hyperlink w:history="1" r:id="rIdry3qm40bjxukx6pomvjod">
        <w:r>
          <w:rPr>
            <w:rStyle w:val="Hyperlink"/>
            <w:sz w:val="20"/>
            <w:szCs w:val="20"/>
          </w:rPr>
          <w:t xml:space="preserve">Government of Ontario: Procurement Restriction Policy</w:t>
        </w:r>
      </w:hyperlink>
    </w:p>
    <w:p>
      <w:pPr>
        <w:pStyle w:val="ListParagraph"/>
        <w:numPr>
          <w:ilvl w:val="0"/>
          <w:numId w:val="2"/>
        </w:numPr>
        <w:spacing w:after="60"/>
      </w:pPr>
      <w:hyperlink w:history="1" r:id="rId2pce0qtqc1pdmw2akndws">
        <w:r>
          <w:rPr>
            <w:rStyle w:val="Hyperlink"/>
            <w:sz w:val="20"/>
            <w:szCs w:val="20"/>
          </w:rPr>
          <w:t xml:space="preserve">Torys: Buy Ontario Procurement Directive, key requirements</w:t>
        </w:r>
      </w:hyperlink>
    </w:p>
    <w:p>
      <w:pPr>
        <w:pStyle w:val="ListParagraph"/>
        <w:numPr>
          <w:ilvl w:val="0"/>
          <w:numId w:val="2"/>
        </w:numPr>
        <w:spacing w:after="60"/>
      </w:pPr>
      <w:hyperlink w:history="1" r:id="rIdzjzy6b62lcolma2hfykfo">
        <w:r>
          <w:rPr>
            <w:rStyle w:val="Hyperlink"/>
            <w:sz w:val="20"/>
            <w:szCs w:val="20"/>
          </w:rPr>
          <w:t xml:space="preserve">WeirFoulds: Ontario's new Buy Ontario procurement rules</w:t>
        </w:r>
      </w:hyperlink>
    </w:p>
    <w:p>
      <w:pPr>
        <w:pStyle w:val="ListParagraph"/>
        <w:numPr>
          <w:ilvl w:val="0"/>
          <w:numId w:val="2"/>
        </w:numPr>
        <w:spacing w:after="60"/>
      </w:pPr>
      <w:hyperlink w:history="1" r:id="rId4jcqn76s6mel5qj0h95zv">
        <w:r>
          <w:rPr>
            <w:rStyle w:val="Hyperlink"/>
            <w:sz w:val="20"/>
            <w:szCs w:val="20"/>
          </w:rPr>
          <w:t xml:space="preserve">Miller Thomson: procurement bans targeting US suppliers</w:t>
        </w:r>
      </w:hyperlink>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46A"/>
        <w:sz w:val="16"/>
        <w:szCs w:val="16"/>
      </w:rPr>
      <w:t xml:space="preserve">Blog outline: Buy Ontario and hospitals  |  Page </w:t>
    </w:r>
    <w:r>
      <w:rPr>
        <w:color w:val="526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sz w:val="40"/>
      <w:szCs w:val="40"/>
    </w:rPr>
  </w:style>
  <w:style w:type="paragraph" w:styleId="Heading1">
    <w:name w:val="Heading 1"/>
    <w:basedOn w:val="Normal"/>
    <w:next w:val="Normal"/>
    <w:qFormat/>
    <w:pPr>
      <w:keepNext/>
      <w:spacing w:after="140" w:before="360"/>
      <w:outlineLvl w:val="0"/>
    </w:pPr>
    <w:rPr>
      <w:rFonts w:ascii="Calibri" w:cs="Calibri" w:eastAsia="Calibri" w:hAnsi="Calibri"/>
      <w:b/>
      <w:bCs/>
      <w:color w:val="0C8577"/>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kuao9siqlg-o38gkycto" Type="http://schemas.openxmlformats.org/officeDocument/2006/relationships/hyperlink" Target="https://www.supplyontario.ca/wp-content/uploads/US-Procurement-Restriction-Policy-FAQs-March-30-2026.pdf" TargetMode="External"/><Relationship Id="rId3l6addnjv1ekd50z1qdy5" Type="http://schemas.openxmlformats.org/officeDocument/2006/relationships/hyperlink" Target="https://www.supplyontario.ca/wp-content/uploads/US-Procurement-Restriction-Policy-Guide-March-31-2026-2.pdf" TargetMode="External"/><Relationship Id="rIdry3qm40bjxukx6pomvjod" Type="http://schemas.openxmlformats.org/officeDocument/2006/relationships/hyperlink" Target="https://www.ontario.ca/page/procurement-restriction-policy" TargetMode="External"/><Relationship Id="rId2pce0qtqc1pdmw2akndws" Type="http://schemas.openxmlformats.org/officeDocument/2006/relationships/hyperlink" Target="https://www.torys.com/our-latest-thinking/publications/2026/04/buy-ontario-procurement-directive" TargetMode="External"/><Relationship Id="rIdzjzy6b62lcolma2hfykfo" Type="http://schemas.openxmlformats.org/officeDocument/2006/relationships/hyperlink" Target="https://www.weirfoulds.com/heres-the-drill-ontarios-new-buy-ontario-procurement-rules-what-you-need-to-know" TargetMode="External"/><Relationship Id="rId4jcqn76s6mel5qj0h95zv" Type="http://schemas.openxmlformats.org/officeDocument/2006/relationships/hyperlink" Target="https://www.millerthomson.com/en/insights/global-trade-customs/public-procurement-bans-targeting-u-s-supplier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 Ontario Hospitals Blog Outline</dc:title>
  <dc:creator>Trillet marketing</dc:creator>
  <cp:lastModifiedBy>Un-named</cp:lastModifiedBy>
  <cp:revision>1</cp:revision>
  <dcterms:created xsi:type="dcterms:W3CDTF">2026-10-01T12:42:54.956Z</dcterms:created>
  <dcterms:modified xsi:type="dcterms:W3CDTF">2026-10-01T12:42:55.038Z</dcterms:modified>
</cp:coreProperties>
</file>

<file path=docProps/custom.xml><?xml version="1.0" encoding="utf-8"?>
<Properties xmlns="http://schemas.openxmlformats.org/officeDocument/2006/custom-properties" xmlns:vt="http://schemas.openxmlformats.org/officeDocument/2006/docPropsVTypes"/>
</file>