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pPr>
      <w:r>
        <w:rPr>
          <w:rFonts w:ascii="Consolas" w:cs="Consolas" w:eastAsia="Consolas" w:hAnsi="Consolas"/>
          <w:b/>
          <w:bCs/>
          <w:color w:val="9A6B3F"/>
          <w:spacing w:val="18"/>
          <w:sz w:val="15"/>
          <w:szCs w:val="15"/>
        </w:rPr>
        <w:t xml:space="preserve">TRILLET · CONTENT BRIEF · BLOG 1 OF 6</w:t>
      </w:r>
    </w:p>
    <w:p>
      <w:pPr>
        <w:spacing w:after="60"/>
      </w:pPr>
      <w:r>
        <w:rPr>
          <w:rFonts w:ascii="Georgia" w:cs="Georgia" w:eastAsia="Georgia" w:hAnsi="Georgia"/>
          <w:b/>
          <w:bCs/>
          <w:color w:val="16223C"/>
          <w:sz w:val="36"/>
          <w:szCs w:val="36"/>
        </w:rPr>
        <w:t xml:space="preserve">White-Label Partnerships: The Complete Guide</w:t>
      </w:r>
    </w:p>
    <w:p>
      <w:pPr>
        <w:spacing w:after="80"/>
      </w:pPr>
      <w:r>
        <w:rPr>
          <w:rFonts w:ascii="Calibri" w:cs="Calibri" w:eastAsia="Calibri" w:hAnsi="Calibri"/>
          <w:i w:val="false"/>
          <w:iCs w:val="false"/>
          <w:color w:val="5A6675"/>
          <w:sz w:val="20"/>
          <w:szCs w:val="20"/>
        </w:rPr>
        <w:t xml:space="preserve">A writer-ready brief. Everything needed to draft the page in one sitting — target, angle, full outline, internal links, schema and the on-page checklist. Grounded in the live SERP and Trillet's positioning.</w:t>
      </w:r>
    </w:p>
    <w:p>
      <w:pPr>
        <w:spacing w:after="50" w:before="70"/>
      </w:pPr>
      <w:r>
        <w:rPr>
          <w:rFonts w:ascii="Georgia" w:cs="Georgia" w:eastAsia="Georgia" w:hAnsi="Georgia"/>
          <w:b/>
          <w:bCs/>
          <w:color w:val="16223C"/>
          <w:sz w:val="25"/>
          <w:szCs w:val="25"/>
        </w:rPr>
        <w:t xml:space="preserve">The spec</w:t>
      </w:r>
    </w:p>
    <w:p>
      <w:pPr>
        <w:spacing w:after="30"/>
      </w:pPr>
      <w:r>
        <w:rPr>
          <w:rFonts w:ascii="Consolas" w:cs="Consolas" w:eastAsia="Consolas" w:hAnsi="Consolas"/>
          <w:b/>
          <w:bCs/>
          <w:color w:val="9A6B3F"/>
          <w:sz w:val="15"/>
          <w:szCs w:val="15"/>
        </w:rPr>
        <w:t xml:space="preserve">PRIMARY KEYWORD   </w:t>
      </w:r>
      <w:r>
        <w:rPr>
          <w:rFonts w:ascii="Calibri" w:cs="Calibri" w:eastAsia="Calibri" w:hAnsi="Calibri"/>
          <w:b w:val="false"/>
          <w:bCs w:val="false"/>
          <w:color w:val="24303F"/>
          <w:sz w:val="18"/>
          <w:szCs w:val="18"/>
        </w:rPr>
        <w:t xml:space="preserve">white label partnerships</w:t>
      </w:r>
    </w:p>
    <w:p>
      <w:pPr>
        <w:spacing w:after="30"/>
      </w:pPr>
      <w:r>
        <w:rPr>
          <w:rFonts w:ascii="Consolas" w:cs="Consolas" w:eastAsia="Consolas" w:hAnsi="Consolas"/>
          <w:b/>
          <w:bCs/>
          <w:color w:val="9A6B3F"/>
          <w:sz w:val="15"/>
          <w:szCs w:val="15"/>
        </w:rPr>
        <w:t xml:space="preserve">SECONDARY   </w:t>
      </w:r>
      <w:r>
        <w:rPr>
          <w:rFonts w:ascii="Calibri" w:cs="Calibri" w:eastAsia="Calibri" w:hAnsi="Calibri"/>
          <w:b w:val="false"/>
          <w:bCs w:val="false"/>
          <w:color w:val="24303F"/>
          <w:sz w:val="18"/>
          <w:szCs w:val="18"/>
        </w:rPr>
        <w:t xml:space="preserve">white label partnership guide · how white label partnerships work · how to choose a white label partner · white label partner program · white label partnership agreement</w:t>
      </w:r>
    </w:p>
    <w:p>
      <w:pPr>
        <w:spacing w:after="30"/>
      </w:pPr>
      <w:r>
        <w:rPr>
          <w:rFonts w:ascii="Consolas" w:cs="Consolas" w:eastAsia="Consolas" w:hAnsi="Consolas"/>
          <w:b/>
          <w:bCs/>
          <w:color w:val="9A6B3F"/>
          <w:sz w:val="15"/>
          <w:szCs w:val="15"/>
        </w:rPr>
        <w:t xml:space="preserve">SEARCH INTENT   </w:t>
      </w:r>
      <w:r>
        <w:rPr>
          <w:rFonts w:ascii="Calibri" w:cs="Calibri" w:eastAsia="Calibri" w:hAnsi="Calibri"/>
          <w:b w:val="false"/>
          <w:bCs w:val="false"/>
          <w:color w:val="24303F"/>
          <w:sz w:val="18"/>
          <w:szCs w:val="18"/>
        </w:rPr>
        <w:t xml:space="preserve">Informational, top-of-funnel. Someone exploring the model before they commit — likely an agency or SaaS founder deciding whether/how to resell.</w:t>
      </w:r>
    </w:p>
    <w:p>
      <w:pPr>
        <w:spacing w:after="30"/>
      </w:pPr>
      <w:r>
        <w:rPr>
          <w:rFonts w:ascii="Consolas" w:cs="Consolas" w:eastAsia="Consolas" w:hAnsi="Consolas"/>
          <w:b/>
          <w:bCs/>
          <w:color w:val="9A6B3F"/>
          <w:sz w:val="15"/>
          <w:szCs w:val="15"/>
        </w:rPr>
        <w:t xml:space="preserve">WORKING TITLE   </w:t>
      </w:r>
      <w:r>
        <w:rPr>
          <w:rFonts w:ascii="Consolas" w:cs="Consolas" w:eastAsia="Consolas" w:hAnsi="Consolas"/>
          <w:b w:val="false"/>
          <w:bCs w:val="false"/>
          <w:color w:val="24303F"/>
          <w:sz w:val="16"/>
          <w:szCs w:val="16"/>
        </w:rPr>
        <w:t xml:space="preserve">White-Label Partnerships: The Complete 2026 Guide   (49 char)</w:t>
      </w:r>
    </w:p>
    <w:p>
      <w:pPr>
        <w:spacing w:after="30"/>
      </w:pPr>
      <w:r>
        <w:rPr>
          <w:rFonts w:ascii="Consolas" w:cs="Consolas" w:eastAsia="Consolas" w:hAnsi="Consolas"/>
          <w:b/>
          <w:bCs/>
          <w:color w:val="9A6B3F"/>
          <w:sz w:val="15"/>
          <w:szCs w:val="15"/>
        </w:rPr>
        <w:t xml:space="preserve">META DESC.   </w:t>
      </w:r>
      <w:r>
        <w:rPr>
          <w:rFonts w:ascii="Consolas" w:cs="Consolas" w:eastAsia="Consolas" w:hAnsi="Consolas"/>
          <w:b w:val="false"/>
          <w:bCs w:val="false"/>
          <w:color w:val="24303F"/>
          <w:sz w:val="15"/>
          <w:szCs w:val="15"/>
        </w:rPr>
        <w:t xml:space="preserve">How white-label partnerships work in 2026: the models, the margins, how to choose a partner, and the compliance questions most agencies miss.   (141 char)</w:t>
      </w:r>
    </w:p>
    <w:p>
      <w:pPr>
        <w:spacing w:after="30"/>
      </w:pPr>
      <w:r>
        <w:rPr>
          <w:rFonts w:ascii="Consolas" w:cs="Consolas" w:eastAsia="Consolas" w:hAnsi="Consolas"/>
          <w:b/>
          <w:bCs/>
          <w:color w:val="9A6B3F"/>
          <w:sz w:val="15"/>
          <w:szCs w:val="15"/>
        </w:rPr>
        <w:t xml:space="preserve">URL SLUG   </w:t>
      </w:r>
      <w:r>
        <w:rPr>
          <w:rFonts w:ascii="Consolas" w:cs="Consolas" w:eastAsia="Consolas" w:hAnsi="Consolas"/>
          <w:b w:val="false"/>
          <w:bCs w:val="false"/>
          <w:color w:val="24303F"/>
          <w:sz w:val="16"/>
          <w:szCs w:val="16"/>
        </w:rPr>
        <w:t xml:space="preserve">/blogs/white-label-partnerships-guide   (no year in slug — the title carries it; keeps the URL evergreen)</w:t>
      </w:r>
    </w:p>
    <w:p>
      <w:pPr>
        <w:spacing w:after="30"/>
      </w:pPr>
      <w:r>
        <w:rPr>
          <w:rFonts w:ascii="Consolas" w:cs="Consolas" w:eastAsia="Consolas" w:hAnsi="Consolas"/>
          <w:b/>
          <w:bCs/>
          <w:color w:val="9A6B3F"/>
          <w:sz w:val="15"/>
          <w:szCs w:val="15"/>
        </w:rPr>
        <w:t xml:space="preserve">LENGTH   </w:t>
      </w:r>
      <w:r>
        <w:rPr>
          <w:rFonts w:ascii="Calibri" w:cs="Calibri" w:eastAsia="Calibri" w:hAnsi="Calibri"/>
          <w:b w:val="false"/>
          <w:bCs w:val="false"/>
          <w:color w:val="24303F"/>
          <w:sz w:val="18"/>
          <w:szCs w:val="18"/>
        </w:rPr>
        <w:t xml:space="preserve">2,200-2,800 words. Comprehensive enough to match the SERP’s ‘complete guide’ pages, not padded.</w:t>
      </w:r>
    </w:p>
    <w:p>
      <w:pPr>
        <w:spacing w:after="30"/>
      </w:pPr>
      <w:r>
        <w:rPr>
          <w:rFonts w:ascii="Consolas" w:cs="Consolas" w:eastAsia="Consolas" w:hAnsi="Consolas"/>
          <w:b/>
          <w:bCs/>
          <w:color w:val="9A6B3F"/>
          <w:sz w:val="15"/>
          <w:szCs w:val="15"/>
        </w:rPr>
        <w:t xml:space="preserve">FUNNEL ROLE   </w:t>
      </w:r>
      <w:r>
        <w:rPr>
          <w:rFonts w:ascii="Calibri" w:cs="Calibri" w:eastAsia="Calibri" w:hAnsi="Calibri"/>
          <w:b w:val="false"/>
          <w:bCs w:val="false"/>
          <w:color w:val="24303F"/>
          <w:sz w:val="18"/>
          <w:szCs w:val="18"/>
        </w:rPr>
        <w:t xml:space="preserve">Top of funnel → routes to /partners (primary CTA) and /whitelabel. Feeds the currently-invisible partner funnel.</w:t>
      </w:r>
    </w:p>
    <w:p>
      <w:pPr>
        <w:spacing w:after="30"/>
      </w:pPr>
      <w:r>
        <w:rPr>
          <w:rFonts w:ascii="Consolas" w:cs="Consolas" w:eastAsia="Consolas" w:hAnsi="Consolas"/>
          <w:b/>
          <w:bCs/>
          <w:color w:val="9A6B3F"/>
          <w:sz w:val="15"/>
          <w:szCs w:val="15"/>
        </w:rPr>
        <w:t xml:space="preserve">PUBLISH   </w:t>
      </w:r>
      <w:r>
        <w:rPr>
          <w:rFonts w:ascii="Calibri" w:cs="Calibri" w:eastAsia="Calibri" w:hAnsi="Calibri"/>
          <w:b w:val="false"/>
          <w:bCs w:val="false"/>
          <w:color w:val="24303F"/>
          <w:sz w:val="18"/>
          <w:szCs w:val="18"/>
        </w:rPr>
        <w:t xml:space="preserve">Week 1 of the sprint.</w:t>
      </w:r>
    </w:p>
    <w:p>
      <w:pPr>
        <w:pBdr>
          <w:bottom w:val="single" w:color="D9DEE8" w:sz="6"/>
        </w:pBdr>
        <w:spacing w:after="110" w:before="110"/>
      </w:pPr>
      <w:r>
        <w:t xml:space="preserve"/>
      </w:r>
    </w:p>
    <w:p>
      <w:pPr>
        <w:spacing w:after="50" w:before="70"/>
      </w:pPr>
      <w:r>
        <w:rPr>
          <w:rFonts w:ascii="Georgia" w:cs="Georgia" w:eastAsia="Georgia" w:hAnsi="Georgia"/>
          <w:b/>
          <w:bCs/>
          <w:color w:val="16223C"/>
          <w:sz w:val="25"/>
          <w:szCs w:val="25"/>
        </w:rPr>
        <w:t xml:space="preserve">The angle — how this page wins</w:t>
      </w:r>
    </w:p>
    <w:p>
      <w:pPr>
        <w:spacing w:after="80"/>
      </w:pPr>
      <w:r>
        <w:rPr>
          <w:rFonts w:ascii="Calibri" w:cs="Calibri" w:eastAsia="Calibri" w:hAnsi="Calibri"/>
          <w:i w:val="false"/>
          <w:iCs w:val="false"/>
          <w:color w:val="24303F"/>
          <w:sz w:val="20"/>
          <w:szCs w:val="20"/>
        </w:rPr>
        <w:t xml:space="preserve">Page 1 today is all generalist guides — HelpSquad, Insighto, BotPenguin, icecubedigital, zestwebsolutions. They define the model well but they are horizontal (SEO, SaaS, chatbots) and none lead with the two things that actually matter when you resell someone else’s AI under your own name:</w:t>
      </w:r>
    </w:p>
    <w:p>
      <w:pPr>
        <w:pStyle w:val="ListParagraph"/>
        <w:numPr>
          <w:ilvl w:val="0"/>
          <w:numId w:val="1"/>
        </w:numPr>
        <w:spacing w:after="36"/>
      </w:pPr>
      <w:r>
        <w:rPr>
          <w:rFonts w:ascii="Calibri" w:cs="Calibri" w:eastAsia="Calibri" w:hAnsi="Calibri"/>
          <w:b/>
          <w:bCs/>
          <w:i w:val="false"/>
          <w:iCs w:val="false"/>
          <w:color w:val="24303F"/>
          <w:sz w:val="19"/>
          <w:szCs w:val="19"/>
        </w:rPr>
        <w:t xml:space="preserve">Compliance and an auditable record. </w:t>
      </w:r>
      <w:r>
        <w:rPr>
          <w:rFonts w:ascii="Calibri" w:cs="Calibri" w:eastAsia="Calibri" w:hAnsi="Calibri"/>
          <w:b w:val="false"/>
          <w:bCs w:val="false"/>
          <w:i w:val="false"/>
          <w:iCs w:val="false"/>
          <w:color w:val="24303F"/>
          <w:sz w:val="19"/>
          <w:szCs w:val="19"/>
        </w:rPr>
        <w:t xml:space="preserve">When you put your brand on an AI that talks to customers, you inherit the liability. No competing guide treats this as central — it is Trillet’s wedge.</w:t>
      </w:r>
    </w:p>
    <w:p>
      <w:pPr>
        <w:pStyle w:val="ListParagraph"/>
        <w:numPr>
          <w:ilvl w:val="0"/>
          <w:numId w:val="1"/>
        </w:numPr>
        <w:spacing w:after="36"/>
      </w:pPr>
      <w:r>
        <w:rPr>
          <w:rFonts w:ascii="Calibri" w:cs="Calibri" w:eastAsia="Calibri" w:hAnsi="Calibri"/>
          <w:b/>
          <w:bCs/>
          <w:i w:val="false"/>
          <w:iCs w:val="false"/>
          <w:color w:val="24303F"/>
          <w:sz w:val="19"/>
          <w:szCs w:val="19"/>
        </w:rPr>
        <w:t xml:space="preserve">Voice-first, high-stakes reality. </w:t>
      </w:r>
      <w:r>
        <w:rPr>
          <w:rFonts w:ascii="Calibri" w:cs="Calibri" w:eastAsia="Calibri" w:hAnsi="Calibri"/>
          <w:b w:val="false"/>
          <w:bCs w:val="false"/>
          <w:i w:val="false"/>
          <w:iCs w:val="false"/>
          <w:color w:val="24303F"/>
          <w:sz w:val="19"/>
          <w:szCs w:val="19"/>
        </w:rPr>
        <w:t xml:space="preserve">Generic guides cover ‘products’ abstractly. This one is grounded in reselling AI voice agents — real margins, real client-handover, real call quality.</w:t>
      </w:r>
    </w:p>
    <w:tbl>
      <w:tblPr>
        <w:tblW w:type="dxa" w:w="9360"/>
        <w:tblBorders>
          <w:top w:val="single" w:color="9A6B3F" w:sz="4"/>
          <w:left w:val="single" w:color="9A6B3F" w:sz="4"/>
          <w:bottom w:val="single" w:color="9A6B3F" w:sz="4"/>
          <w:right w:val="single" w:color="9A6B3F" w:sz="4"/>
          <w:insideH w:val="single" w:color="9A6B3F" w:sz="4"/>
          <w:insideV w:val="single" w:color="9A6B3F" w:sz="4"/>
        </w:tblBorders>
      </w:tblPr>
      <w:tblGrid>
        <w:gridCol w:w="9360"/>
      </w:tblGrid>
      <w:tr>
        <w:tc>
          <w:tcPr>
            <w:tcW w:type="dxa" w:w="9360"/>
            <w:tcBorders>
              <w:top w:val="single" w:color="9A6B3F" w:sz="4"/>
              <w:left w:val="single" w:color="9A6B3F" w:sz="4"/>
              <w:bottom w:val="single" w:color="9A6B3F" w:sz="4"/>
              <w:right w:val="single" w:color="9A6B3F" w:sz="4"/>
            </w:tcBorders>
            <w:shd w:fill="F1ECE2" w:color="auto" w:val="clear"/>
            <w:tcMar>
              <w:top w:type="dxa" w:w="120"/>
              <w:left w:type="dxa" w:w="150"/>
              <w:bottom w:type="dxa" w:w="120"/>
              <w:right w:type="dxa" w:w="150"/>
            </w:tcMar>
          </w:tcPr>
          <w:p>
            <w:pPr>
              <w:spacing w:after="50"/>
            </w:pPr>
            <w:r>
              <w:rPr>
                <w:rFonts w:ascii="Georgia" w:cs="Georgia" w:eastAsia="Georgia" w:hAnsi="Georgia"/>
                <w:b/>
                <w:bCs/>
                <w:color w:val="16223C"/>
                <w:sz w:val="21"/>
                <w:szCs w:val="21"/>
              </w:rPr>
              <w:t xml:space="preserve">The one rule for this page</w:t>
            </w:r>
          </w:p>
          <w:p>
            <w:pPr>
              <w:spacing w:after="40"/>
            </w:pPr>
            <w:r>
              <w:rPr>
                <w:rFonts w:ascii="Calibri" w:cs="Calibri" w:eastAsia="Calibri" w:hAnsi="Calibri"/>
                <w:color w:val="24303F"/>
                <w:sz w:val="18"/>
                <w:szCs w:val="18"/>
              </w:rPr>
              <w:t xml:space="preserve">It teaches the model honestly and completely — it is not a Trillet ad. Trillet appears as the worked example and the recommended partner, earned by being the most rigorous section on compliance and margins. Lead with the reader’s decision, not the pitch.</w:t>
            </w:r>
          </w:p>
        </w:tc>
      </w:tr>
    </w:tbl>
    <w:p>
      <w:pPr>
        <w:pBdr>
          <w:bottom w:val="single" w:color="D9DEE8" w:sz="6"/>
        </w:pBdr>
        <w:spacing w:after="110" w:before="110"/>
      </w:pPr>
      <w:r>
        <w:t xml:space="preserve"/>
      </w:r>
    </w:p>
    <w:p>
      <w:pPr>
        <w:spacing w:after="50" w:before="70"/>
      </w:pPr>
      <w:r>
        <w:rPr>
          <w:rFonts w:ascii="Georgia" w:cs="Georgia" w:eastAsia="Georgia" w:hAnsi="Georgia"/>
          <w:b/>
          <w:bCs/>
          <w:color w:val="16223C"/>
          <w:sz w:val="25"/>
          <w:szCs w:val="25"/>
        </w:rPr>
        <w:t xml:space="preserve">The outline</w:t>
      </w:r>
    </w:p>
    <w:p>
      <w:pPr>
        <w:spacing w:after="80"/>
      </w:pPr>
      <w:r>
        <w:rPr>
          <w:rFonts w:ascii="Calibri" w:cs="Calibri" w:eastAsia="Calibri" w:hAnsi="Calibri"/>
          <w:i w:val="false"/>
          <w:iCs w:val="false"/>
          <w:color w:val="5A6675"/>
          <w:sz w:val="20"/>
          <w:szCs w:val="20"/>
        </w:rPr>
        <w:t xml:space="preserve">H1 = the working title. Sections in order; each note says what the section must deliver.</w:t>
      </w:r>
    </w:p>
    <w:p>
      <w:pPr>
        <w:spacing w:after="16" w:before="80"/>
      </w:pPr>
      <w:r>
        <w:rPr>
          <w:rFonts w:ascii="Calibri" w:cs="Calibri" w:eastAsia="Calibri" w:hAnsi="Calibri"/>
          <w:b/>
          <w:bCs/>
          <w:color w:val="16223C"/>
          <w:sz w:val="20"/>
          <w:szCs w:val="20"/>
        </w:rPr>
        <w:t xml:space="preserve">Intro (100-150 words)</w:t>
      </w:r>
    </w:p>
    <w:p>
      <w:pPr>
        <w:pStyle w:val="ListParagraph"/>
        <w:numPr>
          <w:ilvl w:val="0"/>
          <w:numId w:val="1"/>
        </w:numPr>
        <w:spacing w:after="36"/>
      </w:pPr>
      <w:r>
        <w:rPr>
          <w:rFonts w:ascii="Calibri" w:cs="Calibri" w:eastAsia="Calibri" w:hAnsi="Calibri"/>
          <w:b w:val="false"/>
          <w:bCs w:val="false"/>
          <w:i w:val="false"/>
          <w:iCs w:val="false"/>
          <w:color w:val="24303F"/>
          <w:sz w:val="19"/>
          <w:szCs w:val="19"/>
        </w:rPr>
        <w:t xml:space="preserve">Open on the reader’s situation: an agency wants to sell AI without building it. Define the payoff in two lines. State what the guide covers. No throat-clearing.</w:t>
      </w:r>
    </w:p>
    <w:p>
      <w:pPr>
        <w:spacing w:after="16" w:before="80"/>
      </w:pPr>
      <w:r>
        <w:rPr>
          <w:rFonts w:ascii="Calibri" w:cs="Calibri" w:eastAsia="Calibri" w:hAnsi="Calibri"/>
          <w:b/>
          <w:bCs/>
          <w:color w:val="16223C"/>
          <w:sz w:val="20"/>
          <w:szCs w:val="20"/>
        </w:rPr>
        <w:t xml:space="preserve">H2 — What is a white-label partnership?</w:t>
      </w:r>
    </w:p>
    <w:p>
      <w:pPr>
        <w:pStyle w:val="ListParagraph"/>
        <w:numPr>
          <w:ilvl w:val="0"/>
          <w:numId w:val="1"/>
        </w:numPr>
        <w:spacing w:after="36"/>
      </w:pPr>
      <w:r>
        <w:rPr>
          <w:rFonts w:ascii="Calibri" w:cs="Calibri" w:eastAsia="Calibri" w:hAnsi="Calibri"/>
          <w:b w:val="false"/>
          <w:bCs w:val="false"/>
          <w:i w:val="false"/>
          <w:iCs w:val="false"/>
          <w:color w:val="24303F"/>
          <w:sz w:val="19"/>
          <w:szCs w:val="19"/>
        </w:rPr>
        <w:t xml:space="preserve">Plain definition: provider builds, partner rebrands and sells, customer sees only the partner. One diagram-ready explanation.</w:t>
      </w:r>
    </w:p>
    <w:p>
      <w:pPr>
        <w:pStyle w:val="ListParagraph"/>
        <w:numPr>
          <w:ilvl w:val="0"/>
          <w:numId w:val="1"/>
        </w:numPr>
        <w:spacing w:after="36"/>
      </w:pPr>
      <w:r>
        <w:rPr>
          <w:rFonts w:ascii="Calibri" w:cs="Calibri" w:eastAsia="Calibri" w:hAnsi="Calibri"/>
          <w:b w:val="false"/>
          <w:bCs w:val="false"/>
          <w:i w:val="false"/>
          <w:iCs w:val="false"/>
          <w:color w:val="24303F"/>
          <w:sz w:val="19"/>
          <w:szCs w:val="19"/>
        </w:rPr>
        <w:t xml:space="preserve">Distinguish from reselling, referral/affiliate, and OEM in a short table — these get confused and each maps to a Trillet /partners track.</w:t>
      </w:r>
    </w:p>
    <w:p>
      <w:pPr>
        <w:spacing w:after="16" w:before="80"/>
      </w:pPr>
      <w:r>
        <w:rPr>
          <w:rFonts w:ascii="Calibri" w:cs="Calibri" w:eastAsia="Calibri" w:hAnsi="Calibri"/>
          <w:b/>
          <w:bCs/>
          <w:color w:val="16223C"/>
          <w:sz w:val="20"/>
          <w:szCs w:val="20"/>
        </w:rPr>
        <w:t xml:space="preserve">H2 — How a white-label partnership actually works</w:t>
      </w:r>
    </w:p>
    <w:p>
      <w:pPr>
        <w:pStyle w:val="ListParagraph"/>
        <w:numPr>
          <w:ilvl w:val="0"/>
          <w:numId w:val="1"/>
        </w:numPr>
        <w:spacing w:after="36"/>
      </w:pPr>
      <w:r>
        <w:rPr>
          <w:rFonts w:ascii="Calibri" w:cs="Calibri" w:eastAsia="Calibri" w:hAnsi="Calibri"/>
          <w:b w:val="false"/>
          <w:bCs w:val="false"/>
          <w:i w:val="false"/>
          <w:iCs w:val="false"/>
          <w:color w:val="24303F"/>
          <w:sz w:val="19"/>
          <w:szCs w:val="19"/>
        </w:rPr>
        <w:t xml:space="preserve">The mechanics: licensing/wholesale pricing, who owns the client, who handles support, branding depth (logo vs full domain/dashboard).</w:t>
      </w:r>
    </w:p>
    <w:p>
      <w:pPr>
        <w:pStyle w:val="ListParagraph"/>
        <w:numPr>
          <w:ilvl w:val="0"/>
          <w:numId w:val="1"/>
        </w:numPr>
        <w:spacing w:after="36"/>
      </w:pPr>
      <w:r>
        <w:rPr>
          <w:rFonts w:ascii="Calibri" w:cs="Calibri" w:eastAsia="Calibri" w:hAnsi="Calibri"/>
          <w:b w:val="false"/>
          <w:bCs w:val="false"/>
          <w:i w:val="false"/>
          <w:iCs w:val="false"/>
          <w:color w:val="24303F"/>
          <w:sz w:val="19"/>
          <w:szCs w:val="19"/>
        </w:rPr>
        <w:t xml:space="preserve">Include the money flow: what the vendor charges, what the partner keeps. Reference real numbers and link to the profit-margins post.</w:t>
      </w:r>
    </w:p>
    <w:p>
      <w:pPr>
        <w:spacing w:after="16" w:before="80"/>
      </w:pPr>
      <w:r>
        <w:rPr>
          <w:rFonts w:ascii="Calibri" w:cs="Calibri" w:eastAsia="Calibri" w:hAnsi="Calibri"/>
          <w:b/>
          <w:bCs/>
          <w:color w:val="16223C"/>
          <w:sz w:val="20"/>
          <w:szCs w:val="20"/>
        </w:rPr>
        <w:t xml:space="preserve">H2 — Why agencies choose white-label (the benefits)</w:t>
      </w:r>
    </w:p>
    <w:p>
      <w:pPr>
        <w:pStyle w:val="ListParagraph"/>
        <w:numPr>
          <w:ilvl w:val="0"/>
          <w:numId w:val="1"/>
        </w:numPr>
        <w:spacing w:after="36"/>
      </w:pPr>
      <w:r>
        <w:rPr>
          <w:rFonts w:ascii="Calibri" w:cs="Calibri" w:eastAsia="Calibri" w:hAnsi="Calibri"/>
          <w:b w:val="false"/>
          <w:bCs w:val="false"/>
          <w:i w:val="false"/>
          <w:iCs w:val="false"/>
          <w:color w:val="24303F"/>
          <w:sz w:val="19"/>
          <w:szCs w:val="19"/>
        </w:rPr>
        <w:t xml:space="preserve">Speed to market, no R&amp;D, recurring revenue, own the relationship. Keep it tight — 4-5 benefits, each one line.</w:t>
      </w:r>
    </w:p>
    <w:p>
      <w:pPr>
        <w:spacing w:after="16" w:before="80"/>
      </w:pPr>
      <w:r>
        <w:rPr>
          <w:rFonts w:ascii="Calibri" w:cs="Calibri" w:eastAsia="Calibri" w:hAnsi="Calibri"/>
          <w:b/>
          <w:bCs/>
          <w:color w:val="16223C"/>
          <w:sz w:val="20"/>
          <w:szCs w:val="20"/>
        </w:rPr>
        <w:t xml:space="preserve">H2 — The 4 partnership models compared</w:t>
      </w:r>
    </w:p>
    <w:p>
      <w:pPr>
        <w:pStyle w:val="ListParagraph"/>
        <w:numPr>
          <w:ilvl w:val="0"/>
          <w:numId w:val="1"/>
        </w:numPr>
        <w:spacing w:after="36"/>
      </w:pPr>
      <w:r>
        <w:rPr>
          <w:rFonts w:ascii="Calibri" w:cs="Calibri" w:eastAsia="Calibri" w:hAnsi="Calibri"/>
          <w:b w:val="false"/>
          <w:bCs w:val="false"/>
          <w:i w:val="false"/>
          <w:iCs w:val="false"/>
          <w:color w:val="24303F"/>
          <w:sz w:val="19"/>
          <w:szCs w:val="19"/>
        </w:rPr>
        <w:t xml:space="preserve">Full white-label vs reseller vs referral vs OEM. A comparison table: branding control, margin, effort, who owns support, best-fit partner. This is the section that earns the featured snippet.</w:t>
      </w:r>
    </w:p>
    <w:p>
      <w:pPr>
        <w:spacing w:after="16" w:before="80"/>
      </w:pPr>
      <w:r>
        <w:rPr>
          <w:rFonts w:ascii="Calibri" w:cs="Calibri" w:eastAsia="Calibri" w:hAnsi="Calibri"/>
          <w:b/>
          <w:bCs/>
          <w:color w:val="16223C"/>
          <w:sz w:val="20"/>
          <w:szCs w:val="20"/>
        </w:rPr>
        <w:t xml:space="preserve">H2 — How to choose a white-label partner (the checklist)</w:t>
      </w:r>
    </w:p>
    <w:p>
      <w:pPr>
        <w:pStyle w:val="ListParagraph"/>
        <w:numPr>
          <w:ilvl w:val="0"/>
          <w:numId w:val="1"/>
        </w:numPr>
        <w:spacing w:after="36"/>
      </w:pPr>
      <w:r>
        <w:rPr>
          <w:rFonts w:ascii="Calibri" w:cs="Calibri" w:eastAsia="Calibri" w:hAnsi="Calibri"/>
          <w:b w:val="false"/>
          <w:bCs w:val="false"/>
          <w:i w:val="false"/>
          <w:iCs w:val="false"/>
          <w:color w:val="24303F"/>
          <w:sz w:val="19"/>
          <w:szCs w:val="19"/>
        </w:rPr>
        <w:t xml:space="preserve">The decision framework — the highest-value section. Cover: pricing model &amp; margin headroom, branding depth, reliability/uptime, support &amp; onboarding, contract terms, and —</w:t>
      </w:r>
    </w:p>
    <w:p>
      <w:pPr>
        <w:pStyle w:val="ListParagraph"/>
        <w:numPr>
          <w:ilvl w:val="1"/>
          <w:numId w:val="1"/>
        </w:numPr>
        <w:spacing w:after="30"/>
      </w:pPr>
      <w:r>
        <w:rPr>
          <w:rFonts w:ascii="Calibri" w:cs="Calibri" w:eastAsia="Calibri" w:hAnsi="Calibri"/>
          <w:b/>
          <w:bCs/>
          <w:i w:val="false"/>
          <w:iCs w:val="false"/>
          <w:color w:val="24303F"/>
          <w:sz w:val="19"/>
          <w:szCs w:val="19"/>
        </w:rPr>
        <w:t xml:space="preserve">Compliance &amp; auditability: does the platform keep a verifiable record of every conversation? HIPAA/SOC 2? This is the subsection competitors skip — make it the strongest.</w:t>
      </w:r>
    </w:p>
    <w:p>
      <w:pPr>
        <w:pStyle w:val="ListParagraph"/>
        <w:numPr>
          <w:ilvl w:val="0"/>
          <w:numId w:val="1"/>
        </w:numPr>
        <w:spacing w:after="36"/>
      </w:pPr>
      <w:r>
        <w:rPr>
          <w:rFonts w:ascii="Calibri" w:cs="Calibri" w:eastAsia="Calibri" w:hAnsi="Calibri"/>
          <w:b w:val="false"/>
          <w:bCs w:val="false"/>
          <w:i w:val="false"/>
          <w:iCs w:val="false"/>
          <w:color w:val="24303F"/>
          <w:sz w:val="19"/>
          <w:szCs w:val="19"/>
        </w:rPr>
        <w:t xml:space="preserve">Deliver as a scannable checklist the reader can act on.</w:t>
      </w:r>
    </w:p>
    <w:p>
      <w:pPr>
        <w:spacing w:after="16" w:before="80"/>
      </w:pPr>
      <w:r>
        <w:rPr>
          <w:rFonts w:ascii="Calibri" w:cs="Calibri" w:eastAsia="Calibri" w:hAnsi="Calibri"/>
          <w:b/>
          <w:bCs/>
          <w:color w:val="16223C"/>
          <w:sz w:val="20"/>
          <w:szCs w:val="20"/>
        </w:rPr>
        <w:t xml:space="preserve">H2 — White-label partnership agreements: what to nail down</w:t>
      </w:r>
    </w:p>
    <w:p>
      <w:pPr>
        <w:pStyle w:val="ListParagraph"/>
        <w:numPr>
          <w:ilvl w:val="0"/>
          <w:numId w:val="1"/>
        </w:numPr>
        <w:spacing w:after="36"/>
      </w:pPr>
      <w:r>
        <w:rPr>
          <w:rFonts w:ascii="Calibri" w:cs="Calibri" w:eastAsia="Calibri" w:hAnsi="Calibri"/>
          <w:b w:val="false"/>
          <w:bCs w:val="false"/>
          <w:i w:val="false"/>
          <w:iCs w:val="false"/>
          <w:color w:val="24303F"/>
          <w:sz w:val="19"/>
          <w:szCs w:val="19"/>
        </w:rPr>
        <w:t xml:space="preserve">Term length (2-3 yr commitment norm), pricing locks, data ownership, exit/off-boarding, SLAs. Practical, not legal advice — flag ‘get it reviewed’.</w:t>
      </w:r>
    </w:p>
    <w:p>
      <w:pPr>
        <w:spacing w:after="16" w:before="80"/>
      </w:pPr>
      <w:r>
        <w:rPr>
          <w:rFonts w:ascii="Calibri" w:cs="Calibri" w:eastAsia="Calibri" w:hAnsi="Calibri"/>
          <w:b/>
          <w:bCs/>
          <w:color w:val="16223C"/>
          <w:sz w:val="20"/>
          <w:szCs w:val="20"/>
        </w:rPr>
        <w:t xml:space="preserve">H2 — Industries where white-label AI partnerships work best</w:t>
      </w:r>
    </w:p>
    <w:p>
      <w:pPr>
        <w:pStyle w:val="ListParagraph"/>
        <w:numPr>
          <w:ilvl w:val="0"/>
          <w:numId w:val="1"/>
        </w:numPr>
        <w:spacing w:after="36"/>
      </w:pPr>
      <w:r>
        <w:rPr>
          <w:rFonts w:ascii="Calibri" w:cs="Calibri" w:eastAsia="Calibri" w:hAnsi="Calibri"/>
          <w:b w:val="false"/>
          <w:bCs w:val="false"/>
          <w:i w:val="false"/>
          <w:iCs w:val="false"/>
          <w:color w:val="24303F"/>
          <w:sz w:val="19"/>
          <w:szCs w:val="19"/>
        </w:rPr>
        <w:t xml:space="preserve">Short — receptionist-heavy verticals (legal, medical, home services, real estate). Link to Trillet’s vertical pages. 120-150 words, not a listicle.</w:t>
      </w:r>
    </w:p>
    <w:p>
      <w:pPr>
        <w:spacing w:after="16" w:before="80"/>
      </w:pPr>
      <w:r>
        <w:rPr>
          <w:rFonts w:ascii="Calibri" w:cs="Calibri" w:eastAsia="Calibri" w:hAnsi="Calibri"/>
          <w:b/>
          <w:bCs/>
          <w:color w:val="16223C"/>
          <w:sz w:val="20"/>
          <w:szCs w:val="20"/>
        </w:rPr>
        <w:t xml:space="preserve">H2 — Getting started: your first white-label partnership</w:t>
      </w:r>
    </w:p>
    <w:p>
      <w:pPr>
        <w:pStyle w:val="ListParagraph"/>
        <w:numPr>
          <w:ilvl w:val="0"/>
          <w:numId w:val="1"/>
        </w:numPr>
        <w:spacing w:after="36"/>
      </w:pPr>
      <w:r>
        <w:rPr>
          <w:rFonts w:ascii="Calibri" w:cs="Calibri" w:eastAsia="Calibri" w:hAnsi="Calibri"/>
          <w:b w:val="false"/>
          <w:bCs w:val="false"/>
          <w:i w:val="false"/>
          <w:iCs w:val="false"/>
          <w:color w:val="24303F"/>
          <w:sz w:val="19"/>
          <w:szCs w:val="19"/>
        </w:rPr>
        <w:t xml:space="preserve">Concrete next steps → the Trillet /partners tracks (reseller / OEM / referral). This is the conversion section. One clear CTA.</w:t>
      </w:r>
    </w:p>
    <w:p>
      <w:pPr>
        <w:spacing w:after="16" w:before="80"/>
      </w:pPr>
      <w:r>
        <w:rPr>
          <w:rFonts w:ascii="Calibri" w:cs="Calibri" w:eastAsia="Calibri" w:hAnsi="Calibri"/>
          <w:b/>
          <w:bCs/>
          <w:color w:val="16223C"/>
          <w:sz w:val="20"/>
          <w:szCs w:val="20"/>
        </w:rPr>
        <w:t xml:space="preserve">FAQ (4-6 Q&amp;As, FAQPage schema)</w:t>
      </w:r>
    </w:p>
    <w:p>
      <w:pPr>
        <w:pStyle w:val="ListParagraph"/>
        <w:numPr>
          <w:ilvl w:val="0"/>
          <w:numId w:val="1"/>
        </w:numPr>
        <w:spacing w:after="36"/>
      </w:pPr>
      <w:r>
        <w:rPr>
          <w:rFonts w:ascii="Calibri" w:cs="Calibri" w:eastAsia="Calibri" w:hAnsi="Calibri"/>
          <w:b w:val="false"/>
          <w:bCs w:val="false"/>
          <w:i w:val="false"/>
          <w:iCs w:val="false"/>
          <w:color w:val="24303F"/>
          <w:sz w:val="19"/>
          <w:szCs w:val="19"/>
        </w:rPr>
        <w:t xml:space="preserve">What is a white-label partnership? · White-label vs reseller vs OEM? · How much can you earn? · How do I choose a partner? · Do I need a contract? · Is the AI compliant when I rebrand it?</w:t>
      </w:r>
    </w:p>
    <w:p>
      <w:pPr>
        <w:pBdr>
          <w:bottom w:val="single" w:color="D9DEE8" w:sz="6"/>
        </w:pBdr>
        <w:spacing w:after="110" w:before="110"/>
      </w:pPr>
      <w:r>
        <w:t xml:space="preserve"/>
      </w:r>
    </w:p>
    <w:p>
      <w:pPr>
        <w:spacing w:after="50" w:before="70"/>
      </w:pPr>
      <w:r>
        <w:rPr>
          <w:rFonts w:ascii="Georgia" w:cs="Georgia" w:eastAsia="Georgia" w:hAnsi="Georgia"/>
          <w:b/>
          <w:bCs/>
          <w:color w:val="16223C"/>
          <w:sz w:val="25"/>
          <w:szCs w:val="25"/>
        </w:rPr>
        <w:t xml:space="preserve">Must include</w:t>
      </w:r>
    </w:p>
    <w:p>
      <w:pPr>
        <w:pStyle w:val="ListParagraph"/>
        <w:numPr>
          <w:ilvl w:val="0"/>
          <w:numId w:val="1"/>
        </w:numPr>
        <w:spacing w:after="36"/>
      </w:pPr>
      <w:r>
        <w:rPr>
          <w:rFonts w:ascii="Calibri" w:cs="Calibri" w:eastAsia="Calibri" w:hAnsi="Calibri"/>
          <w:b/>
          <w:bCs/>
          <w:i w:val="false"/>
          <w:iCs w:val="false"/>
          <w:color w:val="24303F"/>
          <w:sz w:val="19"/>
          <w:szCs w:val="19"/>
        </w:rPr>
        <w:t xml:space="preserve">Two comparison tables </w:t>
      </w:r>
      <w:r>
        <w:rPr>
          <w:rFonts w:ascii="Calibri" w:cs="Calibri" w:eastAsia="Calibri" w:hAnsi="Calibri"/>
          <w:b w:val="false"/>
          <w:bCs w:val="false"/>
          <w:i w:val="false"/>
          <w:iCs w:val="false"/>
          <w:color w:val="24303F"/>
          <w:sz w:val="19"/>
          <w:szCs w:val="19"/>
        </w:rPr>
        <w:t xml:space="preserve">— the 4 models, and the partner-selection checklist. Tables win snippets and match SERP format.</w:t>
      </w:r>
    </w:p>
    <w:p>
      <w:pPr>
        <w:pStyle w:val="ListParagraph"/>
        <w:numPr>
          <w:ilvl w:val="0"/>
          <w:numId w:val="1"/>
        </w:numPr>
        <w:spacing w:after="36"/>
      </w:pPr>
      <w:r>
        <w:rPr>
          <w:rFonts w:ascii="Calibri" w:cs="Calibri" w:eastAsia="Calibri" w:hAnsi="Calibri"/>
          <w:b/>
          <w:bCs/>
          <w:i w:val="false"/>
          <w:iCs w:val="false"/>
          <w:color w:val="24303F"/>
          <w:sz w:val="19"/>
          <w:szCs w:val="19"/>
        </w:rPr>
        <w:t xml:space="preserve">Real market data </w:t>
      </w:r>
      <w:r>
        <w:rPr>
          <w:rFonts w:ascii="Calibri" w:cs="Calibri" w:eastAsia="Calibri" w:hAnsi="Calibri"/>
          <w:b w:val="false"/>
          <w:bCs w:val="false"/>
          <w:i w:val="false"/>
          <w:iCs w:val="false"/>
          <w:color w:val="24303F"/>
          <w:sz w:val="19"/>
          <w:szCs w:val="19"/>
        </w:rPr>
        <w:t xml:space="preserve">— cite credible 2026 figures (e.g. share of SaaS offering white-label programs; B2B distribution via white-label). Attribute sources; do not invent numbers.</w:t>
      </w:r>
    </w:p>
    <w:p>
      <w:pPr>
        <w:pStyle w:val="ListParagraph"/>
        <w:numPr>
          <w:ilvl w:val="0"/>
          <w:numId w:val="1"/>
        </w:numPr>
        <w:spacing w:after="36"/>
      </w:pPr>
      <w:r>
        <w:rPr>
          <w:rFonts w:ascii="Calibri" w:cs="Calibri" w:eastAsia="Calibri" w:hAnsi="Calibri"/>
          <w:b/>
          <w:bCs/>
          <w:i w:val="false"/>
          <w:iCs w:val="false"/>
          <w:color w:val="24303F"/>
          <w:sz w:val="19"/>
          <w:szCs w:val="19"/>
        </w:rPr>
        <w:t xml:space="preserve">A compliance subsection </w:t>
      </w:r>
      <w:r>
        <w:rPr>
          <w:rFonts w:ascii="Calibri" w:cs="Calibri" w:eastAsia="Calibri" w:hAnsi="Calibri"/>
          <w:b w:val="false"/>
          <w:bCs w:val="false"/>
          <w:i w:val="false"/>
          <w:iCs w:val="false"/>
          <w:color w:val="24303F"/>
          <w:sz w:val="19"/>
          <w:szCs w:val="19"/>
        </w:rPr>
        <w:t xml:space="preserve">— the differentiator. Every competitor omits it.</w:t>
      </w:r>
    </w:p>
    <w:p>
      <w:pPr>
        <w:pStyle w:val="ListParagraph"/>
        <w:numPr>
          <w:ilvl w:val="0"/>
          <w:numId w:val="1"/>
        </w:numPr>
        <w:spacing w:after="36"/>
      </w:pPr>
      <w:r>
        <w:rPr>
          <w:rFonts w:ascii="Calibri" w:cs="Calibri" w:eastAsia="Calibri" w:hAnsi="Calibri"/>
          <w:b/>
          <w:bCs/>
          <w:i w:val="false"/>
          <w:iCs w:val="false"/>
          <w:color w:val="24303F"/>
          <w:sz w:val="19"/>
          <w:szCs w:val="19"/>
        </w:rPr>
        <w:t xml:space="preserve">Trillet as the worked example </w:t>
      </w:r>
      <w:r>
        <w:rPr>
          <w:rFonts w:ascii="Calibri" w:cs="Calibri" w:eastAsia="Calibri" w:hAnsi="Calibri"/>
          <w:b w:val="false"/>
          <w:bCs w:val="false"/>
          <w:i w:val="false"/>
          <w:iCs w:val="false"/>
          <w:color w:val="24303F"/>
          <w:sz w:val="19"/>
          <w:szCs w:val="19"/>
        </w:rPr>
        <w:t xml:space="preserve">— use real Trillet margins/pricing where a concrete number helps, not as a running ad.</w:t>
      </w:r>
    </w:p>
    <w:p>
      <w:pPr>
        <w:pBdr>
          <w:bottom w:val="single" w:color="D9DEE8" w:sz="6"/>
        </w:pBdr>
        <w:spacing w:after="110" w:before="110"/>
      </w:pPr>
      <w:r>
        <w:t xml:space="preserve"/>
      </w:r>
    </w:p>
    <w:p>
      <w:pPr>
        <w:spacing w:after="50" w:before="70"/>
      </w:pPr>
      <w:r>
        <w:rPr>
          <w:rFonts w:ascii="Georgia" w:cs="Georgia" w:eastAsia="Georgia" w:hAnsi="Georgia"/>
          <w:b/>
          <w:bCs/>
          <w:color w:val="16223C"/>
          <w:sz w:val="25"/>
          <w:szCs w:val="25"/>
        </w:rPr>
        <w:t xml:space="preserve">Internal links (all live)</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4400"/>
        <w:gridCol w:w="3160"/>
        <w:gridCol w:w="1800"/>
      </w:tblGrid>
      <w:tr>
        <w:trPr>
          <w:tblHeader/>
        </w:trPr>
        <w:tc>
          <w:tcPr>
            <w:tcW w:type="dxa" w:w="4400"/>
            <w:tcBorders>
              <w:top w:val="single" w:color="D9DEE8" w:sz="4"/>
              <w:left w:val="single" w:color="D9DEE8" w:sz="4"/>
              <w:bottom w:val="single" w:color="D9DEE8" w:sz="4"/>
              <w:right w:val="single" w:color="D9DEE8" w:sz="4"/>
            </w:tcBorders>
            <w:shd w:fill="16223C" w:color="auto" w:val="clear"/>
            <w:tcMar>
              <w:top w:type="dxa" w:w="55"/>
              <w:left w:type="dxa" w:w="95"/>
              <w:bottom w:type="dxa" w:w="55"/>
              <w:right w:type="dxa" w:w="95"/>
            </w:tcMar>
          </w:tcPr>
          <w:p>
            <w:pPr>
              <w:spacing w:after="0" w:line="248"/>
            </w:pPr>
            <w:r>
              <w:rPr>
                <w:rFonts w:ascii="Calibri" w:cs="Calibri" w:eastAsia="Calibri" w:hAnsi="Calibri"/>
                <w:b/>
                <w:bCs/>
                <w:color w:val="FFFFFF"/>
                <w:sz w:val="15"/>
                <w:szCs w:val="15"/>
              </w:rPr>
              <w:t xml:space="preserve">Anchor (natural)</w:t>
            </w:r>
          </w:p>
        </w:tc>
        <w:tc>
          <w:tcPr>
            <w:tcW w:type="dxa" w:w="3160"/>
            <w:tcBorders>
              <w:top w:val="single" w:color="D9DEE8" w:sz="4"/>
              <w:left w:val="single" w:color="D9DEE8" w:sz="4"/>
              <w:bottom w:val="single" w:color="D9DEE8" w:sz="4"/>
              <w:right w:val="single" w:color="D9DEE8" w:sz="4"/>
            </w:tcBorders>
            <w:shd w:fill="16223C" w:color="auto" w:val="clear"/>
            <w:tcMar>
              <w:top w:type="dxa" w:w="55"/>
              <w:left w:type="dxa" w:w="95"/>
              <w:bottom w:type="dxa" w:w="55"/>
              <w:right w:type="dxa" w:w="95"/>
            </w:tcMar>
          </w:tcPr>
          <w:p>
            <w:pPr>
              <w:spacing w:after="0" w:line="248"/>
            </w:pPr>
            <w:r>
              <w:rPr>
                <w:rFonts w:ascii="Calibri" w:cs="Calibri" w:eastAsia="Calibri" w:hAnsi="Calibri"/>
                <w:b/>
                <w:bCs/>
                <w:color w:val="FFFFFF"/>
                <w:sz w:val="15"/>
                <w:szCs w:val="15"/>
              </w:rPr>
              <w:t xml:space="preserve">Target</w:t>
            </w:r>
          </w:p>
        </w:tc>
        <w:tc>
          <w:tcPr>
            <w:tcW w:type="dxa" w:w="1800"/>
            <w:tcBorders>
              <w:top w:val="single" w:color="D9DEE8" w:sz="4"/>
              <w:left w:val="single" w:color="D9DEE8" w:sz="4"/>
              <w:bottom w:val="single" w:color="D9DEE8" w:sz="4"/>
              <w:right w:val="single" w:color="D9DEE8" w:sz="4"/>
            </w:tcBorders>
            <w:shd w:fill="16223C" w:color="auto" w:val="clear"/>
            <w:tcMar>
              <w:top w:type="dxa" w:w="55"/>
              <w:left w:type="dxa" w:w="95"/>
              <w:bottom w:type="dxa" w:w="55"/>
              <w:right w:type="dxa" w:w="95"/>
            </w:tcMar>
          </w:tcPr>
          <w:p>
            <w:pPr>
              <w:spacing w:after="0" w:line="248"/>
            </w:pPr>
            <w:r>
              <w:rPr>
                <w:rFonts w:ascii="Calibri" w:cs="Calibri" w:eastAsia="Calibri" w:hAnsi="Calibri"/>
                <w:b/>
                <w:bCs/>
                <w:color w:val="FFFFFF"/>
                <w:sz w:val="15"/>
                <w:szCs w:val="15"/>
              </w:rPr>
              <w:t xml:space="preserve">Placement</w:t>
            </w:r>
          </w:p>
        </w:tc>
      </w:tr>
      <w:tr>
        <w:tc>
          <w:tcPr>
            <w:tcW w:type="dxa" w:w="4400"/>
            <w:tcBorders>
              <w:top w:val="single" w:color="D9DEE8" w:sz="4"/>
              <w:left w:val="single" w:color="D9DEE8" w:sz="4"/>
              <w:bottom w:val="single" w:color="D9DEE8" w:sz="4"/>
              <w:right w:val="single" w:color="D9DEE8" w:sz="4"/>
            </w:tcBorders>
            <w:shd w:fill="FFFFFF" w:color="auto" w:val="clear"/>
            <w:tcMar>
              <w:top w:type="dxa" w:w="55"/>
              <w:left w:type="dxa" w:w="95"/>
              <w:bottom w:type="dxa" w:w="55"/>
              <w:right w:type="dxa" w:w="95"/>
            </w:tcMar>
          </w:tcPr>
          <w:p>
            <w:pPr>
              <w:spacing w:after="0" w:line="248"/>
            </w:pPr>
            <w:r>
              <w:rPr>
                <w:rFonts w:ascii="Calibri" w:cs="Calibri" w:eastAsia="Calibri" w:hAnsi="Calibri"/>
                <w:b w:val="false"/>
                <w:bCs w:val="false"/>
                <w:color w:val="24303F"/>
                <w:sz w:val="14"/>
                <w:szCs w:val="14"/>
              </w:rPr>
              <w:t xml:space="preserve">become a white-label partner / partner program</w:t>
            </w:r>
          </w:p>
        </w:tc>
        <w:tc>
          <w:tcPr>
            <w:tcW w:type="dxa" w:w="3160"/>
            <w:tcBorders>
              <w:top w:val="single" w:color="D9DEE8" w:sz="4"/>
              <w:left w:val="single" w:color="D9DEE8" w:sz="4"/>
              <w:bottom w:val="single" w:color="D9DEE8" w:sz="4"/>
              <w:right w:val="single" w:color="D9DEE8" w:sz="4"/>
            </w:tcBorders>
            <w:shd w:fill="FFFFFF" w:color="auto" w:val="clear"/>
            <w:tcMar>
              <w:top w:type="dxa" w:w="55"/>
              <w:left w:type="dxa" w:w="95"/>
              <w:bottom w:type="dxa" w:w="55"/>
              <w:right w:type="dxa" w:w="95"/>
            </w:tcMar>
          </w:tcPr>
          <w:p>
            <w:pPr>
              <w:spacing w:after="0" w:line="248"/>
            </w:pPr>
            <w:r>
              <w:rPr>
                <w:rFonts w:ascii="Calibri" w:cs="Calibri" w:eastAsia="Calibri" w:hAnsi="Calibri"/>
                <w:b w:val="false"/>
                <w:bCs w:val="false"/>
                <w:color w:val="24303F"/>
                <w:sz w:val="14"/>
                <w:szCs w:val="14"/>
              </w:rPr>
              <w:t xml:space="preserve">/partners</w:t>
            </w:r>
          </w:p>
        </w:tc>
        <w:tc>
          <w:tcPr>
            <w:tcW w:type="dxa" w:w="1800"/>
            <w:tcBorders>
              <w:top w:val="single" w:color="D9DEE8" w:sz="4"/>
              <w:left w:val="single" w:color="D9DEE8" w:sz="4"/>
              <w:bottom w:val="single" w:color="D9DEE8" w:sz="4"/>
              <w:right w:val="single" w:color="D9DEE8" w:sz="4"/>
            </w:tcBorders>
            <w:shd w:fill="FFFFFF" w:color="auto" w:val="clear"/>
            <w:tcMar>
              <w:top w:type="dxa" w:w="55"/>
              <w:left w:type="dxa" w:w="95"/>
              <w:bottom w:type="dxa" w:w="55"/>
              <w:right w:type="dxa" w:w="95"/>
            </w:tcMar>
          </w:tcPr>
          <w:p>
            <w:pPr>
              <w:spacing w:after="0" w:line="248"/>
            </w:pPr>
            <w:r>
              <w:rPr>
                <w:rFonts w:ascii="Calibri" w:cs="Calibri" w:eastAsia="Calibri" w:hAnsi="Calibri"/>
                <w:b w:val="false"/>
                <w:bCs w:val="false"/>
                <w:color w:val="24303F"/>
                <w:sz w:val="14"/>
                <w:szCs w:val="14"/>
              </w:rPr>
              <w:t xml:space="preserve">Primary CTA — getting-started section</w:t>
            </w:r>
          </w:p>
        </w:tc>
      </w:tr>
      <w:tr>
        <w:tc>
          <w:tcPr>
            <w:tcW w:type="dxa" w:w="4400"/>
            <w:tcBorders>
              <w:top w:val="single" w:color="D9DEE8" w:sz="4"/>
              <w:left w:val="single" w:color="D9DEE8" w:sz="4"/>
              <w:bottom w:val="single" w:color="D9DEE8" w:sz="4"/>
              <w:right w:val="single" w:color="D9DEE8" w:sz="4"/>
            </w:tcBorders>
            <w:shd w:fill="FFFFFF" w:color="auto" w:val="clear"/>
            <w:tcMar>
              <w:top w:type="dxa" w:w="55"/>
              <w:left w:type="dxa" w:w="95"/>
              <w:bottom w:type="dxa" w:w="55"/>
              <w:right w:type="dxa" w:w="95"/>
            </w:tcMar>
          </w:tcPr>
          <w:p>
            <w:pPr>
              <w:spacing w:after="0" w:line="248"/>
            </w:pPr>
            <w:r>
              <w:rPr>
                <w:rFonts w:ascii="Calibri" w:cs="Calibri" w:eastAsia="Calibri" w:hAnsi="Calibri"/>
                <w:b w:val="false"/>
                <w:bCs w:val="false"/>
                <w:color w:val="24303F"/>
                <w:sz w:val="14"/>
                <w:szCs w:val="14"/>
              </w:rPr>
              <w:t xml:space="preserve">white-label voice AI platform</w:t>
            </w:r>
          </w:p>
        </w:tc>
        <w:tc>
          <w:tcPr>
            <w:tcW w:type="dxa" w:w="3160"/>
            <w:tcBorders>
              <w:top w:val="single" w:color="D9DEE8" w:sz="4"/>
              <w:left w:val="single" w:color="D9DEE8" w:sz="4"/>
              <w:bottom w:val="single" w:color="D9DEE8" w:sz="4"/>
              <w:right w:val="single" w:color="D9DEE8" w:sz="4"/>
            </w:tcBorders>
            <w:shd w:fill="FFFFFF" w:color="auto" w:val="clear"/>
            <w:tcMar>
              <w:top w:type="dxa" w:w="55"/>
              <w:left w:type="dxa" w:w="95"/>
              <w:bottom w:type="dxa" w:w="55"/>
              <w:right w:type="dxa" w:w="95"/>
            </w:tcMar>
          </w:tcPr>
          <w:p>
            <w:pPr>
              <w:spacing w:after="0" w:line="248"/>
            </w:pPr>
            <w:r>
              <w:rPr>
                <w:rFonts w:ascii="Calibri" w:cs="Calibri" w:eastAsia="Calibri" w:hAnsi="Calibri"/>
                <w:b w:val="false"/>
                <w:bCs w:val="false"/>
                <w:color w:val="24303F"/>
                <w:sz w:val="14"/>
                <w:szCs w:val="14"/>
              </w:rPr>
              <w:t xml:space="preserve">/whitelabel</w:t>
            </w:r>
          </w:p>
        </w:tc>
        <w:tc>
          <w:tcPr>
            <w:tcW w:type="dxa" w:w="1800"/>
            <w:tcBorders>
              <w:top w:val="single" w:color="D9DEE8" w:sz="4"/>
              <w:left w:val="single" w:color="D9DEE8" w:sz="4"/>
              <w:bottom w:val="single" w:color="D9DEE8" w:sz="4"/>
              <w:right w:val="single" w:color="D9DEE8" w:sz="4"/>
            </w:tcBorders>
            <w:shd w:fill="FFFFFF" w:color="auto" w:val="clear"/>
            <w:tcMar>
              <w:top w:type="dxa" w:w="55"/>
              <w:left w:type="dxa" w:w="95"/>
              <w:bottom w:type="dxa" w:w="55"/>
              <w:right w:type="dxa" w:w="95"/>
            </w:tcMar>
          </w:tcPr>
          <w:p>
            <w:pPr>
              <w:spacing w:after="0" w:line="248"/>
            </w:pPr>
            <w:r>
              <w:rPr>
                <w:rFonts w:ascii="Calibri" w:cs="Calibri" w:eastAsia="Calibri" w:hAnsi="Calibri"/>
                <w:b w:val="false"/>
                <w:bCs w:val="false"/>
                <w:color w:val="24303F"/>
                <w:sz w:val="14"/>
                <w:szCs w:val="14"/>
              </w:rPr>
              <w:t xml:space="preserve">Intro + models section</w:t>
            </w:r>
          </w:p>
        </w:tc>
      </w:tr>
      <w:tr>
        <w:tc>
          <w:tcPr>
            <w:tcW w:type="dxa" w:w="4400"/>
            <w:tcBorders>
              <w:top w:val="single" w:color="D9DEE8" w:sz="4"/>
              <w:left w:val="single" w:color="D9DEE8" w:sz="4"/>
              <w:bottom w:val="single" w:color="D9DEE8" w:sz="4"/>
              <w:right w:val="single" w:color="D9DEE8" w:sz="4"/>
            </w:tcBorders>
            <w:shd w:fill="FFFFFF" w:color="auto" w:val="clear"/>
            <w:tcMar>
              <w:top w:type="dxa" w:w="55"/>
              <w:left w:type="dxa" w:w="95"/>
              <w:bottom w:type="dxa" w:w="55"/>
              <w:right w:type="dxa" w:w="95"/>
            </w:tcMar>
          </w:tcPr>
          <w:p>
            <w:pPr>
              <w:spacing w:after="0" w:line="248"/>
            </w:pPr>
            <w:r>
              <w:rPr>
                <w:rFonts w:ascii="Calibri" w:cs="Calibri" w:eastAsia="Calibri" w:hAnsi="Calibri"/>
                <w:b w:val="false"/>
                <w:bCs w:val="false"/>
                <w:color w:val="24303F"/>
                <w:sz w:val="14"/>
                <w:szCs w:val="14"/>
              </w:rPr>
              <w:t xml:space="preserve">white-label profit margins</w:t>
            </w:r>
          </w:p>
        </w:tc>
        <w:tc>
          <w:tcPr>
            <w:tcW w:type="dxa" w:w="3160"/>
            <w:tcBorders>
              <w:top w:val="single" w:color="D9DEE8" w:sz="4"/>
              <w:left w:val="single" w:color="D9DEE8" w:sz="4"/>
              <w:bottom w:val="single" w:color="D9DEE8" w:sz="4"/>
              <w:right w:val="single" w:color="D9DEE8" w:sz="4"/>
            </w:tcBorders>
            <w:shd w:fill="FFFFFF" w:color="auto" w:val="clear"/>
            <w:tcMar>
              <w:top w:type="dxa" w:w="55"/>
              <w:left w:type="dxa" w:w="95"/>
              <w:bottom w:type="dxa" w:w="55"/>
              <w:right w:type="dxa" w:w="95"/>
            </w:tcMar>
          </w:tcPr>
          <w:p>
            <w:pPr>
              <w:spacing w:after="0" w:line="248"/>
            </w:pPr>
            <w:r>
              <w:rPr>
                <w:rFonts w:ascii="Calibri" w:cs="Calibri" w:eastAsia="Calibri" w:hAnsi="Calibri"/>
                <w:b w:val="false"/>
                <w:bCs w:val="false"/>
                <w:color w:val="24303F"/>
                <w:sz w:val="14"/>
                <w:szCs w:val="14"/>
              </w:rPr>
              <w:t xml:space="preserve">/blogs/white-label-ai-profit-margins</w:t>
            </w:r>
          </w:p>
        </w:tc>
        <w:tc>
          <w:tcPr>
            <w:tcW w:type="dxa" w:w="1800"/>
            <w:tcBorders>
              <w:top w:val="single" w:color="D9DEE8" w:sz="4"/>
              <w:left w:val="single" w:color="D9DEE8" w:sz="4"/>
              <w:bottom w:val="single" w:color="D9DEE8" w:sz="4"/>
              <w:right w:val="single" w:color="D9DEE8" w:sz="4"/>
            </w:tcBorders>
            <w:shd w:fill="FFFFFF" w:color="auto" w:val="clear"/>
            <w:tcMar>
              <w:top w:type="dxa" w:w="55"/>
              <w:left w:type="dxa" w:w="95"/>
              <w:bottom w:type="dxa" w:w="55"/>
              <w:right w:type="dxa" w:w="95"/>
            </w:tcMar>
          </w:tcPr>
          <w:p>
            <w:pPr>
              <w:spacing w:after="0" w:line="248"/>
            </w:pPr>
            <w:r>
              <w:rPr>
                <w:rFonts w:ascii="Calibri" w:cs="Calibri" w:eastAsia="Calibri" w:hAnsi="Calibri"/>
                <w:b w:val="false"/>
                <w:bCs w:val="false"/>
                <w:color w:val="24303F"/>
                <w:sz w:val="14"/>
                <w:szCs w:val="14"/>
              </w:rPr>
              <w:t xml:space="preserve">How-it-works (money flow)</w:t>
            </w:r>
          </w:p>
        </w:tc>
      </w:tr>
      <w:tr>
        <w:tc>
          <w:tcPr>
            <w:tcW w:type="dxa" w:w="4400"/>
            <w:tcBorders>
              <w:top w:val="single" w:color="D9DEE8" w:sz="4"/>
              <w:left w:val="single" w:color="D9DEE8" w:sz="4"/>
              <w:bottom w:val="single" w:color="D9DEE8" w:sz="4"/>
              <w:right w:val="single" w:color="D9DEE8" w:sz="4"/>
            </w:tcBorders>
            <w:shd w:fill="FFFFFF" w:color="auto" w:val="clear"/>
            <w:tcMar>
              <w:top w:type="dxa" w:w="55"/>
              <w:left w:type="dxa" w:w="95"/>
              <w:bottom w:type="dxa" w:w="55"/>
              <w:right w:type="dxa" w:w="95"/>
            </w:tcMar>
          </w:tcPr>
          <w:p>
            <w:pPr>
              <w:spacing w:after="0" w:line="248"/>
            </w:pPr>
            <w:r>
              <w:rPr>
                <w:rFonts w:ascii="Calibri" w:cs="Calibri" w:eastAsia="Calibri" w:hAnsi="Calibri"/>
                <w:b w:val="false"/>
                <w:bCs w:val="false"/>
                <w:color w:val="24303F"/>
                <w:sz w:val="14"/>
                <w:szCs w:val="14"/>
              </w:rPr>
              <w:t xml:space="preserve">reseller program comparison</w:t>
            </w:r>
          </w:p>
        </w:tc>
        <w:tc>
          <w:tcPr>
            <w:tcW w:type="dxa" w:w="3160"/>
            <w:tcBorders>
              <w:top w:val="single" w:color="D9DEE8" w:sz="4"/>
              <w:left w:val="single" w:color="D9DEE8" w:sz="4"/>
              <w:bottom w:val="single" w:color="D9DEE8" w:sz="4"/>
              <w:right w:val="single" w:color="D9DEE8" w:sz="4"/>
            </w:tcBorders>
            <w:shd w:fill="FFFFFF" w:color="auto" w:val="clear"/>
            <w:tcMar>
              <w:top w:type="dxa" w:w="55"/>
              <w:left w:type="dxa" w:w="95"/>
              <w:bottom w:type="dxa" w:w="55"/>
              <w:right w:type="dxa" w:w="95"/>
            </w:tcMar>
          </w:tcPr>
          <w:p>
            <w:pPr>
              <w:spacing w:after="0" w:line="248"/>
            </w:pPr>
            <w:r>
              <w:rPr>
                <w:rFonts w:ascii="Calibri" w:cs="Calibri" w:eastAsia="Calibri" w:hAnsi="Calibri"/>
                <w:b w:val="false"/>
                <w:bCs w:val="false"/>
                <w:color w:val="24303F"/>
                <w:sz w:val="14"/>
                <w:szCs w:val="14"/>
              </w:rPr>
              <w:t xml:space="preserve">/blogs/voice-agent-reseller-program-comparison</w:t>
            </w:r>
          </w:p>
        </w:tc>
        <w:tc>
          <w:tcPr>
            <w:tcW w:type="dxa" w:w="1800"/>
            <w:tcBorders>
              <w:top w:val="single" w:color="D9DEE8" w:sz="4"/>
              <w:left w:val="single" w:color="D9DEE8" w:sz="4"/>
              <w:bottom w:val="single" w:color="D9DEE8" w:sz="4"/>
              <w:right w:val="single" w:color="D9DEE8" w:sz="4"/>
            </w:tcBorders>
            <w:shd w:fill="FFFFFF" w:color="auto" w:val="clear"/>
            <w:tcMar>
              <w:top w:type="dxa" w:w="55"/>
              <w:left w:type="dxa" w:w="95"/>
              <w:bottom w:type="dxa" w:w="55"/>
              <w:right w:type="dxa" w:w="95"/>
            </w:tcMar>
          </w:tcPr>
          <w:p>
            <w:pPr>
              <w:spacing w:after="0" w:line="248"/>
            </w:pPr>
            <w:r>
              <w:rPr>
                <w:rFonts w:ascii="Calibri" w:cs="Calibri" w:eastAsia="Calibri" w:hAnsi="Calibri"/>
                <w:b w:val="false"/>
                <w:bCs w:val="false"/>
                <w:color w:val="24303F"/>
                <w:sz w:val="14"/>
                <w:szCs w:val="14"/>
              </w:rPr>
              <w:t xml:space="preserve">Models section</w:t>
            </w:r>
          </w:p>
        </w:tc>
      </w:tr>
      <w:tr>
        <w:tc>
          <w:tcPr>
            <w:tcW w:type="dxa" w:w="4400"/>
            <w:tcBorders>
              <w:top w:val="single" w:color="D9DEE8" w:sz="4"/>
              <w:left w:val="single" w:color="D9DEE8" w:sz="4"/>
              <w:bottom w:val="single" w:color="D9DEE8" w:sz="4"/>
              <w:right w:val="single" w:color="D9DEE8" w:sz="4"/>
            </w:tcBorders>
            <w:shd w:fill="FFFFFF" w:color="auto" w:val="clear"/>
            <w:tcMar>
              <w:top w:type="dxa" w:w="55"/>
              <w:left w:type="dxa" w:w="95"/>
              <w:bottom w:type="dxa" w:w="55"/>
              <w:right w:type="dxa" w:w="95"/>
            </w:tcMar>
          </w:tcPr>
          <w:p>
            <w:pPr>
              <w:spacing w:after="0" w:line="248"/>
            </w:pPr>
            <w:r>
              <w:rPr>
                <w:rFonts w:ascii="Calibri" w:cs="Calibri" w:eastAsia="Calibri" w:hAnsi="Calibri"/>
                <w:b w:val="false"/>
                <w:bCs w:val="false"/>
                <w:color w:val="24303F"/>
                <w:sz w:val="14"/>
                <w:szCs w:val="14"/>
              </w:rPr>
              <w:t xml:space="preserve">build vs buy white-label</w:t>
            </w:r>
          </w:p>
        </w:tc>
        <w:tc>
          <w:tcPr>
            <w:tcW w:type="dxa" w:w="3160"/>
            <w:tcBorders>
              <w:top w:val="single" w:color="D9DEE8" w:sz="4"/>
              <w:left w:val="single" w:color="D9DEE8" w:sz="4"/>
              <w:bottom w:val="single" w:color="D9DEE8" w:sz="4"/>
              <w:right w:val="single" w:color="D9DEE8" w:sz="4"/>
            </w:tcBorders>
            <w:shd w:fill="FFFFFF" w:color="auto" w:val="clear"/>
            <w:tcMar>
              <w:top w:type="dxa" w:w="55"/>
              <w:left w:type="dxa" w:w="95"/>
              <w:bottom w:type="dxa" w:w="55"/>
              <w:right w:type="dxa" w:w="95"/>
            </w:tcMar>
          </w:tcPr>
          <w:p>
            <w:pPr>
              <w:spacing w:after="0" w:line="248"/>
            </w:pPr>
            <w:r>
              <w:rPr>
                <w:rFonts w:ascii="Calibri" w:cs="Calibri" w:eastAsia="Calibri" w:hAnsi="Calibri"/>
                <w:b w:val="false"/>
                <w:bCs w:val="false"/>
                <w:color w:val="24303F"/>
                <w:sz w:val="14"/>
                <w:szCs w:val="14"/>
              </w:rPr>
              <w:t xml:space="preserve">/blogs/build-on-vapi-retell-vs-buy-white-label</w:t>
            </w:r>
          </w:p>
        </w:tc>
        <w:tc>
          <w:tcPr>
            <w:tcW w:type="dxa" w:w="1800"/>
            <w:tcBorders>
              <w:top w:val="single" w:color="D9DEE8" w:sz="4"/>
              <w:left w:val="single" w:color="D9DEE8" w:sz="4"/>
              <w:bottom w:val="single" w:color="D9DEE8" w:sz="4"/>
              <w:right w:val="single" w:color="D9DEE8" w:sz="4"/>
            </w:tcBorders>
            <w:shd w:fill="FFFFFF" w:color="auto" w:val="clear"/>
            <w:tcMar>
              <w:top w:type="dxa" w:w="55"/>
              <w:left w:type="dxa" w:w="95"/>
              <w:bottom w:type="dxa" w:w="55"/>
              <w:right w:type="dxa" w:w="95"/>
            </w:tcMar>
          </w:tcPr>
          <w:p>
            <w:pPr>
              <w:spacing w:after="0" w:line="248"/>
            </w:pPr>
            <w:r>
              <w:rPr>
                <w:rFonts w:ascii="Calibri" w:cs="Calibri" w:eastAsia="Calibri" w:hAnsi="Calibri"/>
                <w:b w:val="false"/>
                <w:bCs w:val="false"/>
                <w:color w:val="24303F"/>
                <w:sz w:val="14"/>
                <w:szCs w:val="14"/>
              </w:rPr>
              <w:t xml:space="preserve">How-it-works</w:t>
            </w:r>
          </w:p>
        </w:tc>
      </w:tr>
      <w:tr>
        <w:tc>
          <w:tcPr>
            <w:tcW w:type="dxa" w:w="4400"/>
            <w:tcBorders>
              <w:top w:val="single" w:color="D9DEE8" w:sz="4"/>
              <w:left w:val="single" w:color="D9DEE8" w:sz="4"/>
              <w:bottom w:val="single" w:color="D9DEE8" w:sz="4"/>
              <w:right w:val="single" w:color="D9DEE8" w:sz="4"/>
            </w:tcBorders>
            <w:shd w:fill="FFFFFF" w:color="auto" w:val="clear"/>
            <w:tcMar>
              <w:top w:type="dxa" w:w="55"/>
              <w:left w:type="dxa" w:w="95"/>
              <w:bottom w:type="dxa" w:w="55"/>
              <w:right w:type="dxa" w:w="95"/>
            </w:tcMar>
          </w:tcPr>
          <w:p>
            <w:pPr>
              <w:spacing w:after="0" w:line="248"/>
            </w:pPr>
            <w:r>
              <w:rPr>
                <w:rFonts w:ascii="Calibri" w:cs="Calibri" w:eastAsia="Calibri" w:hAnsi="Calibri"/>
                <w:b w:val="false"/>
                <w:bCs w:val="false"/>
                <w:color w:val="24303F"/>
                <w:sz w:val="14"/>
                <w:szCs w:val="14"/>
              </w:rPr>
              <w:t xml:space="preserve">what is a white-label AI receptionist</w:t>
            </w:r>
          </w:p>
        </w:tc>
        <w:tc>
          <w:tcPr>
            <w:tcW w:type="dxa" w:w="3160"/>
            <w:tcBorders>
              <w:top w:val="single" w:color="D9DEE8" w:sz="4"/>
              <w:left w:val="single" w:color="D9DEE8" w:sz="4"/>
              <w:bottom w:val="single" w:color="D9DEE8" w:sz="4"/>
              <w:right w:val="single" w:color="D9DEE8" w:sz="4"/>
            </w:tcBorders>
            <w:shd w:fill="FFFFFF" w:color="auto" w:val="clear"/>
            <w:tcMar>
              <w:top w:type="dxa" w:w="55"/>
              <w:left w:type="dxa" w:w="95"/>
              <w:bottom w:type="dxa" w:w="55"/>
              <w:right w:type="dxa" w:w="95"/>
            </w:tcMar>
          </w:tcPr>
          <w:p>
            <w:pPr>
              <w:spacing w:after="0" w:line="248"/>
            </w:pPr>
            <w:r>
              <w:rPr>
                <w:rFonts w:ascii="Calibri" w:cs="Calibri" w:eastAsia="Calibri" w:hAnsi="Calibri"/>
                <w:b w:val="false"/>
                <w:bCs w:val="false"/>
                <w:color w:val="24303F"/>
                <w:sz w:val="14"/>
                <w:szCs w:val="14"/>
              </w:rPr>
              <w:t xml:space="preserve">/blogs/what-is-white-label-ai-receptionist</w:t>
            </w:r>
          </w:p>
        </w:tc>
        <w:tc>
          <w:tcPr>
            <w:tcW w:type="dxa" w:w="1800"/>
            <w:tcBorders>
              <w:top w:val="single" w:color="D9DEE8" w:sz="4"/>
              <w:left w:val="single" w:color="D9DEE8" w:sz="4"/>
              <w:bottom w:val="single" w:color="D9DEE8" w:sz="4"/>
              <w:right w:val="single" w:color="D9DEE8" w:sz="4"/>
            </w:tcBorders>
            <w:shd w:fill="FFFFFF" w:color="auto" w:val="clear"/>
            <w:tcMar>
              <w:top w:type="dxa" w:w="55"/>
              <w:left w:type="dxa" w:w="95"/>
              <w:bottom w:type="dxa" w:w="55"/>
              <w:right w:type="dxa" w:w="95"/>
            </w:tcMar>
          </w:tcPr>
          <w:p>
            <w:pPr>
              <w:spacing w:after="0" w:line="248"/>
            </w:pPr>
            <w:r>
              <w:rPr>
                <w:rFonts w:ascii="Calibri" w:cs="Calibri" w:eastAsia="Calibri" w:hAnsi="Calibri"/>
                <w:b w:val="false"/>
                <w:bCs w:val="false"/>
                <w:color w:val="24303F"/>
                <w:sz w:val="14"/>
                <w:szCs w:val="14"/>
              </w:rPr>
              <w:t xml:space="preserve">Industries section</w:t>
            </w:r>
          </w:p>
        </w:tc>
      </w:tr>
      <w:tr>
        <w:tc>
          <w:tcPr>
            <w:tcW w:type="dxa" w:w="4400"/>
            <w:tcBorders>
              <w:top w:val="single" w:color="D9DEE8" w:sz="4"/>
              <w:left w:val="single" w:color="D9DEE8" w:sz="4"/>
              <w:bottom w:val="single" w:color="D9DEE8" w:sz="4"/>
              <w:right w:val="single" w:color="D9DEE8" w:sz="4"/>
            </w:tcBorders>
            <w:shd w:fill="FFFFFF" w:color="auto" w:val="clear"/>
            <w:tcMar>
              <w:top w:type="dxa" w:w="55"/>
              <w:left w:type="dxa" w:w="95"/>
              <w:bottom w:type="dxa" w:w="55"/>
              <w:right w:type="dxa" w:w="95"/>
            </w:tcMar>
          </w:tcPr>
          <w:p>
            <w:pPr>
              <w:spacing w:after="0" w:line="248"/>
            </w:pPr>
            <w:r>
              <w:rPr>
                <w:rFonts w:ascii="Calibri" w:cs="Calibri" w:eastAsia="Calibri" w:hAnsi="Calibri"/>
                <w:b w:val="false"/>
                <w:bCs w:val="false"/>
                <w:color w:val="24303F"/>
                <w:sz w:val="14"/>
                <w:szCs w:val="14"/>
              </w:rPr>
              <w:t xml:space="preserve">60-day agency launch plan</w:t>
            </w:r>
          </w:p>
        </w:tc>
        <w:tc>
          <w:tcPr>
            <w:tcW w:type="dxa" w:w="3160"/>
            <w:tcBorders>
              <w:top w:val="single" w:color="D9DEE8" w:sz="4"/>
              <w:left w:val="single" w:color="D9DEE8" w:sz="4"/>
              <w:bottom w:val="single" w:color="D9DEE8" w:sz="4"/>
              <w:right w:val="single" w:color="D9DEE8" w:sz="4"/>
            </w:tcBorders>
            <w:shd w:fill="FFFFFF" w:color="auto" w:val="clear"/>
            <w:tcMar>
              <w:top w:type="dxa" w:w="55"/>
              <w:left w:type="dxa" w:w="95"/>
              <w:bottom w:type="dxa" w:w="55"/>
              <w:right w:type="dxa" w:w="95"/>
            </w:tcMar>
          </w:tcPr>
          <w:p>
            <w:pPr>
              <w:spacing w:after="0" w:line="248"/>
            </w:pPr>
            <w:r>
              <w:rPr>
                <w:rFonts w:ascii="Calibri" w:cs="Calibri" w:eastAsia="Calibri" w:hAnsi="Calibri"/>
                <w:b w:val="false"/>
                <w:bCs w:val="false"/>
                <w:color w:val="24303F"/>
                <w:sz w:val="14"/>
                <w:szCs w:val="14"/>
              </w:rPr>
              <w:t xml:space="preserve">/blogs/60-day-ai-voice-agency-launch-plan</w:t>
            </w:r>
          </w:p>
        </w:tc>
        <w:tc>
          <w:tcPr>
            <w:tcW w:type="dxa" w:w="1800"/>
            <w:tcBorders>
              <w:top w:val="single" w:color="D9DEE8" w:sz="4"/>
              <w:left w:val="single" w:color="D9DEE8" w:sz="4"/>
              <w:bottom w:val="single" w:color="D9DEE8" w:sz="4"/>
              <w:right w:val="single" w:color="D9DEE8" w:sz="4"/>
            </w:tcBorders>
            <w:shd w:fill="FFFFFF" w:color="auto" w:val="clear"/>
            <w:tcMar>
              <w:top w:type="dxa" w:w="55"/>
              <w:left w:type="dxa" w:w="95"/>
              <w:bottom w:type="dxa" w:w="55"/>
              <w:right w:type="dxa" w:w="95"/>
            </w:tcMar>
          </w:tcPr>
          <w:p>
            <w:pPr>
              <w:spacing w:after="0" w:line="248"/>
            </w:pPr>
            <w:r>
              <w:rPr>
                <w:rFonts w:ascii="Calibri" w:cs="Calibri" w:eastAsia="Calibri" w:hAnsi="Calibri"/>
                <w:b w:val="false"/>
                <w:bCs w:val="false"/>
                <w:color w:val="24303F"/>
                <w:sz w:val="14"/>
                <w:szCs w:val="14"/>
              </w:rPr>
              <w:t xml:space="preserve">Getting-started</w:t>
            </w:r>
          </w:p>
        </w:tc>
      </w:tr>
    </w:tbl>
    <w:p>
      <w:pPr>
        <w:spacing w:after="80"/>
      </w:pPr>
      <w:r>
        <w:rPr>
          <w:rFonts w:ascii="Calibri" w:cs="Calibri" w:eastAsia="Calibri" w:hAnsi="Calibri"/>
          <w:i/>
          <w:iCs/>
          <w:color w:val="5A6675"/>
          <w:sz w:val="20"/>
          <w:szCs w:val="20"/>
        </w:rPr>
        <w:t xml:space="preserve">Reciprocal: Blog 2 (Best White-Label Reseller Programs) links back here as the ‘what is this model’ explainer.</w:t>
      </w:r>
    </w:p>
    <w:p>
      <w:pPr>
        <w:pBdr>
          <w:bottom w:val="single" w:color="D9DEE8" w:sz="6"/>
        </w:pBdr>
        <w:spacing w:after="110" w:before="110"/>
      </w:pPr>
      <w:r>
        <w:t xml:space="preserve"/>
      </w:r>
    </w:p>
    <w:p>
      <w:pPr>
        <w:spacing w:after="50" w:before="70"/>
      </w:pPr>
      <w:r>
        <w:rPr>
          <w:rFonts w:ascii="Georgia" w:cs="Georgia" w:eastAsia="Georgia" w:hAnsi="Georgia"/>
          <w:b/>
          <w:bCs/>
          <w:color w:val="16223C"/>
          <w:sz w:val="25"/>
          <w:szCs w:val="25"/>
        </w:rPr>
        <w:t xml:space="preserve">Schema</w:t>
      </w:r>
    </w:p>
    <w:p>
      <w:pPr>
        <w:pStyle w:val="ListParagraph"/>
        <w:numPr>
          <w:ilvl w:val="0"/>
          <w:numId w:val="1"/>
        </w:numPr>
        <w:spacing w:after="36"/>
      </w:pPr>
      <w:r>
        <w:rPr>
          <w:rFonts w:ascii="Calibri" w:cs="Calibri" w:eastAsia="Calibri" w:hAnsi="Calibri"/>
          <w:b w:val="false"/>
          <w:bCs w:val="false"/>
          <w:i w:val="false"/>
          <w:iCs w:val="false"/>
          <w:color w:val="24303F"/>
          <w:sz w:val="19"/>
          <w:szCs w:val="19"/>
        </w:rPr>
        <w:t xml:space="preserve">Article (headline, author, datePublished, dateModified) · FAQPage (the FAQ block) · BreadcrumbList (Home › Blog › this page). Reuse the sitewide Organization/@id.</w:t>
      </w:r>
    </w:p>
    <w:p>
      <w:pPr>
        <w:spacing w:after="50" w:before="70"/>
      </w:pPr>
      <w:r>
        <w:rPr>
          <w:rFonts w:ascii="Georgia" w:cs="Georgia" w:eastAsia="Georgia" w:hAnsi="Georgia"/>
          <w:b/>
          <w:bCs/>
          <w:color w:val="16223C"/>
          <w:sz w:val="25"/>
          <w:szCs w:val="25"/>
        </w:rPr>
        <w:t xml:space="preserve">On-page checklist for the writer</w:t>
      </w:r>
    </w:p>
    <w:p>
      <w:pPr>
        <w:pStyle w:val="ListParagraph"/>
        <w:numPr>
          <w:ilvl w:val="0"/>
          <w:numId w:val="1"/>
        </w:numPr>
        <w:spacing w:after="36"/>
      </w:pPr>
      <w:r>
        <w:rPr>
          <w:rFonts w:ascii="Calibri" w:cs="Calibri" w:eastAsia="Calibri" w:hAnsi="Calibri"/>
          <w:b w:val="false"/>
          <w:bCs w:val="false"/>
          <w:i w:val="false"/>
          <w:iCs w:val="false"/>
          <w:color w:val="24303F"/>
          <w:sz w:val="19"/>
          <w:szCs w:val="19"/>
        </w:rPr>
        <w:t xml:space="preserve">Primary keyword in H1, first 100 words, one H2, meta title &amp; description, slug.</w:t>
      </w:r>
    </w:p>
    <w:p>
      <w:pPr>
        <w:pStyle w:val="ListParagraph"/>
        <w:numPr>
          <w:ilvl w:val="0"/>
          <w:numId w:val="1"/>
        </w:numPr>
        <w:spacing w:after="36"/>
      </w:pPr>
      <w:r>
        <w:rPr>
          <w:rFonts w:ascii="Calibri" w:cs="Calibri" w:eastAsia="Calibri" w:hAnsi="Calibri"/>
          <w:b w:val="false"/>
          <w:bCs w:val="false"/>
          <w:i w:val="false"/>
          <w:iCs w:val="false"/>
          <w:color w:val="24303F"/>
          <w:sz w:val="19"/>
          <w:szCs w:val="19"/>
        </w:rPr>
        <w:t xml:space="preserve">Title ≤60 chars, meta ≤155. One H1 only.</w:t>
      </w:r>
    </w:p>
    <w:p>
      <w:pPr>
        <w:pStyle w:val="ListParagraph"/>
        <w:numPr>
          <w:ilvl w:val="0"/>
          <w:numId w:val="1"/>
        </w:numPr>
        <w:spacing w:after="36"/>
      </w:pPr>
      <w:r>
        <w:rPr>
          <w:rFonts w:ascii="Calibri" w:cs="Calibri" w:eastAsia="Calibri" w:hAnsi="Calibri"/>
          <w:b w:val="false"/>
          <w:bCs w:val="false"/>
          <w:i w:val="false"/>
          <w:iCs w:val="false"/>
          <w:color w:val="24303F"/>
          <w:sz w:val="19"/>
          <w:szCs w:val="19"/>
        </w:rPr>
        <w:t xml:space="preserve">Trillet voice: clipped declaratives, Australian spelling, minimal em-dashes, no hype adjectives. Lead with the reader’s decision.</w:t>
      </w:r>
    </w:p>
    <w:p>
      <w:pPr>
        <w:pStyle w:val="ListParagraph"/>
        <w:numPr>
          <w:ilvl w:val="0"/>
          <w:numId w:val="1"/>
        </w:numPr>
        <w:spacing w:after="36"/>
      </w:pPr>
      <w:r>
        <w:rPr>
          <w:rFonts w:ascii="Calibri" w:cs="Calibri" w:eastAsia="Calibri" w:hAnsi="Calibri"/>
          <w:b w:val="false"/>
          <w:bCs w:val="false"/>
          <w:i w:val="false"/>
          <w:iCs w:val="false"/>
          <w:color w:val="24303F"/>
          <w:sz w:val="19"/>
          <w:szCs w:val="19"/>
        </w:rPr>
        <w:t xml:space="preserve">Descriptive alt text on the model diagram and both tables’ lead image.</w:t>
      </w:r>
    </w:p>
    <w:p>
      <w:pPr>
        <w:pStyle w:val="ListParagraph"/>
        <w:numPr>
          <w:ilvl w:val="0"/>
          <w:numId w:val="1"/>
        </w:numPr>
        <w:spacing w:after="36"/>
      </w:pPr>
      <w:r>
        <w:rPr>
          <w:rFonts w:ascii="Calibri" w:cs="Calibri" w:eastAsia="Calibri" w:hAnsi="Calibri"/>
          <w:b w:val="false"/>
          <w:bCs w:val="false"/>
          <w:i w:val="false"/>
          <w:iCs w:val="false"/>
          <w:color w:val="24303F"/>
          <w:sz w:val="19"/>
          <w:szCs w:val="19"/>
        </w:rPr>
        <w:t xml:space="preserve">Every claim/stat attributed. No invented figures.</w:t>
      </w:r>
    </w:p>
    <w:p>
      <w:pPr>
        <w:pStyle w:val="ListParagraph"/>
        <w:numPr>
          <w:ilvl w:val="0"/>
          <w:numId w:val="1"/>
        </w:numPr>
        <w:spacing w:after="36"/>
      </w:pPr>
      <w:r>
        <w:rPr>
          <w:rFonts w:ascii="Calibri" w:cs="Calibri" w:eastAsia="Calibri" w:hAnsi="Calibri"/>
          <w:b w:val="false"/>
          <w:bCs w:val="false"/>
          <w:i w:val="false"/>
          <w:iCs w:val="false"/>
          <w:color w:val="24303F"/>
          <w:sz w:val="19"/>
          <w:szCs w:val="19"/>
        </w:rPr>
        <w:t xml:space="preserve">One primary CTA to /partners; don’t scatter competing CTAs.</w:t>
      </w:r>
    </w:p>
    <w:p>
      <w:pPr>
        <w:pBdr>
          <w:bottom w:val="single" w:color="D9DEE8" w:sz="6"/>
        </w:pBdr>
        <w:spacing w:after="110" w:before="110"/>
      </w:pPr>
      <w:r>
        <w:t xml:space="preserve"/>
      </w:r>
    </w:p>
    <w:p>
      <w:pPr>
        <w:spacing w:after="50" w:before="70"/>
      </w:pPr>
      <w:r>
        <w:rPr>
          <w:rFonts w:ascii="Georgia" w:cs="Georgia" w:eastAsia="Georgia" w:hAnsi="Georgia"/>
          <w:b/>
          <w:bCs/>
          <w:color w:val="16223C"/>
          <w:sz w:val="25"/>
          <w:szCs w:val="25"/>
        </w:rPr>
        <w:t xml:space="preserve">SERP reference (page 1 to beat)</w:t>
      </w:r>
    </w:p>
    <w:p>
      <w:pPr>
        <w:spacing w:after="80"/>
      </w:pPr>
      <w:r>
        <w:rPr>
          <w:rFonts w:ascii="Calibri" w:cs="Calibri" w:eastAsia="Calibri" w:hAnsi="Calibri"/>
          <w:i w:val="false"/>
          <w:iCs w:val="false"/>
          <w:color w:val="5A6675"/>
          <w:sz w:val="20"/>
          <w:szCs w:val="20"/>
        </w:rPr>
        <w:t xml:space="preserve">HelpSquad · Insighto · BotPenguin (two pages) · icecubedigital · zestwebsolutions. All horizontal ‘complete guide’ posts; definition-led, none voice-native, none compliance-led. Match their completeness, win on the compliance + real-margins depth and the voice-AI grounding.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303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2026-09-12T12:43:12.432Z</dcterms:created>
  <dcterms:modified xsi:type="dcterms:W3CDTF">2026-09-12T12:43:12.432Z</dcterms:modified>
</cp:coreProperties>
</file>

<file path=docProps/custom.xml><?xml version="1.0" encoding="utf-8"?>
<Properties xmlns="http://schemas.openxmlformats.org/officeDocument/2006/custom-properties" xmlns:vt="http://schemas.openxmlformats.org/officeDocument/2006/docPropsVTypes"/>
</file>