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 · CONTENT BRIEF · BLOG 1 OF 6</w:t>
      </w:r>
    </w:p>
    <w:p>
      <w:pPr>
        <w:spacing w:after="60"/>
      </w:pPr>
      <w:r>
        <w:rPr>
          <w:rFonts w:ascii="Georgia" w:cs="Georgia" w:eastAsia="Georgia" w:hAnsi="Georgia"/>
          <w:b/>
          <w:bCs/>
          <w:color w:val="16223C"/>
          <w:sz w:val="36"/>
          <w:szCs w:val="36"/>
        </w:rPr>
        <w:t xml:space="preserve">White-Label Partnerships: The Complete Guide</w:t>
      </w:r>
    </w:p>
    <w:p>
      <w:pPr>
        <w:spacing w:after="80"/>
      </w:pPr>
      <w:r>
        <w:rPr>
          <w:rFonts w:ascii="Calibri" w:cs="Calibri" w:eastAsia="Calibri" w:hAnsi="Calibri"/>
          <w:i w:val="false"/>
          <w:iCs w:val="false"/>
          <w:color w:val="5A6675"/>
          <w:sz w:val="20"/>
          <w:szCs w:val="20"/>
        </w:rPr>
        <w:t xml:space="preserve">A writer-ready brief. Everything needed to draft the page in one sitting — target, angle, full outline, internal links, schema and the on-page checklist. Grounded in the live SERP and Trillet's positioning.</w:t>
      </w:r>
    </w:p>
    <w:p>
      <w:pPr>
        <w:spacing w:after="50" w:before="70"/>
      </w:pPr>
      <w:r>
        <w:rPr>
          <w:rFonts w:ascii="Georgia" w:cs="Georgia" w:eastAsia="Georgia" w:hAnsi="Georgia"/>
          <w:b/>
          <w:bCs/>
          <w:color w:val="16223C"/>
          <w:sz w:val="25"/>
          <w:szCs w:val="25"/>
        </w:rPr>
        <w:t xml:space="preserve">The spec</w:t>
      </w:r>
    </w:p>
    <w:p>
      <w:pPr>
        <w:spacing w:after="30"/>
      </w:pPr>
      <w:r>
        <w:rPr>
          <w:rFonts w:ascii="Consolas" w:cs="Consolas" w:eastAsia="Consolas" w:hAnsi="Consolas"/>
          <w:b/>
          <w:bCs/>
          <w:color w:val="9A6B3F"/>
          <w:sz w:val="15"/>
          <w:szCs w:val="15"/>
        </w:rPr>
        <w:t xml:space="preserve">PRIMARY KEYWORD   </w:t>
      </w:r>
      <w:r>
        <w:rPr>
          <w:rFonts w:ascii="Calibri" w:cs="Calibri" w:eastAsia="Calibri" w:hAnsi="Calibri"/>
          <w:b w:val="false"/>
          <w:bCs w:val="false"/>
          <w:color w:val="24303F"/>
          <w:sz w:val="18"/>
          <w:szCs w:val="18"/>
        </w:rPr>
        <w:t xml:space="preserve">white label partnerships</w:t>
      </w:r>
    </w:p>
    <w:p>
      <w:pPr>
        <w:spacing w:after="30"/>
      </w:pPr>
      <w:r>
        <w:rPr>
          <w:rFonts w:ascii="Consolas" w:cs="Consolas" w:eastAsia="Consolas" w:hAnsi="Consolas"/>
          <w:b/>
          <w:bCs/>
          <w:color w:val="9A6B3F"/>
          <w:sz w:val="15"/>
          <w:szCs w:val="15"/>
        </w:rPr>
        <w:t xml:space="preserve">SECONDARY   </w:t>
      </w:r>
      <w:r>
        <w:rPr>
          <w:rFonts w:ascii="Calibri" w:cs="Calibri" w:eastAsia="Calibri" w:hAnsi="Calibri"/>
          <w:b w:val="false"/>
          <w:bCs w:val="false"/>
          <w:color w:val="24303F"/>
          <w:sz w:val="18"/>
          <w:szCs w:val="18"/>
        </w:rPr>
        <w:t xml:space="preserve">white label partnership guide · how white label partnerships work · how to choose a white label partner · white label partner program · white label partnership agreement</w:t>
      </w:r>
    </w:p>
    <w:p>
      <w:pPr>
        <w:spacing w:after="30"/>
      </w:pPr>
      <w:r>
        <w:rPr>
          <w:rFonts w:ascii="Consolas" w:cs="Consolas" w:eastAsia="Consolas" w:hAnsi="Consolas"/>
          <w:b/>
          <w:bCs/>
          <w:color w:val="9A6B3F"/>
          <w:sz w:val="15"/>
          <w:szCs w:val="15"/>
        </w:rPr>
        <w:t xml:space="preserve">SEARCH INTENT   </w:t>
      </w:r>
      <w:r>
        <w:rPr>
          <w:rFonts w:ascii="Calibri" w:cs="Calibri" w:eastAsia="Calibri" w:hAnsi="Calibri"/>
          <w:b w:val="false"/>
          <w:bCs w:val="false"/>
          <w:color w:val="24303F"/>
          <w:sz w:val="18"/>
          <w:szCs w:val="18"/>
        </w:rPr>
        <w:t xml:space="preserve">Informational, top-of-funnel. Someone exploring the model before they commit — likely an agency or SaaS founder deciding whether/how to resell.</w:t>
      </w:r>
    </w:p>
    <w:p>
      <w:pPr>
        <w:spacing w:after="30"/>
      </w:pPr>
      <w:r>
        <w:rPr>
          <w:rFonts w:ascii="Consolas" w:cs="Consolas" w:eastAsia="Consolas" w:hAnsi="Consolas"/>
          <w:b/>
          <w:bCs/>
          <w:color w:val="9A6B3F"/>
          <w:sz w:val="15"/>
          <w:szCs w:val="15"/>
        </w:rPr>
        <w:t xml:space="preserve">WORKING TITLE   </w:t>
      </w:r>
      <w:r>
        <w:rPr>
          <w:rFonts w:ascii="Consolas" w:cs="Consolas" w:eastAsia="Consolas" w:hAnsi="Consolas"/>
          <w:b w:val="false"/>
          <w:bCs w:val="false"/>
          <w:color w:val="24303F"/>
          <w:sz w:val="16"/>
          <w:szCs w:val="16"/>
        </w:rPr>
        <w:t xml:space="preserve">White-Label Partnerships: The Complete 2026 Guide   (49 char)</w:t>
      </w:r>
    </w:p>
    <w:p>
      <w:pPr>
        <w:spacing w:after="30"/>
      </w:pPr>
      <w:r>
        <w:rPr>
          <w:rFonts w:ascii="Consolas" w:cs="Consolas" w:eastAsia="Consolas" w:hAnsi="Consolas"/>
          <w:b/>
          <w:bCs/>
          <w:color w:val="9A6B3F"/>
          <w:sz w:val="15"/>
          <w:szCs w:val="15"/>
        </w:rPr>
        <w:t xml:space="preserve">META DESC.   </w:t>
      </w:r>
      <w:r>
        <w:rPr>
          <w:rFonts w:ascii="Consolas" w:cs="Consolas" w:eastAsia="Consolas" w:hAnsi="Consolas"/>
          <w:b w:val="false"/>
          <w:bCs w:val="false"/>
          <w:color w:val="24303F"/>
          <w:sz w:val="15"/>
          <w:szCs w:val="15"/>
        </w:rPr>
        <w:t xml:space="preserve">How white-label partnerships work in 2026: the models, the margins, how to choose a partner, and the compliance questions most agencies miss.   (141 char)</w:t>
      </w:r>
    </w:p>
    <w:p>
      <w:pPr>
        <w:spacing w:after="30"/>
      </w:pPr>
      <w:r>
        <w:rPr>
          <w:rFonts w:ascii="Consolas" w:cs="Consolas" w:eastAsia="Consolas" w:hAnsi="Consolas"/>
          <w:b/>
          <w:bCs/>
          <w:color w:val="9A6B3F"/>
          <w:sz w:val="15"/>
          <w:szCs w:val="15"/>
        </w:rPr>
        <w:t xml:space="preserve">URL SLUG   </w:t>
      </w:r>
      <w:r>
        <w:rPr>
          <w:rFonts w:ascii="Consolas" w:cs="Consolas" w:eastAsia="Consolas" w:hAnsi="Consolas"/>
          <w:b w:val="false"/>
          <w:bCs w:val="false"/>
          <w:color w:val="24303F"/>
          <w:sz w:val="16"/>
          <w:szCs w:val="16"/>
        </w:rPr>
        <w:t xml:space="preserve">/blogs/white-label-partnerships-guide   (no year in slug — the title carries it; keeps the URL evergreen)</w:t>
      </w:r>
    </w:p>
    <w:p>
      <w:pPr>
        <w:spacing w:after="30"/>
      </w:pPr>
      <w:r>
        <w:rPr>
          <w:rFonts w:ascii="Consolas" w:cs="Consolas" w:eastAsia="Consolas" w:hAnsi="Consolas"/>
          <w:b/>
          <w:bCs/>
          <w:color w:val="9A6B3F"/>
          <w:sz w:val="15"/>
          <w:szCs w:val="15"/>
        </w:rPr>
        <w:t xml:space="preserve">LENGTH   </w:t>
      </w:r>
      <w:r>
        <w:rPr>
          <w:rFonts w:ascii="Calibri" w:cs="Calibri" w:eastAsia="Calibri" w:hAnsi="Calibri"/>
          <w:b w:val="false"/>
          <w:bCs w:val="false"/>
          <w:color w:val="24303F"/>
          <w:sz w:val="18"/>
          <w:szCs w:val="18"/>
        </w:rPr>
        <w:t xml:space="preserve">2,200-2,800 words. Comprehensive enough to match the SERP’s ‘complete guide’ pages, not padded.</w:t>
      </w:r>
    </w:p>
    <w:p>
      <w:pPr>
        <w:spacing w:after="30"/>
      </w:pPr>
      <w:r>
        <w:rPr>
          <w:rFonts w:ascii="Consolas" w:cs="Consolas" w:eastAsia="Consolas" w:hAnsi="Consolas"/>
          <w:b/>
          <w:bCs/>
          <w:color w:val="9A6B3F"/>
          <w:sz w:val="15"/>
          <w:szCs w:val="15"/>
        </w:rPr>
        <w:t xml:space="preserve">FUNNEL ROLE   </w:t>
      </w:r>
      <w:r>
        <w:rPr>
          <w:rFonts w:ascii="Calibri" w:cs="Calibri" w:eastAsia="Calibri" w:hAnsi="Calibri"/>
          <w:b w:val="false"/>
          <w:bCs w:val="false"/>
          <w:color w:val="24303F"/>
          <w:sz w:val="18"/>
          <w:szCs w:val="18"/>
        </w:rPr>
        <w:t xml:space="preserve">Top of funnel → routes to /partners (primary CTA) and /whitelabel. Feeds the currently-invisible partner funnel.</w:t>
      </w:r>
    </w:p>
    <w:p>
      <w:pPr>
        <w:spacing w:after="30"/>
      </w:pPr>
      <w:r>
        <w:rPr>
          <w:rFonts w:ascii="Consolas" w:cs="Consolas" w:eastAsia="Consolas" w:hAnsi="Consolas"/>
          <w:b/>
          <w:bCs/>
          <w:color w:val="9A6B3F"/>
          <w:sz w:val="15"/>
          <w:szCs w:val="15"/>
        </w:rPr>
        <w:t xml:space="preserve">PUBLISH   </w:t>
      </w:r>
      <w:r>
        <w:rPr>
          <w:rFonts w:ascii="Calibri" w:cs="Calibri" w:eastAsia="Calibri" w:hAnsi="Calibri"/>
          <w:b w:val="false"/>
          <w:bCs w:val="false"/>
          <w:color w:val="24303F"/>
          <w:sz w:val="18"/>
          <w:szCs w:val="18"/>
        </w:rPr>
        <w:t xml:space="preserve">Week 1 of the sprint.</w:t>
      </w:r>
    </w:p>
    <w:p>
      <w:pPr>
        <w:pBdr>
          <w:bottom w:val="single" w:color="D9DEE8" w:sz="6"/>
        </w:pBdr>
        <w:spacing w:after="110" w:before="110"/>
      </w:pPr>
      <w:r>
        <w:t xml:space="preserve"/>
      </w:r>
    </w:p>
    <w:p>
      <w:pPr>
        <w:spacing w:after="50" w:before="70"/>
      </w:pPr>
      <w:r>
        <w:rPr>
          <w:rFonts w:ascii="Georgia" w:cs="Georgia" w:eastAsia="Georgia" w:hAnsi="Georgia"/>
          <w:b/>
          <w:bCs/>
          <w:color w:val="16223C"/>
          <w:sz w:val="25"/>
          <w:szCs w:val="25"/>
        </w:rPr>
        <w:t xml:space="preserve">The angle — how this page wins</w:t>
      </w:r>
    </w:p>
    <w:p>
      <w:pPr>
        <w:spacing w:after="80"/>
      </w:pPr>
      <w:r>
        <w:rPr>
          <w:rFonts w:ascii="Calibri" w:cs="Calibri" w:eastAsia="Calibri" w:hAnsi="Calibri"/>
          <w:i w:val="false"/>
          <w:iCs w:val="false"/>
          <w:color w:val="24303F"/>
          <w:sz w:val="20"/>
          <w:szCs w:val="20"/>
        </w:rPr>
        <w:t xml:space="preserve">Page 1 today is all generalist guides — HelpSquad, Insighto, BotPenguin, icecubedigital, zestwebsolutions. They define the model well but they are horizontal (SEO, SaaS, chatbots) and none lead with the two things that actually matter when you resell someone else’s AI under your own name:</w:t>
      </w:r>
    </w:p>
    <w:p>
      <w:pPr>
        <w:pStyle w:val="ListParagraph"/>
        <w:numPr>
          <w:ilvl w:val="0"/>
          <w:numId w:val="1"/>
        </w:numPr>
        <w:spacing w:after="36"/>
      </w:pPr>
      <w:r>
        <w:rPr>
          <w:rFonts w:ascii="Calibri" w:cs="Calibri" w:eastAsia="Calibri" w:hAnsi="Calibri"/>
          <w:b/>
          <w:bCs/>
          <w:i w:val="false"/>
          <w:iCs w:val="false"/>
          <w:color w:val="24303F"/>
          <w:sz w:val="19"/>
          <w:szCs w:val="19"/>
        </w:rPr>
        <w:t xml:space="preserve">Compliance and an auditable record. </w:t>
      </w:r>
      <w:r>
        <w:rPr>
          <w:rFonts w:ascii="Calibri" w:cs="Calibri" w:eastAsia="Calibri" w:hAnsi="Calibri"/>
          <w:b w:val="false"/>
          <w:bCs w:val="false"/>
          <w:i w:val="false"/>
          <w:iCs w:val="false"/>
          <w:color w:val="24303F"/>
          <w:sz w:val="19"/>
          <w:szCs w:val="19"/>
        </w:rPr>
        <w:t xml:space="preserve">When you put your brand on an AI that talks to customers, you inherit the liability. No competing guide treats this as central — it is Trillet’s wedge.</w:t>
      </w:r>
    </w:p>
    <w:p>
      <w:pPr>
        <w:pStyle w:val="ListParagraph"/>
        <w:numPr>
          <w:ilvl w:val="0"/>
          <w:numId w:val="1"/>
        </w:numPr>
        <w:spacing w:after="36"/>
      </w:pPr>
      <w:r>
        <w:rPr>
          <w:rFonts w:ascii="Calibri" w:cs="Calibri" w:eastAsia="Calibri" w:hAnsi="Calibri"/>
          <w:b/>
          <w:bCs/>
          <w:i w:val="false"/>
          <w:iCs w:val="false"/>
          <w:color w:val="24303F"/>
          <w:sz w:val="19"/>
          <w:szCs w:val="19"/>
        </w:rPr>
        <w:t xml:space="preserve">Voice-first, high-stakes reality. </w:t>
      </w:r>
      <w:r>
        <w:rPr>
          <w:rFonts w:ascii="Calibri" w:cs="Calibri" w:eastAsia="Calibri" w:hAnsi="Calibri"/>
          <w:b w:val="false"/>
          <w:bCs w:val="false"/>
          <w:i w:val="false"/>
          <w:iCs w:val="false"/>
          <w:color w:val="24303F"/>
          <w:sz w:val="19"/>
          <w:szCs w:val="19"/>
        </w:rPr>
        <w:t xml:space="preserve">Generic guides cover ‘products’ abstractly. This one is grounded in reselling AI voice agents — real margins, real client-handover, real call quality.</w:t>
      </w:r>
    </w:p>
    <w:tbl>
      <w:tblPr>
        <w:tblW w:type="dxa" w:w="9360"/>
        <w:tblBorders>
          <w:top w:val="single" w:color="9A6B3F" w:sz="4"/>
          <w:left w:val="single" w:color="9A6B3F" w:sz="4"/>
          <w:bottom w:val="single" w:color="9A6B3F" w:sz="4"/>
          <w:right w:val="single" w:color="9A6B3F" w:sz="4"/>
          <w:insideH w:val="single" w:color="9A6B3F" w:sz="4"/>
          <w:insideV w:val="single" w:color="9A6B3F" w:sz="4"/>
        </w:tblBorders>
      </w:tblPr>
      <w:tblGrid>
        <w:gridCol w:w="9360"/>
      </w:tblGrid>
      <w:tr>
        <w:tc>
          <w:tcPr>
            <w:tcW w:type="dxa" w:w="9360"/>
            <w:tcBorders>
              <w:top w:val="single" w:color="9A6B3F" w:sz="4"/>
              <w:left w:val="single" w:color="9A6B3F" w:sz="4"/>
              <w:bottom w:val="single" w:color="9A6B3F" w:sz="4"/>
              <w:right w:val="single" w:color="9A6B3F" w:sz="4"/>
            </w:tcBorders>
            <w:shd w:fill="F1ECE2" w:color="auto" w:val="clear"/>
            <w:tcMar>
              <w:top w:type="dxa" w:w="120"/>
              <w:left w:type="dxa" w:w="150"/>
              <w:bottom w:type="dxa" w:w="120"/>
              <w:right w:type="dxa" w:w="150"/>
            </w:tcMar>
          </w:tcPr>
          <w:p>
            <w:pPr>
              <w:spacing w:after="50"/>
            </w:pPr>
            <w:r>
              <w:rPr>
                <w:rFonts w:ascii="Georgia" w:cs="Georgia" w:eastAsia="Georgia" w:hAnsi="Georgia"/>
                <w:b/>
                <w:bCs/>
                <w:color w:val="16223C"/>
                <w:sz w:val="21"/>
                <w:szCs w:val="21"/>
              </w:rPr>
              <w:t xml:space="preserve">The one rule for this page</w:t>
            </w:r>
          </w:p>
          <w:p>
            <w:pPr>
              <w:spacing w:after="40"/>
            </w:pPr>
            <w:r>
              <w:rPr>
                <w:rFonts w:ascii="Calibri" w:cs="Calibri" w:eastAsia="Calibri" w:hAnsi="Calibri"/>
                <w:color w:val="24303F"/>
                <w:sz w:val="18"/>
                <w:szCs w:val="18"/>
              </w:rPr>
              <w:t xml:space="preserve">It teaches the model honestly and completely — it is not a Trillet ad. Trillet appears as the worked example and the recommended partner, earned by being the most rigorous section on compliance and margins. Lead with the reader’s decision, not the pitch.</w:t>
            </w:r>
          </w:p>
        </w:tc>
      </w:tr>
    </w:tbl>
    <w:p>
      <w:pPr>
        <w:pBdr>
          <w:bottom w:val="single" w:color="D9DEE8" w:sz="6"/>
        </w:pBdr>
        <w:spacing w:after="110" w:before="110"/>
      </w:pPr>
      <w:r>
        <w:t xml:space="preserve"/>
      </w:r>
    </w:p>
    <w:p>
      <w:pPr>
        <w:spacing w:after="50" w:before="70"/>
      </w:pPr>
      <w:r>
        <w:rPr>
          <w:rFonts w:ascii="Georgia" w:cs="Georgia" w:eastAsia="Georgia" w:hAnsi="Georgia"/>
          <w:b/>
          <w:bCs/>
          <w:color w:val="16223C"/>
          <w:sz w:val="25"/>
          <w:szCs w:val="25"/>
        </w:rPr>
        <w:t xml:space="preserve">The outline</w:t>
      </w:r>
    </w:p>
    <w:p>
      <w:pPr>
        <w:spacing w:after="80"/>
      </w:pPr>
      <w:r>
        <w:rPr>
          <w:rFonts w:ascii="Calibri" w:cs="Calibri" w:eastAsia="Calibri" w:hAnsi="Calibri"/>
          <w:i w:val="false"/>
          <w:iCs w:val="false"/>
          <w:color w:val="5A6675"/>
          <w:sz w:val="20"/>
          <w:szCs w:val="20"/>
        </w:rPr>
        <w:t xml:space="preserve">H1 = the working title. Sections in order; each note says what the section must deliver.</w:t>
      </w:r>
    </w:p>
    <w:p>
      <w:pPr>
        <w:spacing w:after="16" w:before="80"/>
      </w:pPr>
      <w:r>
        <w:rPr>
          <w:rFonts w:ascii="Calibri" w:cs="Calibri" w:eastAsia="Calibri" w:hAnsi="Calibri"/>
          <w:b/>
          <w:bCs/>
          <w:color w:val="16223C"/>
          <w:sz w:val="20"/>
          <w:szCs w:val="20"/>
        </w:rPr>
        <w:t xml:space="preserve">Intro (100-150 words)</w:t>
      </w:r>
    </w:p>
    <w:p>
      <w:pPr>
        <w:pStyle w:val="ListParagraph"/>
        <w:numPr>
          <w:ilvl w:val="0"/>
          <w:numId w:val="1"/>
        </w:numPr>
        <w:spacing w:after="36"/>
      </w:pPr>
      <w:r>
        <w:rPr>
          <w:rFonts w:ascii="Calibri" w:cs="Calibri" w:eastAsia="Calibri" w:hAnsi="Calibri"/>
          <w:b/>
          <w:bCs/>
          <w:i w:val="false"/>
          <w:iCs w:val="false"/>
          <w:color w:val="24303F"/>
          <w:sz w:val="19"/>
          <w:szCs w:val="19"/>
        </w:rPr>
        <w:t xml:space="preserve">Guideline #1 — open with the answer, not the pitch. </w:t>
      </w:r>
      <w:r>
        <w:rPr>
          <w:rFonts w:ascii="Calibri" w:cs="Calibri" w:eastAsia="Calibri" w:hAnsi="Calibri"/>
          <w:b w:val="false"/>
          <w:bCs w:val="false"/>
          <w:i w:val="false"/>
          <w:iCs w:val="false"/>
          <w:color w:val="24303F"/>
          <w:sz w:val="19"/>
          <w:szCs w:val="19"/>
        </w:rPr>
        <w:t xml:space="preserve">Sentence one must define what a white-label partnership is, in the searcher’s own words — the query is definitional. Then the two-line payoff for an agency (sell AI without building it), then what the guide covers. No throat-clearing, no Trillet pitch yet.</w:t>
      </w:r>
    </w:p>
    <w:p>
      <w:pPr>
        <w:spacing w:after="16" w:before="80"/>
      </w:pPr>
      <w:r>
        <w:rPr>
          <w:rFonts w:ascii="Calibri" w:cs="Calibri" w:eastAsia="Calibri" w:hAnsi="Calibri"/>
          <w:b/>
          <w:bCs/>
          <w:color w:val="16223C"/>
          <w:sz w:val="20"/>
          <w:szCs w:val="20"/>
        </w:rPr>
        <w:t xml:space="preserve">H2 — What is a white-label partnership?</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Plain definition: provider builds, partner rebrands and sells, customer sees only the partner. One diagram-ready explanation.</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Distinguish from reselling, referral/affiliate, and OEM in a short table — these get confused and each maps to a Trillet /partners track.</w:t>
      </w:r>
    </w:p>
    <w:p>
      <w:pPr>
        <w:spacing w:after="16" w:before="80"/>
      </w:pPr>
      <w:r>
        <w:rPr>
          <w:rFonts w:ascii="Calibri" w:cs="Calibri" w:eastAsia="Calibri" w:hAnsi="Calibri"/>
          <w:b/>
          <w:bCs/>
          <w:color w:val="16223C"/>
          <w:sz w:val="20"/>
          <w:szCs w:val="20"/>
        </w:rPr>
        <w:t xml:space="preserve">H2 — How a white-label partnership actually works</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The mechanics: licensing/wholesale pricing, who owns the client, who handles support, branding depth (logo vs full domain/dashboard).</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Include the money flow: what the vendor charges, what the partner keeps. Reference real numbers and link to the profit-margins post.</w:t>
      </w:r>
    </w:p>
    <w:p>
      <w:pPr>
        <w:spacing w:after="16" w:before="80"/>
      </w:pPr>
      <w:r>
        <w:rPr>
          <w:rFonts w:ascii="Calibri" w:cs="Calibri" w:eastAsia="Calibri" w:hAnsi="Calibri"/>
          <w:b/>
          <w:bCs/>
          <w:color w:val="16223C"/>
          <w:sz w:val="20"/>
          <w:szCs w:val="20"/>
        </w:rPr>
        <w:t xml:space="preserve">H2 — Why agencies choose white-label (the benefits)</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Speed to market, no R&amp;D, recurring revenue, own the relationship. Keep it tight — 4-5 benefits, each one line.</w:t>
      </w:r>
    </w:p>
    <w:p>
      <w:pPr>
        <w:spacing w:after="16" w:before="80"/>
      </w:pPr>
      <w:r>
        <w:rPr>
          <w:rFonts w:ascii="Calibri" w:cs="Calibri" w:eastAsia="Calibri" w:hAnsi="Calibri"/>
          <w:b/>
          <w:bCs/>
          <w:color w:val="16223C"/>
          <w:sz w:val="20"/>
          <w:szCs w:val="20"/>
        </w:rPr>
        <w:t xml:space="preserve">H2 — The 4 partnership models compared</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Full white-label vs reseller vs referral vs OEM. A comparison table: branding control, margin, effort, who owns support, best-fit partner. This is the section that earns the featured snippet.</w:t>
      </w:r>
    </w:p>
    <w:p>
      <w:pPr>
        <w:spacing w:after="16" w:before="80"/>
      </w:pPr>
      <w:r>
        <w:rPr>
          <w:rFonts w:ascii="Calibri" w:cs="Calibri" w:eastAsia="Calibri" w:hAnsi="Calibri"/>
          <w:b/>
          <w:bCs/>
          <w:color w:val="16223C"/>
          <w:sz w:val="20"/>
          <w:szCs w:val="20"/>
        </w:rPr>
        <w:t xml:space="preserve">H2 — How to choose a white-label partner (the checklist)</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The decision framework — the highest-value section. Cover: pricing model &amp; margin headroom, branding depth, reliability/uptime, support &amp; onboarding, contract terms, and —</w:t>
      </w:r>
    </w:p>
    <w:p>
      <w:pPr>
        <w:pStyle w:val="ListParagraph"/>
        <w:numPr>
          <w:ilvl w:val="1"/>
          <w:numId w:val="1"/>
        </w:numPr>
        <w:spacing w:after="30"/>
      </w:pPr>
      <w:r>
        <w:rPr>
          <w:rFonts w:ascii="Calibri" w:cs="Calibri" w:eastAsia="Calibri" w:hAnsi="Calibri"/>
          <w:b/>
          <w:bCs/>
          <w:i w:val="false"/>
          <w:iCs w:val="false"/>
          <w:color w:val="24303F"/>
          <w:sz w:val="19"/>
          <w:szCs w:val="19"/>
        </w:rPr>
        <w:t xml:space="preserve">Compliance &amp; auditability: does the platform keep a verifiable record of every conversation? HIPAA/SOC 2? This is the subsection competitors skip — make it the strongest.</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Deliver as a scannable checklist the reader can act on.</w:t>
      </w:r>
    </w:p>
    <w:p>
      <w:pPr>
        <w:spacing w:after="16" w:before="80"/>
      </w:pPr>
      <w:r>
        <w:rPr>
          <w:rFonts w:ascii="Calibri" w:cs="Calibri" w:eastAsia="Calibri" w:hAnsi="Calibri"/>
          <w:b/>
          <w:bCs/>
          <w:color w:val="16223C"/>
          <w:sz w:val="20"/>
          <w:szCs w:val="20"/>
        </w:rPr>
        <w:t xml:space="preserve">H2 — White-label partnership agreements: what to nail down</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Term length (2-3 yr commitment norm), pricing locks, data ownership, exit/off-boarding, SLAs. Practical, not legal advice — flag ‘get it reviewed’.</w:t>
      </w:r>
    </w:p>
    <w:p>
      <w:pPr>
        <w:spacing w:after="16" w:before="80"/>
      </w:pPr>
      <w:r>
        <w:rPr>
          <w:rFonts w:ascii="Calibri" w:cs="Calibri" w:eastAsia="Calibri" w:hAnsi="Calibri"/>
          <w:b/>
          <w:bCs/>
          <w:color w:val="16223C"/>
          <w:sz w:val="20"/>
          <w:szCs w:val="20"/>
        </w:rPr>
        <w:t xml:space="preserve">H2 — Industries where white-label AI partnerships work best</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Short — receptionist-heavy verticals (legal, medical, home services, real estate). Link to Trillet’s vertical pages. 120-150 words, not a listicle.</w:t>
      </w:r>
    </w:p>
    <w:p>
      <w:pPr>
        <w:spacing w:after="16" w:before="80"/>
      </w:pPr>
      <w:r>
        <w:rPr>
          <w:rFonts w:ascii="Calibri" w:cs="Calibri" w:eastAsia="Calibri" w:hAnsi="Calibri"/>
          <w:b/>
          <w:bCs/>
          <w:color w:val="16223C"/>
          <w:sz w:val="20"/>
          <w:szCs w:val="20"/>
        </w:rPr>
        <w:t xml:space="preserve">H2 — Getting started: your first white-label partnership</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Concrete next steps → the Trillet /partners tracks (reseller / OEM / referral). This is the conversion section. One clear CTA.</w:t>
      </w:r>
    </w:p>
    <w:p>
      <w:pPr>
        <w:spacing w:after="16" w:before="80"/>
      </w:pPr>
      <w:r>
        <w:rPr>
          <w:rFonts w:ascii="Calibri" w:cs="Calibri" w:eastAsia="Calibri" w:hAnsi="Calibri"/>
          <w:b/>
          <w:bCs/>
          <w:color w:val="16223C"/>
          <w:sz w:val="20"/>
          <w:szCs w:val="20"/>
        </w:rPr>
        <w:t xml:space="preserve">FAQ (4-6 Q&amp;As, FAQPage schema)</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What is a white-label partnership? · White-label vs reseller vs OEM? · How much can you earn? · How do I choose a partner? · Do I need a contract? · Is the AI compliant when I rebrand it?</w:t>
      </w:r>
    </w:p>
    <w:p>
      <w:pPr>
        <w:pBdr>
          <w:bottom w:val="single" w:color="D9DEE8" w:sz="6"/>
        </w:pBdr>
        <w:spacing w:after="110" w:before="110"/>
      </w:pPr>
      <w:r>
        <w:t xml:space="preserve"/>
      </w:r>
    </w:p>
    <w:p>
      <w:pPr>
        <w:spacing w:after="50" w:before="70"/>
      </w:pPr>
      <w:r>
        <w:rPr>
          <w:rFonts w:ascii="Georgia" w:cs="Georgia" w:eastAsia="Georgia" w:hAnsi="Georgia"/>
          <w:b/>
          <w:bCs/>
          <w:color w:val="16223C"/>
          <w:sz w:val="25"/>
          <w:szCs w:val="25"/>
        </w:rPr>
        <w:t xml:space="preserve">Must include</w:t>
      </w:r>
    </w:p>
    <w:p>
      <w:pPr>
        <w:pStyle w:val="ListParagraph"/>
        <w:numPr>
          <w:ilvl w:val="0"/>
          <w:numId w:val="1"/>
        </w:numPr>
        <w:spacing w:after="36"/>
      </w:pPr>
      <w:r>
        <w:rPr>
          <w:rFonts w:ascii="Calibri" w:cs="Calibri" w:eastAsia="Calibri" w:hAnsi="Calibri"/>
          <w:b/>
          <w:bCs/>
          <w:i w:val="false"/>
          <w:iCs w:val="false"/>
          <w:color w:val="24303F"/>
          <w:sz w:val="19"/>
          <w:szCs w:val="19"/>
        </w:rPr>
        <w:t xml:space="preserve">Two comparison tables </w:t>
      </w:r>
      <w:r>
        <w:rPr>
          <w:rFonts w:ascii="Calibri" w:cs="Calibri" w:eastAsia="Calibri" w:hAnsi="Calibri"/>
          <w:b w:val="false"/>
          <w:bCs w:val="false"/>
          <w:i w:val="false"/>
          <w:iCs w:val="false"/>
          <w:color w:val="24303F"/>
          <w:sz w:val="19"/>
          <w:szCs w:val="19"/>
        </w:rPr>
        <w:t xml:space="preserve">— the 4 models, and the partner-selection checklist. Tables win snippets and match SERP format.</w:t>
      </w:r>
    </w:p>
    <w:p>
      <w:pPr>
        <w:pStyle w:val="ListParagraph"/>
        <w:numPr>
          <w:ilvl w:val="0"/>
          <w:numId w:val="1"/>
        </w:numPr>
        <w:spacing w:after="36"/>
      </w:pPr>
      <w:r>
        <w:rPr>
          <w:rFonts w:ascii="Calibri" w:cs="Calibri" w:eastAsia="Calibri" w:hAnsi="Calibri"/>
          <w:b/>
          <w:bCs/>
          <w:i w:val="false"/>
          <w:iCs w:val="false"/>
          <w:color w:val="24303F"/>
          <w:sz w:val="19"/>
          <w:szCs w:val="19"/>
        </w:rPr>
        <w:t xml:space="preserve">Real market data </w:t>
      </w:r>
      <w:r>
        <w:rPr>
          <w:rFonts w:ascii="Calibri" w:cs="Calibri" w:eastAsia="Calibri" w:hAnsi="Calibri"/>
          <w:b w:val="false"/>
          <w:bCs w:val="false"/>
          <w:i w:val="false"/>
          <w:iCs w:val="false"/>
          <w:color w:val="24303F"/>
          <w:sz w:val="19"/>
          <w:szCs w:val="19"/>
        </w:rPr>
        <w:t xml:space="preserve">— cite credible 2026 figures (e.g. share of SaaS offering white-label programs; B2B distribution via white-label). Attribute sources; do not invent numbers.</w:t>
      </w:r>
    </w:p>
    <w:p>
      <w:pPr>
        <w:pStyle w:val="ListParagraph"/>
        <w:numPr>
          <w:ilvl w:val="0"/>
          <w:numId w:val="1"/>
        </w:numPr>
        <w:spacing w:after="36"/>
      </w:pPr>
      <w:r>
        <w:rPr>
          <w:rFonts w:ascii="Calibri" w:cs="Calibri" w:eastAsia="Calibri" w:hAnsi="Calibri"/>
          <w:b/>
          <w:bCs/>
          <w:i w:val="false"/>
          <w:iCs w:val="false"/>
          <w:color w:val="24303F"/>
          <w:sz w:val="19"/>
          <w:szCs w:val="19"/>
        </w:rPr>
        <w:t xml:space="preserve">A compliance subsection </w:t>
      </w:r>
      <w:r>
        <w:rPr>
          <w:rFonts w:ascii="Calibri" w:cs="Calibri" w:eastAsia="Calibri" w:hAnsi="Calibri"/>
          <w:b w:val="false"/>
          <w:bCs w:val="false"/>
          <w:i w:val="false"/>
          <w:iCs w:val="false"/>
          <w:color w:val="24303F"/>
          <w:sz w:val="19"/>
          <w:szCs w:val="19"/>
        </w:rPr>
        <w:t xml:space="preserve">— the differentiator. Every competitor omits it.</w:t>
      </w:r>
    </w:p>
    <w:p>
      <w:pPr>
        <w:pStyle w:val="ListParagraph"/>
        <w:numPr>
          <w:ilvl w:val="0"/>
          <w:numId w:val="1"/>
        </w:numPr>
        <w:spacing w:after="36"/>
      </w:pPr>
      <w:r>
        <w:rPr>
          <w:rFonts w:ascii="Calibri" w:cs="Calibri" w:eastAsia="Calibri" w:hAnsi="Calibri"/>
          <w:b/>
          <w:bCs/>
          <w:i w:val="false"/>
          <w:iCs w:val="false"/>
          <w:color w:val="24303F"/>
          <w:sz w:val="19"/>
          <w:szCs w:val="19"/>
        </w:rPr>
        <w:t xml:space="preserve">Real numbers in the first screen (guideline #5) </w:t>
      </w:r>
      <w:r>
        <w:rPr>
          <w:rFonts w:ascii="Calibri" w:cs="Calibri" w:eastAsia="Calibri" w:hAnsi="Calibri"/>
          <w:b w:val="false"/>
          <w:bCs w:val="false"/>
          <w:i w:val="false"/>
          <w:iCs w:val="false"/>
          <w:color w:val="24303F"/>
          <w:sz w:val="19"/>
          <w:szCs w:val="19"/>
        </w:rPr>
        <w:t xml:space="preserve">— where the page touches margins or compliance, state the actual figures early: real reseller margin %, Trillet’s per-minute / plan pricing, and the named certifications (HIPAA, SOC 2) included at no extra cost. Not ‘competitive margins’ — the number.</w:t>
      </w:r>
    </w:p>
    <w:p>
      <w:pPr>
        <w:pStyle w:val="ListParagraph"/>
        <w:numPr>
          <w:ilvl w:val="0"/>
          <w:numId w:val="1"/>
        </w:numPr>
        <w:spacing w:after="36"/>
      </w:pPr>
      <w:r>
        <w:rPr>
          <w:rFonts w:ascii="Calibri" w:cs="Calibri" w:eastAsia="Calibri" w:hAnsi="Calibri"/>
          <w:b/>
          <w:bCs/>
          <w:i w:val="false"/>
          <w:iCs w:val="false"/>
          <w:color w:val="24303F"/>
          <w:sz w:val="19"/>
          <w:szCs w:val="19"/>
        </w:rPr>
        <w:t xml:space="preserve">Trillet as the worked example </w:t>
      </w:r>
      <w:r>
        <w:rPr>
          <w:rFonts w:ascii="Calibri" w:cs="Calibri" w:eastAsia="Calibri" w:hAnsi="Calibri"/>
          <w:b w:val="false"/>
          <w:bCs w:val="false"/>
          <w:i w:val="false"/>
          <w:iCs w:val="false"/>
          <w:color w:val="24303F"/>
          <w:sz w:val="19"/>
          <w:szCs w:val="19"/>
        </w:rPr>
        <w:t xml:space="preserve">— use real Trillet margins/pricing where a concrete number helps, not as a running ad.</w:t>
      </w:r>
    </w:p>
    <w:p>
      <w:pPr>
        <w:pBdr>
          <w:bottom w:val="single" w:color="D9DEE8" w:sz="6"/>
        </w:pBdr>
        <w:spacing w:after="110" w:before="110"/>
      </w:pPr>
      <w:r>
        <w:t xml:space="preserve"/>
      </w:r>
    </w:p>
    <w:p>
      <w:pPr>
        <w:spacing w:after="50" w:before="70"/>
      </w:pPr>
      <w:r>
        <w:rPr>
          <w:rFonts w:ascii="Georgia" w:cs="Georgia" w:eastAsia="Georgia" w:hAnsi="Georgia"/>
          <w:b/>
          <w:bCs/>
          <w:color w:val="16223C"/>
          <w:sz w:val="25"/>
          <w:szCs w:val="25"/>
        </w:rPr>
        <w:t xml:space="preserve">Internal links (all live)</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4400"/>
        <w:gridCol w:w="3160"/>
        <w:gridCol w:w="1800"/>
      </w:tblGrid>
      <w:tr>
        <w:trPr>
          <w:tblHeader/>
        </w:trPr>
        <w:tc>
          <w:tcPr>
            <w:tcW w:type="dxa" w:w="4400"/>
            <w:tcBorders>
              <w:top w:val="single" w:color="D9DEE8" w:sz="4"/>
              <w:left w:val="single" w:color="D9DEE8" w:sz="4"/>
              <w:bottom w:val="single" w:color="D9DEE8" w:sz="4"/>
              <w:right w:val="single" w:color="D9DEE8" w:sz="4"/>
            </w:tcBorders>
            <w:shd w:fill="16223C" w:color="auto" w:val="clear"/>
            <w:tcMar>
              <w:top w:type="dxa" w:w="55"/>
              <w:left w:type="dxa" w:w="95"/>
              <w:bottom w:type="dxa" w:w="55"/>
              <w:right w:type="dxa" w:w="95"/>
            </w:tcMar>
          </w:tcPr>
          <w:p>
            <w:pPr>
              <w:spacing w:after="0" w:line="248"/>
            </w:pPr>
            <w:r>
              <w:rPr>
                <w:rFonts w:ascii="Calibri" w:cs="Calibri" w:eastAsia="Calibri" w:hAnsi="Calibri"/>
                <w:b/>
                <w:bCs/>
                <w:color w:val="FFFFFF"/>
                <w:sz w:val="15"/>
                <w:szCs w:val="15"/>
              </w:rPr>
              <w:t xml:space="preserve">Anchor (natural)</w:t>
            </w:r>
          </w:p>
        </w:tc>
        <w:tc>
          <w:tcPr>
            <w:tcW w:type="dxa" w:w="3160"/>
            <w:tcBorders>
              <w:top w:val="single" w:color="D9DEE8" w:sz="4"/>
              <w:left w:val="single" w:color="D9DEE8" w:sz="4"/>
              <w:bottom w:val="single" w:color="D9DEE8" w:sz="4"/>
              <w:right w:val="single" w:color="D9DEE8" w:sz="4"/>
            </w:tcBorders>
            <w:shd w:fill="16223C" w:color="auto" w:val="clear"/>
            <w:tcMar>
              <w:top w:type="dxa" w:w="55"/>
              <w:left w:type="dxa" w:w="95"/>
              <w:bottom w:type="dxa" w:w="55"/>
              <w:right w:type="dxa" w:w="95"/>
            </w:tcMar>
          </w:tcPr>
          <w:p>
            <w:pPr>
              <w:spacing w:after="0" w:line="248"/>
            </w:pPr>
            <w:r>
              <w:rPr>
                <w:rFonts w:ascii="Calibri" w:cs="Calibri" w:eastAsia="Calibri" w:hAnsi="Calibri"/>
                <w:b/>
                <w:bCs/>
                <w:color w:val="FFFFFF"/>
                <w:sz w:val="15"/>
                <w:szCs w:val="15"/>
              </w:rPr>
              <w:t xml:space="preserve">Target</w:t>
            </w:r>
          </w:p>
        </w:tc>
        <w:tc>
          <w:tcPr>
            <w:tcW w:type="dxa" w:w="1800"/>
            <w:tcBorders>
              <w:top w:val="single" w:color="D9DEE8" w:sz="4"/>
              <w:left w:val="single" w:color="D9DEE8" w:sz="4"/>
              <w:bottom w:val="single" w:color="D9DEE8" w:sz="4"/>
              <w:right w:val="single" w:color="D9DEE8" w:sz="4"/>
            </w:tcBorders>
            <w:shd w:fill="16223C" w:color="auto" w:val="clear"/>
            <w:tcMar>
              <w:top w:type="dxa" w:w="55"/>
              <w:left w:type="dxa" w:w="95"/>
              <w:bottom w:type="dxa" w:w="55"/>
              <w:right w:type="dxa" w:w="95"/>
            </w:tcMar>
          </w:tcPr>
          <w:p>
            <w:pPr>
              <w:spacing w:after="0" w:line="248"/>
            </w:pPr>
            <w:r>
              <w:rPr>
                <w:rFonts w:ascii="Calibri" w:cs="Calibri" w:eastAsia="Calibri" w:hAnsi="Calibri"/>
                <w:b/>
                <w:bCs/>
                <w:color w:val="FFFFFF"/>
                <w:sz w:val="15"/>
                <w:szCs w:val="15"/>
              </w:rPr>
              <w:t xml:space="preserve">Placement</w:t>
            </w:r>
          </w:p>
        </w:tc>
      </w:tr>
      <w:tr>
        <w:tc>
          <w:tcPr>
            <w:tcW w:type="dxa" w:w="44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become a white-label partner / partner program</w:t>
            </w:r>
          </w:p>
        </w:tc>
        <w:tc>
          <w:tcPr>
            <w:tcW w:type="dxa" w:w="31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/partners</w:t>
            </w:r>
          </w:p>
        </w:tc>
        <w:tc>
          <w:tcPr>
            <w:tcW w:type="dxa" w:w="18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Primary CTA — getting-started section</w:t>
            </w:r>
          </w:p>
        </w:tc>
      </w:tr>
      <w:tr>
        <w:tc>
          <w:tcPr>
            <w:tcW w:type="dxa" w:w="44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white-label voice AI platform</w:t>
            </w:r>
          </w:p>
        </w:tc>
        <w:tc>
          <w:tcPr>
            <w:tcW w:type="dxa" w:w="31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/whitelabel</w:t>
            </w:r>
          </w:p>
        </w:tc>
        <w:tc>
          <w:tcPr>
            <w:tcW w:type="dxa" w:w="18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Intro + models section</w:t>
            </w:r>
          </w:p>
        </w:tc>
      </w:tr>
      <w:tr>
        <w:tc>
          <w:tcPr>
            <w:tcW w:type="dxa" w:w="44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white-label pricing / plans</w:t>
            </w:r>
          </w:p>
        </w:tc>
        <w:tc>
          <w:tcPr>
            <w:tcW w:type="dxa" w:w="31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/whitelabel/pricing</w:t>
            </w:r>
          </w:p>
        </w:tc>
        <w:tc>
          <w:tcPr>
            <w:tcW w:type="dxa" w:w="18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Guideline #7 — money-flow &amp; getting-started</w:t>
            </w:r>
          </w:p>
        </w:tc>
      </w:tr>
      <w:tr>
        <w:tc>
          <w:tcPr>
            <w:tcW w:type="dxa" w:w="44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built-in compliance / auditable record</w:t>
            </w:r>
          </w:p>
        </w:tc>
        <w:tc>
          <w:tcPr>
            <w:tcW w:type="dxa" w:w="31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/blogs/white-label-ai-with-built-in-compliance</w:t>
            </w:r>
          </w:p>
        </w:tc>
        <w:tc>
          <w:tcPr>
            <w:tcW w:type="dxa" w:w="18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Guideline #7 — the compliance subsection</w:t>
            </w:r>
          </w:p>
        </w:tc>
      </w:tr>
      <w:tr>
        <w:tc>
          <w:tcPr>
            <w:tcW w:type="dxa" w:w="44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white-label profit margins</w:t>
            </w:r>
          </w:p>
        </w:tc>
        <w:tc>
          <w:tcPr>
            <w:tcW w:type="dxa" w:w="31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/blogs/white-label-ai-profit-margins</w:t>
            </w:r>
          </w:p>
        </w:tc>
        <w:tc>
          <w:tcPr>
            <w:tcW w:type="dxa" w:w="18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How-it-works (money flow)</w:t>
            </w:r>
          </w:p>
        </w:tc>
      </w:tr>
      <w:tr>
        <w:tc>
          <w:tcPr>
            <w:tcW w:type="dxa" w:w="44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reseller program comparison</w:t>
            </w:r>
          </w:p>
        </w:tc>
        <w:tc>
          <w:tcPr>
            <w:tcW w:type="dxa" w:w="31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/blogs/voice-agent-reseller-program-comparison</w:t>
            </w:r>
          </w:p>
        </w:tc>
        <w:tc>
          <w:tcPr>
            <w:tcW w:type="dxa" w:w="18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Models section</w:t>
            </w:r>
          </w:p>
        </w:tc>
      </w:tr>
      <w:tr>
        <w:tc>
          <w:tcPr>
            <w:tcW w:type="dxa" w:w="44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build vs buy white-label</w:t>
            </w:r>
          </w:p>
        </w:tc>
        <w:tc>
          <w:tcPr>
            <w:tcW w:type="dxa" w:w="31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/blogs/build-on-vapi-retell-vs-buy-white-label</w:t>
            </w:r>
          </w:p>
        </w:tc>
        <w:tc>
          <w:tcPr>
            <w:tcW w:type="dxa" w:w="18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How-it-works</w:t>
            </w:r>
          </w:p>
        </w:tc>
      </w:tr>
      <w:tr>
        <w:tc>
          <w:tcPr>
            <w:tcW w:type="dxa" w:w="44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what is a white-label AI receptionist</w:t>
            </w:r>
          </w:p>
        </w:tc>
        <w:tc>
          <w:tcPr>
            <w:tcW w:type="dxa" w:w="31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/blogs/what-is-white-label-ai-receptionist</w:t>
            </w:r>
          </w:p>
        </w:tc>
        <w:tc>
          <w:tcPr>
            <w:tcW w:type="dxa" w:w="18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Industries section</w:t>
            </w:r>
          </w:p>
        </w:tc>
      </w:tr>
      <w:tr>
        <w:tc>
          <w:tcPr>
            <w:tcW w:type="dxa" w:w="44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60-day agency launch plan</w:t>
            </w:r>
          </w:p>
        </w:tc>
        <w:tc>
          <w:tcPr>
            <w:tcW w:type="dxa" w:w="31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/blogs/60-day-ai-voice-agency-launch-plan</w:t>
            </w:r>
          </w:p>
        </w:tc>
        <w:tc>
          <w:tcPr>
            <w:tcW w:type="dxa" w:w="18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Getting-started</w:t>
            </w:r>
          </w:p>
        </w:tc>
      </w:tr>
    </w:tbl>
    <w:p>
      <w:pPr>
        <w:spacing w:after="80"/>
      </w:pPr>
      <w:r>
        <w:rPr>
          <w:rFonts w:ascii="Calibri" w:cs="Calibri" w:eastAsia="Calibri" w:hAnsi="Calibri"/>
          <w:i/>
          <w:iCs/>
          <w:color w:val="5A6675"/>
          <w:sz w:val="20"/>
          <w:szCs w:val="20"/>
        </w:rPr>
        <w:t xml:space="preserve">Reciprocal: Blog 2 (Best White-Label Reseller Programs) links back here as the ‘what is this model’ explainer.</w:t>
      </w:r>
    </w:p>
    <w:p>
      <w:pPr>
        <w:pBdr>
          <w:bottom w:val="single" w:color="D9DEE8" w:sz="6"/>
        </w:pBdr>
        <w:spacing w:after="110" w:before="110"/>
      </w:pPr>
      <w:r>
        <w:t xml:space="preserve"/>
      </w:r>
    </w:p>
    <w:p>
      <w:pPr>
        <w:spacing w:after="50" w:before="70"/>
      </w:pPr>
      <w:r>
        <w:rPr>
          <w:rFonts w:ascii="Georgia" w:cs="Georgia" w:eastAsia="Georgia" w:hAnsi="Georgia"/>
          <w:b/>
          <w:bCs/>
          <w:color w:val="16223C"/>
          <w:sz w:val="25"/>
          <w:szCs w:val="25"/>
        </w:rPr>
        <w:t xml:space="preserve">Schema</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Article (headline, author, datePublished, dateModified) · FAQPage (the FAQ block) · BreadcrumbList (Home › Blog › this page). Reuse the sitewide Organization/@id.</w:t>
      </w:r>
    </w:p>
    <w:p>
      <w:pPr>
        <w:spacing w:after="50" w:before="70"/>
      </w:pPr>
      <w:r>
        <w:rPr>
          <w:rFonts w:ascii="Georgia" w:cs="Georgia" w:eastAsia="Georgia" w:hAnsi="Georgia"/>
          <w:b/>
          <w:bCs/>
          <w:color w:val="16223C"/>
          <w:sz w:val="25"/>
          <w:szCs w:val="25"/>
        </w:rPr>
        <w:t xml:space="preserve">On-page checklist for the writer</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Primary keyword in H1, first 100 words, one H2, meta title &amp; description, slug.</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Title ≤60 chars, meta ≤155. One H1 only.</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Trillet voice: clipped declaratives, Australian spelling, minimal em-dashes, no hype adjectives. Lead with the reader’s decision.</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Descriptive alt text on the model diagram and both tables’ lead image.</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Every claim/stat attributed. No invented figures.</w:t>
      </w:r>
    </w:p>
    <w:p>
      <w:pPr>
        <w:pStyle w:val="ListParagraph"/>
        <w:numPr>
          <w:ilvl w:val="0"/>
          <w:numId w:val="1"/>
        </w:numPr>
        <w:spacing w:after="36"/>
      </w:pPr>
      <w:r>
        <w:rPr>
          <w:rFonts w:ascii="Calibri" w:cs="Calibri" w:eastAsia="Calibri" w:hAnsi="Calibri"/>
          <w:b w:val="false"/>
          <w:bCs w:val="false"/>
          <w:i w:val="false"/>
          <w:iCs w:val="false"/>
          <w:color w:val="24303F"/>
          <w:sz w:val="19"/>
          <w:szCs w:val="19"/>
        </w:rPr>
        <w:t xml:space="preserve">One primary CTA to /partners; don’t scatter competing CTAs.</w:t>
      </w:r>
    </w:p>
    <w:p>
      <w:pPr>
        <w:pBdr>
          <w:bottom w:val="single" w:color="D9DEE8" w:sz="6"/>
        </w:pBdr>
        <w:spacing w:after="110" w:before="110"/>
      </w:pPr>
      <w:r>
        <w:t xml:space="preserve"/>
      </w:r>
    </w:p>
    <w:p>
      <w:pPr>
        <w:spacing w:after="50" w:before="70"/>
      </w:pPr>
      <w:r>
        <w:rPr>
          <w:rFonts w:ascii="Georgia" w:cs="Georgia" w:eastAsia="Georgia" w:hAnsi="Georgia"/>
          <w:b/>
          <w:bCs/>
          <w:color w:val="16223C"/>
          <w:sz w:val="25"/>
          <w:szCs w:val="25"/>
        </w:rPr>
        <w:t xml:space="preserve">Alignment with Trillet content guidelines (§1 checklist)</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600"/>
        <w:gridCol w:w="4560"/>
        <w:gridCol w:w="4200"/>
      </w:tblGrid>
      <w:tr>
        <w:trPr>
          <w:tblHeader/>
        </w:trPr>
        <w:tc>
          <w:tcPr>
            <w:tcW w:type="dxa" w:w="600"/>
            <w:tcBorders>
              <w:top w:val="single" w:color="D9DEE8" w:sz="4"/>
              <w:left w:val="single" w:color="D9DEE8" w:sz="4"/>
              <w:bottom w:val="single" w:color="D9DEE8" w:sz="4"/>
              <w:right w:val="single" w:color="D9DEE8" w:sz="4"/>
            </w:tcBorders>
            <w:shd w:fill="16223C" w:color="auto" w:val="clear"/>
            <w:tcMar>
              <w:top w:type="dxa" w:w="55"/>
              <w:left w:type="dxa" w:w="95"/>
              <w:bottom w:type="dxa" w:w="55"/>
              <w:right w:type="dxa" w:w="95"/>
            </w:tcMar>
          </w:tcPr>
          <w:p>
            <w:pPr>
              <w:spacing w:after="0" w:line="248"/>
            </w:pPr>
            <w:r>
              <w:rPr>
                <w:rFonts w:ascii="Calibri" w:cs="Calibri" w:eastAsia="Calibri" w:hAnsi="Calibri"/>
                <w:b/>
                <w:bCs/>
                <w:color w:val="FFFFFF"/>
                <w:sz w:val="15"/>
                <w:szCs w:val="15"/>
              </w:rPr>
              <w:t xml:space="preserve">#</w:t>
            </w:r>
          </w:p>
        </w:tc>
        <w:tc>
          <w:tcPr>
            <w:tcW w:type="dxa" w:w="4560"/>
            <w:tcBorders>
              <w:top w:val="single" w:color="D9DEE8" w:sz="4"/>
              <w:left w:val="single" w:color="D9DEE8" w:sz="4"/>
              <w:bottom w:val="single" w:color="D9DEE8" w:sz="4"/>
              <w:right w:val="single" w:color="D9DEE8" w:sz="4"/>
            </w:tcBorders>
            <w:shd w:fill="16223C" w:color="auto" w:val="clear"/>
            <w:tcMar>
              <w:top w:type="dxa" w:w="55"/>
              <w:left w:type="dxa" w:w="95"/>
              <w:bottom w:type="dxa" w:w="55"/>
              <w:right w:type="dxa" w:w="95"/>
            </w:tcMar>
          </w:tcPr>
          <w:p>
            <w:pPr>
              <w:spacing w:after="0" w:line="248"/>
            </w:pPr>
            <w:r>
              <w:rPr>
                <w:rFonts w:ascii="Calibri" w:cs="Calibri" w:eastAsia="Calibri" w:hAnsi="Calibri"/>
                <w:b/>
                <w:bCs/>
                <w:color w:val="FFFFFF"/>
                <w:sz w:val="15"/>
                <w:szCs w:val="15"/>
              </w:rPr>
              <w:t xml:space="preserve">Guideline</w:t>
            </w:r>
          </w:p>
        </w:tc>
        <w:tc>
          <w:tcPr>
            <w:tcW w:type="dxa" w:w="4200"/>
            <w:tcBorders>
              <w:top w:val="single" w:color="D9DEE8" w:sz="4"/>
              <w:left w:val="single" w:color="D9DEE8" w:sz="4"/>
              <w:bottom w:val="single" w:color="D9DEE8" w:sz="4"/>
              <w:right w:val="single" w:color="D9DEE8" w:sz="4"/>
            </w:tcBorders>
            <w:shd w:fill="16223C" w:color="auto" w:val="clear"/>
            <w:tcMar>
              <w:top w:type="dxa" w:w="55"/>
              <w:left w:type="dxa" w:w="95"/>
              <w:bottom w:type="dxa" w:w="55"/>
              <w:right w:type="dxa" w:w="95"/>
            </w:tcMar>
          </w:tcPr>
          <w:p>
            <w:pPr>
              <w:spacing w:after="0" w:line="248"/>
            </w:pPr>
            <w:r>
              <w:rPr>
                <w:rFonts w:ascii="Calibri" w:cs="Calibri" w:eastAsia="Calibri" w:hAnsi="Calibri"/>
                <w:b/>
                <w:bCs/>
                <w:color w:val="FFFFFF"/>
                <w:sz w:val="15"/>
                <w:szCs w:val="15"/>
              </w:rPr>
              <w:t xml:space="preserve">How this brief meets it</w:t>
            </w:r>
          </w:p>
        </w:tc>
      </w:tr>
      <w:tr>
        <w:tc>
          <w:tcPr>
            <w:tcW w:type="dxa" w:w="6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1</w:t>
            </w:r>
          </w:p>
        </w:tc>
        <w:tc>
          <w:tcPr>
            <w:tcW w:type="dxa" w:w="45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Open with the answer, not the pitch</w:t>
            </w:r>
          </w:p>
        </w:tc>
        <w:tc>
          <w:tcPr>
            <w:tcW w:type="dxa" w:w="42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Intro opens with the definition (the query’s answer); Trillet pitch deferred.</w:t>
            </w:r>
          </w:p>
        </w:tc>
      </w:tr>
      <w:tr>
        <w:tc>
          <w:tcPr>
            <w:tcW w:type="dxa" w:w="6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2</w:t>
            </w:r>
          </w:p>
        </w:tc>
        <w:tc>
          <w:tcPr>
            <w:tcW w:type="dxa" w:w="45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Title = searcher’s phrase</w:t>
            </w:r>
          </w:p>
        </w:tc>
        <w:tc>
          <w:tcPr>
            <w:tcW w:type="dxa" w:w="42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Title leads with ‘White-Label Partnerships’, the exact term.</w:t>
            </w:r>
          </w:p>
        </w:tc>
      </w:tr>
      <w:tr>
        <w:tc>
          <w:tcPr>
            <w:tcW w:type="dxa" w:w="6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3</w:t>
            </w:r>
          </w:p>
        </w:tc>
        <w:tc>
          <w:tcPr>
            <w:tcW w:type="dxa" w:w="45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One piece per intent</w:t>
            </w:r>
          </w:p>
        </w:tc>
        <w:tc>
          <w:tcPr>
            <w:tcW w:type="dxa" w:w="42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Net-new topic, distinct intent; reciprocal link to Blog 2 — no cannibalisation.</w:t>
            </w:r>
          </w:p>
        </w:tc>
      </w:tr>
      <w:tr>
        <w:tc>
          <w:tcPr>
            <w:tcW w:type="dxa" w:w="6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4</w:t>
            </w:r>
          </w:p>
        </w:tc>
        <w:tc>
          <w:tcPr>
            <w:tcW w:type="dxa" w:w="45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Match specificity to competitiveness</w:t>
            </w:r>
          </w:p>
        </w:tc>
        <w:tc>
          <w:tcPr>
            <w:tcW w:type="dxa" w:w="42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Mid-tier winnable term, not an over-contested head term.</w:t>
            </w:r>
          </w:p>
        </w:tc>
      </w:tr>
      <w:tr>
        <w:tc>
          <w:tcPr>
            <w:tcW w:type="dxa" w:w="6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5</w:t>
            </w:r>
          </w:p>
        </w:tc>
        <w:tc>
          <w:tcPr>
            <w:tcW w:type="dxa" w:w="45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Number/certs in first screen</w:t>
            </w:r>
          </w:p>
        </w:tc>
        <w:tc>
          <w:tcPr>
            <w:tcW w:type="dxa" w:w="42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Must-include: real margin %, pricing and named certs stated early.</w:t>
            </w:r>
          </w:p>
        </w:tc>
      </w:tr>
      <w:tr>
        <w:tc>
          <w:tcPr>
            <w:tcW w:type="dxa" w:w="6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6</w:t>
            </w:r>
          </w:p>
        </w:tc>
        <w:tc>
          <w:tcPr>
            <w:tcW w:type="dxa" w:w="45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FAQPage schema</w:t>
            </w:r>
          </w:p>
        </w:tc>
        <w:tc>
          <w:tcPr>
            <w:tcW w:type="dxa" w:w="42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FAQ block + FAQPage schema specified.</w:t>
            </w:r>
          </w:p>
        </w:tc>
      </w:tr>
      <w:tr>
        <w:tc>
          <w:tcPr>
            <w:tcW w:type="dxa" w:w="6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7</w:t>
            </w:r>
          </w:p>
        </w:tc>
        <w:tc>
          <w:tcPr>
            <w:tcW w:type="dxa" w:w="45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Link to /pricing + canonical compliance</w:t>
            </w:r>
          </w:p>
        </w:tc>
        <w:tc>
          <w:tcPr>
            <w:tcW w:type="dxa" w:w="42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Links to /whitelabel/pricing and /blogs/white-label-ai-with-built-in-compliance.</w:t>
            </w:r>
          </w:p>
        </w:tc>
      </w:tr>
      <w:tr>
        <w:tc>
          <w:tcPr>
            <w:tcW w:type="dxa" w:w="6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8</w:t>
            </w:r>
          </w:p>
        </w:tc>
        <w:tc>
          <w:tcPr>
            <w:tcW w:type="dxa" w:w="456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Consolidate before expanding</w:t>
            </w:r>
          </w:p>
        </w:tc>
        <w:tc>
          <w:tcPr>
            <w:tcW w:type="dxa" w:w="4200"/>
            <w:tcBorders>
              <w:top w:val="single" w:color="D9DEE8" w:sz="4"/>
              <w:left w:val="single" w:color="D9DEE8" w:sz="4"/>
              <w:bottom w:val="single" w:color="D9DEE8" w:sz="4"/>
              <w:right w:val="single" w:color="D9DEE8" w:sz="4"/>
            </w:tcBorders>
            <w:shd w:fill="FFFFFF" w:color="auto" w:val="clear"/>
            <w:tcMar>
              <w:top w:type="dxa" w:w="55"/>
              <w:left w:type="dxa" w:w="95"/>
              <w:bottom w:type="dxa" w:w="55"/>
              <w:right w:type="dxa" w:w="95"/>
            </w:tcMar>
          </w:tcPr>
          <w:p>
            <w:pPr>
              <w:spacing w:after="0" w:line="248"/>
            </w:pPr>
            <w:r>
              <w:rPr>
                <w:rFonts w:ascii="Calibri" w:cs="Calibri" w:eastAsia="Calibri" w:hAnsi="Calibri"/>
                <w:b w:val="false"/>
                <w:bCs w:val="false"/>
                <w:color w:val="24303F"/>
                <w:sz w:val="14"/>
                <w:szCs w:val="14"/>
              </w:rPr>
              <w:t xml:space="preserve">Justified exception: genuine gap (zero existing coverage), not a thin duplicate; consolidation runs first in the sprint.</w:t>
            </w:r>
          </w:p>
        </w:tc>
      </w:tr>
    </w:tbl>
    <w:p>
      <w:pPr>
        <w:spacing w:after="80"/>
      </w:pPr>
      <w:r>
        <w:rPr>
          <w:rFonts w:ascii="Calibri" w:cs="Calibri" w:eastAsia="Calibri" w:hAnsi="Calibri"/>
          <w:i/>
          <w:iCs/>
          <w:color w:val="5A6675"/>
          <w:sz w:val="20"/>
          <w:szCs w:val="20"/>
        </w:rPr>
        <w:t xml:space="preserve">Keyword note: this is a net-new topic with no Trillet GSC history, so the target keywords are inferred from the competitor SERP, not validated against Trillet’s own demand data. Validate volume before committing heavy effort.</w:t>
      </w:r>
    </w:p>
    <w:p>
      <w:pPr>
        <w:pBdr>
          <w:bottom w:val="single" w:color="D9DEE8" w:sz="6"/>
        </w:pBdr>
        <w:spacing w:after="110" w:before="110"/>
      </w:pPr>
      <w:r>
        <w:t xml:space="preserve"/>
      </w:r>
    </w:p>
    <w:p>
      <w:pPr>
        <w:spacing w:after="50" w:before="70"/>
      </w:pPr>
      <w:r>
        <w:rPr>
          <w:rFonts w:ascii="Georgia" w:cs="Georgia" w:eastAsia="Georgia" w:hAnsi="Georgia"/>
          <w:b/>
          <w:bCs/>
          <w:color w:val="16223C"/>
          <w:sz w:val="25"/>
          <w:szCs w:val="25"/>
        </w:rPr>
        <w:t xml:space="preserve">SERP reference (page 1 to beat)</w:t>
      </w:r>
    </w:p>
    <w:p>
      <w:pPr>
        <w:spacing w:after="80"/>
      </w:pPr>
      <w:r>
        <w:rPr>
          <w:rFonts w:ascii="Calibri" w:cs="Calibri" w:eastAsia="Calibri" w:hAnsi="Calibri"/>
          <w:i w:val="false"/>
          <w:iCs w:val="false"/>
          <w:color w:val="5A6675"/>
          <w:sz w:val="20"/>
          <w:szCs w:val="20"/>
        </w:rPr>
        <w:t xml:space="preserve">HelpSquad · Insighto · BotPenguin (two pages) · icecubedigital · zestwebsolutions. All horizontal ‘complete guide’ posts; definition-led, none voice-native, none compliance-led. Match their completeness, win on the compliance + real-margins depth and the voice-AI grounding.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2026-09-12T12:51:57.767Z</dcterms:created>
  <dcterms:modified xsi:type="dcterms:W3CDTF">2026-09-12T12:51:57.781Z</dcterms:modified>
</cp:coreProperties>
</file>

<file path=docProps/custom.xml><?xml version="1.0" encoding="utf-8"?>
<Properties xmlns="http://schemas.openxmlformats.org/officeDocument/2006/custom-properties" xmlns:vt="http://schemas.openxmlformats.org/officeDocument/2006/docPropsVTypes"/>
</file>