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</w:pPr>
      <w:r>
        <w:rPr>
          <w:rFonts w:ascii="Consolas" w:cs="Consolas" w:eastAsia="Consolas" w:hAnsi="Consolas"/>
          <w:b/>
          <w:bCs/>
          <w:color w:val="9A6B3F"/>
          <w:spacing w:val="18"/>
          <w:sz w:val="15"/>
          <w:szCs w:val="15"/>
        </w:rPr>
        <w:t xml:space="preserve">TRILLET · WHITE-LABEL CLUSTER</w:t>
      </w:r>
    </w:p>
    <w:p>
      <w:pPr>
        <w:spacing w:after="70"/>
      </w:pPr>
      <w:r>
        <w:rPr>
          <w:rFonts w:ascii="Georgia" w:cs="Georgia" w:eastAsia="Georgia" w:hAnsi="Georgia"/>
          <w:b/>
          <w:bCs/>
          <w:color w:val="16223C"/>
          <w:sz w:val="38"/>
          <w:szCs w:val="38"/>
        </w:rPr>
        <w:t xml:space="preserve">8-Week Implementation Timeline</w:t>
      </w:r>
    </w:p>
    <w:p>
      <w:pPr>
        <w:spacing w:after="90"/>
      </w:pPr>
      <w:r>
        <w:rPr>
          <w:rFonts w:ascii="Calibri" w:cs="Calibri" w:eastAsia="Calibri" w:hAnsi="Calibri"/>
          <w:i w:val="false"/>
          <w:iCs w:val="false"/>
          <w:color w:val="5A6675"/>
          <w:sz w:val="20"/>
          <w:szCs w:val="20"/>
        </w:rPr>
        <w:t xml:space="preserve">A compressed, parallel-track schedule for the white-label cluster plan, starting Monday 14 September 2026 and finishing Sunday 8 November. The audit is complete, so the tracks — new content, snippet rewrites, the hub rebuild and the redirects — run at the same time rather than in sequence. Redirects still fire in three risk-ordered waves, each gated on the last.</w:t>
      </w:r>
    </w:p>
    <w:tbl>
      <w:tblPr>
        <w:tblW w:type="dxa" w:w="9360"/>
        <w:tblBorders>
          <w:top w:val="single" w:color="9A6B3F" w:sz="4"/>
          <w:left w:val="single" w:color="9A6B3F" w:sz="4"/>
          <w:bottom w:val="single" w:color="9A6B3F" w:sz="4"/>
          <w:right w:val="single" w:color="9A6B3F" w:sz="4"/>
          <w:insideH w:val="single" w:color="9A6B3F" w:sz="4"/>
          <w:insideV w:val="single" w:color="9A6B3F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A6B3F" w:sz="4"/>
              <w:left w:val="single" w:color="9A6B3F" w:sz="4"/>
              <w:bottom w:val="single" w:color="9A6B3F" w:sz="4"/>
              <w:right w:val="single" w:color="9A6B3F" w:sz="4"/>
            </w:tcBorders>
            <w:shd w:fill="F1ECE2" w:color="auto" w:val="clear"/>
            <w:tcMar>
              <w:top w:type="dxa" w:w="130"/>
              <w:left w:type="dxa" w:w="160"/>
              <w:bottom w:type="dxa" w:w="130"/>
              <w:right w:type="dxa" w:w="160"/>
            </w:tcMar>
          </w:tcPr>
          <w:p>
            <w:pPr>
              <w:spacing w:after="60"/>
            </w:pPr>
            <w:r>
              <w:rPr>
                <w:rFonts w:ascii="Georgia" w:cs="Georgia" w:eastAsia="Georgia" w:hAnsi="Georgia"/>
                <w:b/>
                <w:bCs/>
                <w:color w:val="16223C"/>
                <w:sz w:val="22"/>
                <w:szCs w:val="22"/>
              </w:rPr>
              <w:t xml:space="preserve">Front-loaded: two new blogs in Week 1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9A6B3F"/>
                <w:sz w:val="19"/>
                <w:szCs w:val="19"/>
              </w:rPr>
              <w:t xml:space="preserve">Blog 1 —  </w:t>
            </w:r>
            <w:r>
              <w:rPr>
                <w:rFonts w:ascii="Calibri" w:cs="Calibri" w:eastAsia="Calibri" w:hAnsi="Calibri"/>
                <w:color w:val="24303F"/>
                <w:sz w:val="19"/>
                <w:szCs w:val="19"/>
              </w:rPr>
              <w:t xml:space="preserve">“White-Label AI Voice Agent: The Complete 2026 Guide”. Targets ~1,300 monthly impressions of head-term demand (“white label ai voice agent”, “white label voice ai”) that no page currently owns — today it ranks position 27-57. A pillar spoke that links up to /whitelabel.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9A6B3F"/>
                <w:sz w:val="19"/>
                <w:szCs w:val="19"/>
              </w:rPr>
              <w:t xml:space="preserve">Blog 2 —  </w:t>
            </w:r>
            <w:r>
              <w:rPr>
                <w:rFonts w:ascii="Calibri" w:cs="Calibri" w:eastAsia="Calibri" w:hAnsi="Calibri"/>
                <w:color w:val="24303F"/>
                <w:sz w:val="19"/>
                <w:szCs w:val="19"/>
              </w:rPr>
              <w:t xml:space="preserve">“White-Label AI Receptionist: 2026 Agency Buyer’s Guide”. Extends the cluster’s proven winner. Targets the scattered “ai receptionist white label” demand and links to the receptionist pillar and the hub.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9A6B3F"/>
                <w:sz w:val="19"/>
                <w:szCs w:val="19"/>
              </w:rPr>
              <w:t xml:space="preserve">Why now —  </w:t>
            </w:r>
            <w:r>
              <w:rPr>
                <w:rFonts w:ascii="Calibri" w:cs="Calibri" w:eastAsia="Calibri" w:hAnsi="Calibri"/>
                <w:color w:val="24303F"/>
                <w:sz w:val="19"/>
                <w:szCs w:val="19"/>
              </w:rPr>
              <w:t xml:space="preserve">Fresh, high-demand content published on day one earns crawl attention and momentum while the rebuild and redirects take effect. Topics are a recommendation — swap freely.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How this compressed schedule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Tracks run in parallel.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New blogs, snippet rewrites, the /whitelabel rebuild and the redirects overlap. This needs concurrent content and dev effort in the same weeks — that is the trade for eight weeks.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Audit assumed done.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Phase 0 collapses to the structured-data rollout and the baseline snapshot, both in Week 1.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Redirects still in three gated waves.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Safest first (W3), then mid (W5), then the heavy hitters (W7) — a week and a health check between each. Content is merged into the target the week before it is redirected.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Snippet pages: title/meta only.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Kept separate from on-page content edits so the click-through lift stays attributable.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Finishes before the holidays.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Eight weeks ends 8 Nov, so no code freeze is needed inside the plan.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The eight weeks at a glance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Week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Headline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W1 · 14-20 Sep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Launch: 2 new blogs, P0 title fixes, structured data, receptionist snippets, hub brief, baseline frozen.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W2 · 21-27 Sep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P1b snippets, /whitelabel draft, merge content for Wave 1.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W3 · 28 Sep-4 Oct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Publish rebuilt /whitelabel, fire Redirect Wave 1, P2 snippets.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W4 · 5-11 Oct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Wave-1 health check, internal linking begins, P1 blog on-page work begins, merge content for Wave 2.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W5 · 12-18 Oct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Fire Redirect Wave 2, build /integrations/gohighlevel + integrations directory.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W6 · 19-25 Oct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CTR re-pull, chatbot reframes rewritten, merge content for Wave 3.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W7 · 26 Oct-1 Nov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Fire Redirect Wave 3 (heavy hitters), internal-link QA, partners hub build starts.</w:t>
            </w:r>
          </w:p>
        </w:tc>
      </w:tr>
      <w:tr>
        <w:tc>
          <w:tcPr>
            <w:tcW w:type="dxa" w:w="15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W8 · 2-8 Nov</w:t>
            </w:r>
          </w:p>
        </w:tc>
        <w:tc>
          <w:tcPr>
            <w:tcW w:type="dxa" w:w="78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Publish partners reseller hub + index hubs, programme review.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Week by week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350"/>
        <w:gridCol w:w="6610"/>
        <w:gridCol w:w="1400"/>
      </w:tblGrid>
      <w:tr>
        <w:trPr>
          <w:tblHeader/>
        </w:trP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Week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ships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Gate / checkpoint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W1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14-20 Sep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Publish the 2 new blogs (head-term guide + receptionist buyer’s guide).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Ship the 2 P0 title fixes (pricing blog, my-ai-front-desk) — day 1-2.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Structured data: Organization + WebSite/SearchAction sitewide; SoftwareApplication + Offer on /whitelabel &amp; /whitelabel/pricing; FAQ where valid.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Snippet tier P1a — receptionist (best-receptionist, aira, ai-vs-virtual, retell).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/whitelabel rebuild: brief + outline.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Freeze baseline metrics.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Baseline frozen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W2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21-27 Sep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Snippet tier P1b (phonely, smith, voice-vs-text, onboarding, training; facebook-ads after head-term verify).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/whitelabel rebuild: full draft + design.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Merge content for Redirect Wave 1 into targets (don’t redirect yet).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Wave-1 targets carry content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W3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28 Sep-4 Oct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Publish the rebuilt /whitelabel hub.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Fire Redirect WAVE 1 — 9 pages, &lt;1k impr (safest set).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Snippet tier P2 (striking-distance pages).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Verify Wave-1 301s resolve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W4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5-11 Oct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CHECKPOINT: Wave-1 redirect health; early CTR read on P0/P1a.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Internal-linking pass begins (blogs incl. the 2 new ones → /whitelabel, keyword anchors).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P1 blog on-page content work begins (best-receptionist, ai-vs-virtual).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Merge content for Redirect Wave 2.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 1 healthy before Wave 2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W5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12-18 Oct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Fire Redirect WAVE 2 — 6 pages, 1k-5k impr.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Build /integrations/gohighlevel landing (needed before Wave 3) + integrations directory.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P1 blog on-page continues (phonely, smith).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Verify Wave-2 301s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W6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19-25 Oct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CHECKPOINT: CTR re-pull (P0/P1a, 4 weeks on); Wave-2 health.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Rewrite the 2 chatbot REFRAME pages (how-to-start-ai-chatbot-agency, voice-agent-vs-ai-chatbot).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Finish P1 blog on-page (training, facebook-ads*).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Merge content for Redirect Wave 3.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 2 healthy; GHL page live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W7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26 Oct-1 Nov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Fire Redirect WAVE 3 — 7 pages, &gt;5k impr (incl. the 44k chatbot page). Stage intra-week; close ranking watch.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Publish the chatbot reframes.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Internal-link QA + orphan sweep.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Partners: architecture decision + reseller hub build starts (consolidate /reseller, /oem, /referral).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Ranking watch on Wave-3 targets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W8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2-8 Nov</w:t>
            </w:r>
          </w:p>
        </w:tc>
        <w:tc>
          <w:tcPr>
            <w:tcW w:type="dxa" w:w="6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CHECKPOINT: Wave-3 health + /whitelabel head-term ranking movement.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Publish /partners reseller hub + internal links in from agency blogs.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Build the index hubs (/whitelabel/compare, /industries, /academy, /reviews) — may spill 1-2 weeks past.</w:t>
            </w:r>
          </w:p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• Programme review: non-brand clicks, CTR, positions per intent.</w:t>
            </w:r>
          </w:p>
        </w:tc>
        <w:tc>
          <w:tcPr>
            <w:tcW w:type="dxa" w:w="140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End-of-programme review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Redirect waves (22 merges &amp; redirects, three gated waves)</w:t>
      </w:r>
    </w:p>
    <w:p>
      <w:pPr>
        <w:spacing w:after="90"/>
      </w:pPr>
      <w:r>
        <w:rPr>
          <w:rFonts w:ascii="Calibri" w:cs="Calibri" w:eastAsia="Calibri" w:hAnsi="Calibri"/>
          <w:i w:val="false"/>
          <w:iCs w:val="false"/>
          <w:color w:val="5A6675"/>
          <w:sz w:val="20"/>
          <w:szCs w:val="20"/>
        </w:rPr>
        <w:t xml:space="preserve">Ordered by traffic, safest first, a week and a health check between each. The 2 REFRAME pages are content rewrites (W6), not redirects. Full per-URL detail is in the redirect map.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350"/>
        <w:gridCol w:w="1350"/>
        <w:gridCol w:w="1050"/>
        <w:gridCol w:w="5610"/>
      </w:tblGrid>
      <w:tr>
        <w:trPr>
          <w:tblHeader/>
        </w:trP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Wave</w:t>
            </w:r>
          </w:p>
        </w:tc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Fire week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Pages</w:t>
            </w:r>
          </w:p>
        </w:tc>
        <w:tc>
          <w:tcPr>
            <w:tcW w:type="dxa" w:w="5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Traffic band &amp; contents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 1</w:t>
            </w:r>
          </w:p>
        </w:tc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W3 · 28 Sep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9</w:t>
            </w:r>
          </w:p>
        </w:tc>
        <w:tc>
          <w:tcPr>
            <w:tcW w:type="dxa" w:w="5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&lt;1k impr — dead &amp; low. how-do-white-label-chatbots-work, voice-ai-architecture-native-vs-wrapper, ai-chatbot-agency-business-model, monthly-revenue-breakdown, voice-ai-vs-text-ai-for-customer-service, ghl-v3-native-ai-vs-dedicated, how-much-money-can-you-make, white-label-ai-profit-margin-analysis.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 2</w:t>
            </w:r>
          </w:p>
        </w:tc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W5 · 12 Oct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6</w:t>
            </w:r>
          </w:p>
        </w:tc>
        <w:tc>
          <w:tcPr>
            <w:tcW w:type="dxa" w:w="5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1k-5k impr. white-label-voice-ai-wrappers-vs-native, white-label-vs-custom-ai-chatbot-development, how-to-choose-white-label-ai-chatbot, voice-first-vs-chat-first-platforms, gohighlevel-voice-ai-options-built-in, white-label-chatgpt-alternative, white-label-ai-chatbot-roi-calculator.</w:t>
            </w:r>
          </w:p>
        </w:tc>
      </w:tr>
      <w:tr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 3</w:t>
            </w:r>
          </w:p>
        </w:tc>
        <w:tc>
          <w:tcPr>
            <w:tcW w:type="dxa" w:w="13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W7 · 26 Oct</w:t>
            </w:r>
          </w:p>
        </w:tc>
        <w:tc>
          <w:tcPr>
            <w:tcW w:type="dxa" w:w="1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7</w:t>
            </w:r>
          </w:p>
        </w:tc>
        <w:tc>
          <w:tcPr>
            <w:tcW w:type="dxa" w:w="56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&gt;5k impr — heavy hitters, fired last &amp; watched. four-voice-ai-platforms-duke-it-out, best-voice-ai-for-agencies, white-label-ai-chatbot-pricing-comparison, ai-receptionist-white-label-pricing, what-is-white-label-ai-chatbot, gohighlevel-voice-ai-integration (→/integrations/gohighlevel), best-white-label-ai-chatbot-for-agencies-2026 (44k).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i/>
          <w:iCs/>
          <w:color w:val="5A6675"/>
          <w:sz w:val="20"/>
          <w:szCs w:val="20"/>
        </w:rPr>
        <w:t xml:space="preserve">Rollback rule: if a wave’s targets lose material ranking or a 301 doesn’t resolve, pause the next wave and diagnose first.</w:t>
      </w:r>
    </w:p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Snippet rewrite tiers (CTR worklist)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1250"/>
        <w:gridCol w:w="1450"/>
        <w:gridCol w:w="6660"/>
      </w:tblGrid>
      <w:tr>
        <w:trPr>
          <w:tblHeader/>
        </w:trPr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Tier</w:t>
            </w:r>
          </w:p>
        </w:tc>
        <w:tc>
          <w:tcPr>
            <w:tcW w:type="dxa" w:w="14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Ship week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Pages</w:t>
            </w:r>
          </w:p>
        </w:tc>
      </w:tr>
      <w:tr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P0</w:t>
            </w:r>
          </w:p>
        </w:tc>
        <w:tc>
          <w:tcPr>
            <w:tcW w:type="dxa" w:w="14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W1 · 14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2 pages with no title tag — ai-receptionist-white-label-pricing, my-ai-front-desk-alternative-2026.</w:t>
            </w:r>
          </w:p>
        </w:tc>
      </w:tr>
      <w:tr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P1a</w:t>
            </w:r>
          </w:p>
        </w:tc>
        <w:tc>
          <w:tcPr>
            <w:tcW w:type="dxa" w:w="14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W1 · 14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Receptionist (top converter first) — best-white-label-ai-receptionist, aira-vs-trillet, ai-receptionist-vs-virtual, retell-ai-white-label-alternative.</w:t>
            </w:r>
          </w:p>
        </w:tc>
      </w:tr>
      <w:tr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P1b</w:t>
            </w:r>
          </w:p>
        </w:tc>
        <w:tc>
          <w:tcPr>
            <w:tcW w:type="dxa" w:w="14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W2 · 21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Rest of P1 — phonely, smith, voice-ai-vs-text-chatbot, onboarding, training (+ facebook-ads after verify).</w:t>
            </w:r>
          </w:p>
        </w:tc>
      </w:tr>
      <w:tr>
        <w:tc>
          <w:tcPr>
            <w:tcW w:type="dxa" w:w="12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P2</w:t>
            </w:r>
          </w:p>
        </w:tc>
        <w:tc>
          <w:tcPr>
            <w:tcW w:type="dxa" w:w="14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W3 · 28 Sep</w:t>
            </w:r>
          </w:p>
        </w:tc>
        <w:tc>
          <w:tcPr>
            <w:tcW w:type="dxa" w:w="666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Striking-distance — law-firms, ai-phone-vs-human, medical, telephony, agency-revenue-model.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Measurement checkpoints</w:t>
      </w:r>
    </w:p>
    <w:tbl>
      <w:tblPr>
        <w:tblW w:type="dxa" w:w="9360"/>
        <w:tblBorders>
          <w:top w:val="single" w:color="D9DEE8" w:sz="4"/>
          <w:left w:val="single" w:color="D9DEE8" w:sz="4"/>
          <w:bottom w:val="single" w:color="D9DEE8" w:sz="4"/>
          <w:right w:val="single" w:color="D9DEE8" w:sz="4"/>
          <w:insideH w:val="single" w:color="D9DEE8" w:sz="4"/>
          <w:insideV w:val="single" w:color="D9DEE8" w:sz="4"/>
        </w:tblBorders>
      </w:tblPr>
      <w:tblGrid>
        <w:gridCol w:w="2050"/>
        <w:gridCol w:w="7310"/>
      </w:tblGrid>
      <w:tr>
        <w:trPr>
          <w:tblHeader/>
        </w:trP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When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16223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we check</w:t>
            </w:r>
          </w:p>
        </w:tc>
      </w:tr>
      <w:t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End W1 · 20 Sep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Baseline snapshot — freeze the ‘before’ numbers for every target page and head term.</w:t>
            </w:r>
          </w:p>
        </w:tc>
      </w:tr>
      <w:t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W4 · 5 Oct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Wave-1 redirect health + early CTR read on P0/P1a.</w:t>
            </w:r>
          </w:p>
        </w:tc>
      </w:tr>
      <w:t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W6 · 19 Oct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CTR re-pull (P0/P1a, 4 weeks on) + Wave-2 health.</w:t>
            </w:r>
          </w:p>
        </w:tc>
      </w:tr>
      <w:t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W8 · 2 Nov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Wave-3 health + /whitelabel head-term ranking + full programme review.</w:t>
            </w:r>
          </w:p>
        </w:tc>
      </w:tr>
      <w:tr>
        <w:tc>
          <w:tcPr>
            <w:tcW w:type="dxa" w:w="205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≈ mid-Dec</w:t>
            </w:r>
          </w:p>
        </w:tc>
        <w:tc>
          <w:tcPr>
            <w:tcW w:type="dxa" w:w="7310"/>
            <w:tcBorders>
              <w:top w:val="single" w:color="D9DEE8" w:sz="4"/>
              <w:left w:val="single" w:color="D9DEE8" w:sz="4"/>
              <w:bottom w:val="single" w:color="D9DEE8" w:sz="4"/>
              <w:right w:val="single" w:color="D9DEE8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 w:val="false"/>
                <w:bCs w:val="false"/>
                <w:color w:val="24303F"/>
                <w:sz w:val="15"/>
                <w:szCs w:val="15"/>
              </w:rPr>
              <w:t xml:space="preserve">Follow-up review, ~4-6 weeks after the last change lands. Then quarterly.</w:t>
            </w:r>
          </w:p>
        </w:tc>
      </w:tr>
    </w:tbl>
    <w:p>
      <w:pPr>
        <w:pBdr>
          <w:bottom w:val="single" w:color="D9DEE8" w:sz="6"/>
        </w:pBdr>
        <w:spacing w:after="120" w:before="120"/>
      </w:pPr>
      <w:r>
        <w:t xml:space="preserve"/>
      </w:r>
    </w:p>
    <w:p>
      <w:pPr>
        <w:spacing w:after="60" w:before="60"/>
      </w:pPr>
      <w:r>
        <w:rPr>
          <w:rFonts w:ascii="Georgia" w:cs="Georgia" w:eastAsia="Georgia" w:hAnsi="Georgia"/>
          <w:b/>
          <w:bCs/>
          <w:color w:val="16223C"/>
          <w:sz w:val="26"/>
          <w:szCs w:val="26"/>
        </w:rPr>
        <w:t xml:space="preserve">What compression costs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Concurrent load.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Weeks 4-7 run content, dev and redirect work at once. If one team does all of it, the eight weeks slip — the sequenced version exists for that case.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Tighter redirect spacing.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Waves are a week apart rather than more. Still gated, but a problem surfaces with less runway — hence the hard rollback rule.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Index hubs may spill.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The extra index pages (/compare, /industries, /academy, /reviews) are squeezed into W8 and can run 1-2 weeks past without affecting the core cluster fix.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24303F"/>
          <w:sz w:val="19"/>
          <w:szCs w:val="19"/>
        </w:rPr>
        <w:t xml:space="preserve">Signal reads early. </w:t>
      </w:r>
      <w:r>
        <w:rPr>
          <w:rFonts w:ascii="Calibri" w:cs="Calibri" w:eastAsia="Calibri" w:hAnsi="Calibri"/>
          <w:b w:val="false"/>
          <w:bCs w:val="false"/>
          <w:color w:val="24303F"/>
          <w:sz w:val="19"/>
          <w:szCs w:val="19"/>
        </w:rPr>
        <w:t xml:space="preserve">Ranking gains from consolidation take 4-8 weeks; the W8 review shows direction, not the full result. The mid-Dec follow-up is the real read.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303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2026-09-11T12:52:07.679Z</dcterms:created>
  <dcterms:modified xsi:type="dcterms:W3CDTF">2026-09-11T12:52:07.688Z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