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onsolas" w:cs="Consolas" w:eastAsia="Consolas" w:hAnsi="Consolas"/>
          <w:b/>
          <w:bCs/>
          <w:color w:val="9A6B3F"/>
          <w:spacing w:val="18"/>
          <w:sz w:val="15"/>
          <w:szCs w:val="15"/>
        </w:rPr>
        <w:t xml:space="preserve">TRILLET · SEO · WHITE-LABEL NICHE</w:t>
      </w:r>
    </w:p>
    <w:p>
      <w:pPr>
        <w:spacing w:after="70"/>
      </w:pPr>
      <w:r>
        <w:rPr>
          <w:rFonts w:ascii="Georgia" w:cs="Georgia" w:eastAsia="Georgia" w:hAnsi="Georgia"/>
          <w:b/>
          <w:bCs/>
          <w:color w:val="16223C"/>
          <w:sz w:val="40"/>
          <w:szCs w:val="40"/>
        </w:rPr>
        <w:t xml:space="preserve">White-Label Cluster — Master Plan</w:t>
      </w:r>
    </w:p>
    <w:p>
      <w:pPr>
        <w:spacing w:after="90"/>
      </w:pPr>
      <w:r>
        <w:rPr>
          <w:rFonts w:ascii="Calibri" w:cs="Calibri" w:eastAsia="Calibri" w:hAnsi="Calibri"/>
          <w:i w:val="false"/>
          <w:iCs w:val="false"/>
          <w:color w:val="5A6675"/>
          <w:sz w:val="20"/>
          <w:szCs w:val="20"/>
        </w:rPr>
        <w:t xml:space="preserve">A complete plan for the white-label niche: what the cluster actually contains, what to consolidate and prune, which existing pages and blogs to revamp and how, the target hub-and-spoke architecture, and the partnerships, integrations and technical work. Scope covers every white-label / agency asset on the site.</w:t>
      </w:r>
    </w:p>
    <w:p>
      <w:pPr>
        <w:spacing w:after="30" w:before="80"/>
      </w:pPr>
      <w:r>
        <w:rPr>
          <w:rFonts w:ascii="Calibri" w:cs="Calibri" w:eastAsia="Calibri" w:hAnsi="Calibri"/>
          <w:b/>
          <w:bCs/>
          <w:color w:val="16223C"/>
          <w:sz w:val="21"/>
          <w:szCs w:val="21"/>
        </w:rPr>
        <w:t xml:space="preserve">Reality check — this is a sprawl problem, not a gap problem</w:t>
      </w:r>
    </w:p>
    <w:p>
      <w:pPr>
        <w:spacing w:after="90"/>
      </w:pPr>
      <w:r>
        <w:rPr>
          <w:rFonts w:ascii="Calibri" w:cs="Calibri" w:eastAsia="Calibri" w:hAnsi="Calibri"/>
          <w:i w:val="false"/>
          <w:iCs w:val="false"/>
          <w:color w:val="24303F"/>
          <w:sz w:val="20"/>
          <w:szCs w:val="20"/>
        </w:rPr>
        <w:t xml:space="preserve">A full sitemap crawl (488 URLs) shows the white-label / agency theme is covered by roughly 130 blog posts plus the money and partner pages. The cluster is one of the most complete in the niche. Assets flagged as “gaps” in the earlier note in fact already exist as posts — GoHighLevel (5–6 posts), the Vapify / Insighto / Voicify comparisons, the agency playbook library, and ~25 vertical white-label pages. The work is therefore consolidation, architecture, pruning and revamp — not creating dozens of new posts.</w:t>
      </w:r>
    </w:p>
    <w:p>
      <w:pPr>
        <w:pBdr>
          <w:bottom w:val="single" w:color="D9DEE8" w:sz="6"/>
        </w:pBdr>
        <w:spacing w:after="140" w:before="140"/>
      </w:pPr>
      <w:r>
        <w:t xml:space="preserve"/>
      </w:r>
    </w:p>
    <w:p>
      <w:pPr>
        <w:spacing w:after="60" w:before="60"/>
      </w:pPr>
      <w:r>
        <w:rPr>
          <w:rFonts w:ascii="Georgia" w:cs="Georgia" w:eastAsia="Georgia" w:hAnsi="Georgia"/>
          <w:b/>
          <w:bCs/>
          <w:color w:val="16223C"/>
          <w:sz w:val="26"/>
          <w:szCs w:val="26"/>
        </w:rPr>
        <w:t xml:space="preserve">1 · The cluster in numbers</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4600"/>
        <w:gridCol w:w="1400"/>
        <w:gridCol w:w="3360"/>
      </w:tblGrid>
      <w:tr>
        <w:trPr>
          <w:tblHeader/>
        </w:trPr>
        <w:tc>
          <w:tcPr>
            <w:tcW w:type="dxa" w:w="4600"/>
            <w:tcBorders>
              <w:top w:val="single" w:color="D9DEE8" w:sz="4"/>
              <w:left w:val="single" w:color="D9DEE8" w:sz="4"/>
              <w:bottom w:val="single" w:color="D9DEE8" w:sz="4"/>
              <w:right w:val="single" w:color="D9DEE8" w:sz="4"/>
            </w:tcBorders>
            <w:shd w:fill="16223C" w:color="auto" w:val="clear"/>
            <w:tcMar>
              <w:top w:type="dxa" w:w="70"/>
              <w:left w:type="dxa" w:w="110"/>
              <w:bottom w:type="dxa" w:w="70"/>
              <w:right w:type="dxa" w:w="110"/>
            </w:tcMar>
          </w:tcPr>
          <w:p>
            <w:pPr>
              <w:spacing w:after="0" w:line="250"/>
            </w:pPr>
            <w:r>
              <w:rPr>
                <w:rFonts w:ascii="Calibri" w:cs="Calibri" w:eastAsia="Calibri" w:hAnsi="Calibri"/>
                <w:b/>
                <w:bCs/>
                <w:color w:val="FFFFFF"/>
                <w:sz w:val="16"/>
                <w:szCs w:val="16"/>
              </w:rPr>
              <w:t xml:space="preserve">Theme</w:t>
            </w:r>
          </w:p>
        </w:tc>
        <w:tc>
          <w:tcPr>
            <w:tcW w:type="dxa" w:w="1400"/>
            <w:tcBorders>
              <w:top w:val="single" w:color="D9DEE8" w:sz="4"/>
              <w:left w:val="single" w:color="D9DEE8" w:sz="4"/>
              <w:bottom w:val="single" w:color="D9DEE8" w:sz="4"/>
              <w:right w:val="single" w:color="D9DEE8" w:sz="4"/>
            </w:tcBorders>
            <w:shd w:fill="16223C" w:color="auto" w:val="clear"/>
            <w:tcMar>
              <w:top w:type="dxa" w:w="70"/>
              <w:left w:type="dxa" w:w="110"/>
              <w:bottom w:type="dxa" w:w="70"/>
              <w:right w:type="dxa" w:w="110"/>
            </w:tcMar>
          </w:tcPr>
          <w:p>
            <w:pPr>
              <w:spacing w:after="0" w:line="250"/>
            </w:pPr>
            <w:r>
              <w:rPr>
                <w:rFonts w:ascii="Calibri" w:cs="Calibri" w:eastAsia="Calibri" w:hAnsi="Calibri"/>
                <w:b/>
                <w:bCs/>
                <w:color w:val="FFFFFF"/>
                <w:sz w:val="16"/>
                <w:szCs w:val="16"/>
              </w:rPr>
              <w:t xml:space="preserve">~Count</w:t>
            </w:r>
          </w:p>
        </w:tc>
        <w:tc>
          <w:tcPr>
            <w:tcW w:type="dxa" w:w="3360"/>
            <w:tcBorders>
              <w:top w:val="single" w:color="D9DEE8" w:sz="4"/>
              <w:left w:val="single" w:color="D9DEE8" w:sz="4"/>
              <w:bottom w:val="single" w:color="D9DEE8" w:sz="4"/>
              <w:right w:val="single" w:color="D9DEE8" w:sz="4"/>
            </w:tcBorders>
            <w:shd w:fill="16223C" w:color="auto" w:val="clear"/>
            <w:tcMar>
              <w:top w:type="dxa" w:w="70"/>
              <w:left w:type="dxa" w:w="110"/>
              <w:bottom w:type="dxa" w:w="70"/>
              <w:right w:type="dxa" w:w="110"/>
            </w:tcMar>
          </w:tcPr>
          <w:p>
            <w:pPr>
              <w:spacing w:after="0" w:line="250"/>
            </w:pPr>
            <w:r>
              <w:rPr>
                <w:rFonts w:ascii="Calibri" w:cs="Calibri" w:eastAsia="Calibri" w:hAnsi="Calibri"/>
                <w:b/>
                <w:bCs/>
                <w:color w:val="FFFFFF"/>
                <w:sz w:val="16"/>
                <w:szCs w:val="16"/>
              </w:rPr>
              <w:t xml:space="preserve">Notes</w:t>
            </w:r>
          </w:p>
        </w:tc>
      </w:tr>
      <w:tr>
        <w:tc>
          <w:tcPr>
            <w:tcW w:type="dxa" w:w="46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Explicit white-label posts</w:t>
            </w:r>
          </w:p>
        </w:tc>
        <w:tc>
          <w:tcPr>
            <w:tcW w:type="dxa" w:w="14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59</w:t>
            </w:r>
          </w:p>
        </w:tc>
        <w:tc>
          <w:tcPr>
            <w:tcW w:type="dxa" w:w="33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incl. vertical, requirements, glossary, pricing</w:t>
            </w:r>
          </w:p>
        </w:tc>
      </w:tr>
      <w:tr>
        <w:tc>
          <w:tcPr>
            <w:tcW w:type="dxa" w:w="46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Agency business / playbook posts</w:t>
            </w:r>
          </w:p>
        </w:tc>
        <w:tc>
          <w:tcPr>
            <w:tcW w:type="dxa" w:w="14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~45</w:t>
            </w:r>
          </w:p>
        </w:tc>
        <w:tc>
          <w:tcPr>
            <w:tcW w:type="dxa" w:w="33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start, land clients, price, scale, operate, templates</w:t>
            </w:r>
          </w:p>
        </w:tc>
      </w:tr>
      <w:tr>
        <w:tc>
          <w:tcPr>
            <w:tcW w:type="dxa" w:w="46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Comparison / alternative posts</w:t>
            </w:r>
          </w:p>
        </w:tc>
        <w:tc>
          <w:tcPr>
            <w:tcW w:type="dxa" w:w="14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~40</w:t>
            </w:r>
          </w:p>
        </w:tc>
        <w:tc>
          <w:tcPr>
            <w:tcW w:type="dxa" w:w="33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one or more per competitor; several duplicated</w:t>
            </w:r>
          </w:p>
        </w:tc>
      </w:tr>
      <w:tr>
        <w:tc>
          <w:tcPr>
            <w:tcW w:type="dxa" w:w="46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Pricing / economics posts</w:t>
            </w:r>
          </w:p>
        </w:tc>
        <w:tc>
          <w:tcPr>
            <w:tcW w:type="dxa" w:w="14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~15</w:t>
            </w:r>
          </w:p>
        </w:tc>
        <w:tc>
          <w:tcPr>
            <w:tcW w:type="dxa" w:w="33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multiple competing for the same intent</w:t>
            </w:r>
          </w:p>
        </w:tc>
      </w:tr>
      <w:tr>
        <w:tc>
          <w:tcPr>
            <w:tcW w:type="dxa" w:w="46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Integration posts (GHL, Stripe, CRM, telephony)</w:t>
            </w:r>
          </w:p>
        </w:tc>
        <w:tc>
          <w:tcPr>
            <w:tcW w:type="dxa" w:w="14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~19</w:t>
            </w:r>
          </w:p>
        </w:tc>
        <w:tc>
          <w:tcPr>
            <w:tcW w:type="dxa" w:w="33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GHL alone has 5–6</w:t>
            </w:r>
          </w:p>
        </w:tc>
      </w:tr>
      <w:tr>
        <w:tc>
          <w:tcPr>
            <w:tcW w:type="dxa" w:w="46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Vertical white-label posts</w:t>
            </w:r>
          </w:p>
        </w:tc>
        <w:tc>
          <w:tcPr>
            <w:tcW w:type="dxa" w:w="14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~25</w:t>
            </w:r>
          </w:p>
        </w:tc>
        <w:tc>
          <w:tcPr>
            <w:tcW w:type="dxa" w:w="33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plumbers, roofing, dental, law, medical, etc.</w:t>
            </w:r>
          </w:p>
        </w:tc>
      </w:tr>
      <w:tr>
        <w:tc>
          <w:tcPr>
            <w:tcW w:type="dxa" w:w="46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Money / partner pages</w:t>
            </w:r>
          </w:p>
        </w:tc>
        <w:tc>
          <w:tcPr>
            <w:tcW w:type="dxa" w:w="14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~7</w:t>
            </w:r>
          </w:p>
        </w:tc>
        <w:tc>
          <w:tcPr>
            <w:tcW w:type="dxa" w:w="33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/whitelabel, /whitelabel/pricing, /pricing, /partners ×4</w:t>
            </w:r>
          </w:p>
        </w:tc>
      </w:tr>
      <w:tr>
        <w:tc>
          <w:tcPr>
            <w:tcW w:type="dxa" w:w="46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Receptionist industry pages</w:t>
            </w:r>
          </w:p>
        </w:tc>
        <w:tc>
          <w:tcPr>
            <w:tcW w:type="dxa" w:w="14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50+</w:t>
            </w:r>
          </w:p>
        </w:tc>
        <w:tc>
          <w:tcPr>
            <w:tcW w:type="dxa" w:w="33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/receptionist/industries/* — overlaps vertical WL posts</w:t>
            </w:r>
          </w:p>
        </w:tc>
      </w:tr>
    </w:tbl>
    <w:p>
      <w:pPr>
        <w:pBdr>
          <w:bottom w:val="single" w:color="D9DEE8" w:sz="6"/>
        </w:pBdr>
        <w:spacing w:after="140" w:before="140"/>
      </w:pPr>
      <w:r>
        <w:t xml:space="preserve"/>
      </w:r>
    </w:p>
    <w:p>
      <w:pPr>
        <w:spacing w:after="60" w:before="60"/>
      </w:pPr>
      <w:r>
        <w:rPr>
          <w:rFonts w:ascii="Georgia" w:cs="Georgia" w:eastAsia="Georgia" w:hAnsi="Georgia"/>
          <w:b/>
          <w:bCs/>
          <w:color w:val="16223C"/>
          <w:sz w:val="26"/>
          <w:szCs w:val="26"/>
        </w:rPr>
        <w:t xml:space="preserve">2 · Diagnosis</w:t>
      </w:r>
    </w:p>
    <w:p>
      <w:pPr>
        <w:pStyle w:val="ListParagraph"/>
        <w:numPr>
          <w:ilvl w:val="0"/>
          <w:numId w:val="1"/>
        </w:numPr>
        <w:spacing w:after="40"/>
      </w:pPr>
      <w:r>
        <w:rPr>
          <w:rFonts w:ascii="Calibri" w:cs="Calibri" w:eastAsia="Calibri" w:hAnsi="Calibri"/>
          <w:b/>
          <w:bCs/>
          <w:i w:val="false"/>
          <w:iCs w:val="false"/>
          <w:color w:val="24303F"/>
          <w:sz w:val="19"/>
          <w:szCs w:val="19"/>
        </w:rPr>
        <w:t xml:space="preserve">Sprawl with no architecture. </w:t>
      </w:r>
      <w:r>
        <w:rPr>
          <w:rFonts w:ascii="Calibri" w:cs="Calibri" w:eastAsia="Calibri" w:hAnsi="Calibri"/>
          <w:b w:val="false"/>
          <w:bCs w:val="false"/>
          <w:i w:val="false"/>
          <w:iCs w:val="false"/>
          <w:color w:val="24303F"/>
          <w:sz w:val="19"/>
          <w:szCs w:val="19"/>
        </w:rPr>
        <w:t xml:space="preserve">~130 posts sit flat under /blogs with no pillar structure; the /whitelabel money page doesn’t organise or link them.</w:t>
      </w:r>
    </w:p>
    <w:p>
      <w:pPr>
        <w:pStyle w:val="ListParagraph"/>
        <w:numPr>
          <w:ilvl w:val="0"/>
          <w:numId w:val="1"/>
        </w:numPr>
        <w:spacing w:after="40"/>
      </w:pPr>
      <w:r>
        <w:rPr>
          <w:rFonts w:ascii="Calibri" w:cs="Calibri" w:eastAsia="Calibri" w:hAnsi="Calibri"/>
          <w:b/>
          <w:bCs/>
          <w:i w:val="false"/>
          <w:iCs w:val="false"/>
          <w:color w:val="24303F"/>
          <w:sz w:val="19"/>
          <w:szCs w:val="19"/>
        </w:rPr>
        <w:t xml:space="preserve">Cannibalisation. </w:t>
      </w:r>
      <w:r>
        <w:rPr>
          <w:rFonts w:ascii="Calibri" w:cs="Calibri" w:eastAsia="Calibri" w:hAnsi="Calibri"/>
          <w:b w:val="false"/>
          <w:bCs w:val="false"/>
          <w:i w:val="false"/>
          <w:iCs w:val="false"/>
          <w:color w:val="24303F"/>
          <w:sz w:val="19"/>
          <w:szCs w:val="19"/>
        </w:rPr>
        <w:t xml:space="preserve">Multiple posts compete for one intent — e.g. white-label-ai-profit-margins vs white-label-ai-profit-margin-analysis; three My AI Front Desk pages; several “best/top” roundups; three-plus white-label pricing posts.</w:t>
      </w:r>
    </w:p>
    <w:p>
      <w:pPr>
        <w:pStyle w:val="ListParagraph"/>
        <w:numPr>
          <w:ilvl w:val="0"/>
          <w:numId w:val="1"/>
        </w:numPr>
        <w:spacing w:after="40"/>
      </w:pPr>
      <w:r>
        <w:rPr>
          <w:rFonts w:ascii="Calibri" w:cs="Calibri" w:eastAsia="Calibri" w:hAnsi="Calibri"/>
          <w:b/>
          <w:bCs/>
          <w:i w:val="false"/>
          <w:iCs w:val="false"/>
          <w:color w:val="24303F"/>
          <w:sz w:val="19"/>
          <w:szCs w:val="19"/>
        </w:rPr>
        <w:t xml:space="preserve">Chatbot dilution. </w:t>
      </w:r>
      <w:r>
        <w:rPr>
          <w:rFonts w:ascii="Calibri" w:cs="Calibri" w:eastAsia="Calibri" w:hAnsi="Calibri"/>
          <w:b w:val="false"/>
          <w:bCs w:val="false"/>
          <w:i w:val="false"/>
          <w:iCs w:val="false"/>
          <w:color w:val="24303F"/>
          <w:sz w:val="19"/>
          <w:szCs w:val="19"/>
        </w:rPr>
        <w:t xml:space="preserve">A whole chatbot sub-cluster (what-is / how-do / how-to-choose / best / pricing / roi-calculator / chatgpt-alternative) that GSC shows converting near zero and that muddies the voice-first position.</w:t>
      </w:r>
    </w:p>
    <w:p>
      <w:pPr>
        <w:pStyle w:val="ListParagraph"/>
        <w:numPr>
          <w:ilvl w:val="0"/>
          <w:numId w:val="1"/>
        </w:numPr>
        <w:spacing w:after="40"/>
      </w:pPr>
      <w:r>
        <w:rPr>
          <w:rFonts w:ascii="Calibri" w:cs="Calibri" w:eastAsia="Calibri" w:hAnsi="Calibri"/>
          <w:b/>
          <w:bCs/>
          <w:i w:val="false"/>
          <w:iCs w:val="false"/>
          <w:color w:val="24303F"/>
          <w:sz w:val="19"/>
          <w:szCs w:val="19"/>
        </w:rPr>
        <w:t xml:space="preserve">Thin, low-CTR programmatic pages. </w:t>
      </w:r>
      <w:r>
        <w:rPr>
          <w:rFonts w:ascii="Calibri" w:cs="Calibri" w:eastAsia="Calibri" w:hAnsi="Calibri"/>
          <w:b w:val="false"/>
          <w:bCs w:val="false"/>
          <w:i w:val="false"/>
          <w:iCs w:val="false"/>
          <w:color w:val="24303F"/>
          <w:sz w:val="19"/>
          <w:szCs w:val="19"/>
        </w:rPr>
        <w:t xml:space="preserve">voice-ai-white-label-pricing-breakdown-2026: page 1 (6.2) on 46,312 impressions at 0.06% CTR. Rank is fine, the snippet isn’t.</w:t>
      </w:r>
    </w:p>
    <w:p>
      <w:pPr>
        <w:pStyle w:val="ListParagraph"/>
        <w:numPr>
          <w:ilvl w:val="0"/>
          <w:numId w:val="1"/>
        </w:numPr>
        <w:spacing w:after="40"/>
      </w:pPr>
      <w:r>
        <w:rPr>
          <w:rFonts w:ascii="Calibri" w:cs="Calibri" w:eastAsia="Calibri" w:hAnsi="Calibri"/>
          <w:b/>
          <w:bCs/>
          <w:i w:val="false"/>
          <w:iCs w:val="false"/>
          <w:color w:val="24303F"/>
          <w:sz w:val="19"/>
          <w:szCs w:val="19"/>
        </w:rPr>
        <w:t xml:space="preserve">Money pages carry little of the weight. </w:t>
      </w:r>
      <w:r>
        <w:rPr>
          <w:rFonts w:ascii="Calibri" w:cs="Calibri" w:eastAsia="Calibri" w:hAnsi="Calibri"/>
          <w:b w:val="false"/>
          <w:bCs w:val="false"/>
          <w:i w:val="false"/>
          <w:iCs w:val="false"/>
          <w:color w:val="24303F"/>
          <w:sz w:val="19"/>
          <w:szCs w:val="19"/>
        </w:rPr>
        <w:t xml:space="preserve">The blog holds the volume; /whitelabel, /whitelabel/pricing and /partners/* are thin and weakly linked from it.</w:t>
      </w:r>
    </w:p>
    <w:p>
      <w:pPr>
        <w:pStyle w:val="ListParagraph"/>
        <w:numPr>
          <w:ilvl w:val="0"/>
          <w:numId w:val="1"/>
        </w:numPr>
        <w:spacing w:after="40"/>
      </w:pPr>
      <w:r>
        <w:rPr>
          <w:rFonts w:ascii="Calibri" w:cs="Calibri" w:eastAsia="Calibri" w:hAnsi="Calibri"/>
          <w:b/>
          <w:bCs/>
          <w:i w:val="false"/>
          <w:iCs w:val="false"/>
          <w:color w:val="24303F"/>
          <w:sz w:val="19"/>
          <w:szCs w:val="19"/>
        </w:rPr>
        <w:t xml:space="preserve">Meta-keywords leak (apex/www now resolved). </w:t>
      </w:r>
      <w:r>
        <w:rPr>
          <w:rFonts w:ascii="Calibri" w:cs="Calibri" w:eastAsia="Calibri" w:hAnsi="Calibri"/>
          <w:b w:val="false"/>
          <w:bCs w:val="false"/>
          <w:i w:val="false"/>
          <w:iCs w:val="false"/>
          <w:color w:val="24303F"/>
          <w:sz w:val="19"/>
          <w:szCs w:val="19"/>
        </w:rPr>
        <w:t xml:space="preserve">Host duplication has been canonicalised — no longer a lever; expect consolidated pages to firm up over 4–8 weeks. The remaining site-wide technical issue is the Australia meta-keywords block. With host duplication fixed, the CTR/snippet failure is the primary problem.</w:t>
      </w:r>
    </w:p>
    <w:p>
      <w:pPr>
        <w:pBdr>
          <w:bottom w:val="single" w:color="D9DEE8" w:sz="6"/>
        </w:pBdr>
        <w:spacing w:after="140" w:before="140"/>
      </w:pPr>
      <w:r>
        <w:t xml:space="preserve"/>
      </w:r>
    </w:p>
    <w:p>
      <w:pPr>
        <w:spacing w:after="60" w:before="60"/>
      </w:pPr>
      <w:r>
        <w:rPr>
          <w:rFonts w:ascii="Georgia" w:cs="Georgia" w:eastAsia="Georgia" w:hAnsi="Georgia"/>
          <w:b/>
          <w:bCs/>
          <w:color w:val="16223C"/>
          <w:sz w:val="26"/>
          <w:szCs w:val="26"/>
        </w:rPr>
        <w:t xml:space="preserve">3 · Target architecture — six pillars</w:t>
      </w:r>
    </w:p>
    <w:p>
      <w:pPr>
        <w:spacing w:after="90"/>
      </w:pPr>
      <w:r>
        <w:rPr>
          <w:rFonts w:ascii="Calibri" w:cs="Calibri" w:eastAsia="Calibri" w:hAnsi="Calibri"/>
          <w:i w:val="false"/>
          <w:iCs w:val="false"/>
          <w:color w:val="5A6675"/>
          <w:sz w:val="18"/>
          <w:szCs w:val="18"/>
        </w:rPr>
        <w:t xml:space="preserve">Organise the ~130 posts under six pillar hubs. Each hub is a strong page that links down to its spokes; every spoke links back up and across. This is the single biggest lever after the apex/www fix.</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2600"/>
        <w:gridCol w:w="3400"/>
        <w:gridCol w:w="3360"/>
      </w:tblGrid>
      <w:tr>
        <w:trPr>
          <w:tblHeader/>
        </w:trPr>
        <w:tc>
          <w:tcPr>
            <w:tcW w:type="dxa" w:w="2600"/>
            <w:tcBorders>
              <w:top w:val="single" w:color="D9DEE8" w:sz="4"/>
              <w:left w:val="single" w:color="D9DEE8" w:sz="4"/>
              <w:bottom w:val="single" w:color="D9DEE8" w:sz="4"/>
              <w:right w:val="single" w:color="D9DEE8" w:sz="4"/>
            </w:tcBorders>
            <w:shd w:fill="16223C" w:color="auto" w:val="clear"/>
            <w:tcMar>
              <w:top w:type="dxa" w:w="70"/>
              <w:left w:type="dxa" w:w="110"/>
              <w:bottom w:type="dxa" w:w="70"/>
              <w:right w:type="dxa" w:w="110"/>
            </w:tcMar>
          </w:tcPr>
          <w:p>
            <w:pPr>
              <w:spacing w:after="0" w:line="250"/>
            </w:pPr>
            <w:r>
              <w:rPr>
                <w:rFonts w:ascii="Calibri" w:cs="Calibri" w:eastAsia="Calibri" w:hAnsi="Calibri"/>
                <w:b/>
                <w:bCs/>
                <w:color w:val="FFFFFF"/>
                <w:sz w:val="16"/>
                <w:szCs w:val="16"/>
              </w:rPr>
              <w:t xml:space="preserve">Pillar (hub)</w:t>
            </w:r>
          </w:p>
        </w:tc>
        <w:tc>
          <w:tcPr>
            <w:tcW w:type="dxa" w:w="3400"/>
            <w:tcBorders>
              <w:top w:val="single" w:color="D9DEE8" w:sz="4"/>
              <w:left w:val="single" w:color="D9DEE8" w:sz="4"/>
              <w:bottom w:val="single" w:color="D9DEE8" w:sz="4"/>
              <w:right w:val="single" w:color="D9DEE8" w:sz="4"/>
            </w:tcBorders>
            <w:shd w:fill="16223C" w:color="auto" w:val="clear"/>
            <w:tcMar>
              <w:top w:type="dxa" w:w="70"/>
              <w:left w:type="dxa" w:w="110"/>
              <w:bottom w:type="dxa" w:w="70"/>
              <w:right w:type="dxa" w:w="110"/>
            </w:tcMar>
          </w:tcPr>
          <w:p>
            <w:pPr>
              <w:spacing w:after="0" w:line="250"/>
            </w:pPr>
            <w:r>
              <w:rPr>
                <w:rFonts w:ascii="Calibri" w:cs="Calibri" w:eastAsia="Calibri" w:hAnsi="Calibri"/>
                <w:b/>
                <w:bCs/>
                <w:color w:val="FFFFFF"/>
                <w:sz w:val="16"/>
                <w:szCs w:val="16"/>
              </w:rPr>
              <w:t xml:space="preserve">What it holds</w:t>
            </w:r>
          </w:p>
        </w:tc>
        <w:tc>
          <w:tcPr>
            <w:tcW w:type="dxa" w:w="3360"/>
            <w:tcBorders>
              <w:top w:val="single" w:color="D9DEE8" w:sz="4"/>
              <w:left w:val="single" w:color="D9DEE8" w:sz="4"/>
              <w:bottom w:val="single" w:color="D9DEE8" w:sz="4"/>
              <w:right w:val="single" w:color="D9DEE8" w:sz="4"/>
            </w:tcBorders>
            <w:shd w:fill="16223C" w:color="auto" w:val="clear"/>
            <w:tcMar>
              <w:top w:type="dxa" w:w="70"/>
              <w:left w:type="dxa" w:w="110"/>
              <w:bottom w:type="dxa" w:w="70"/>
              <w:right w:type="dxa" w:w="110"/>
            </w:tcMar>
          </w:tcPr>
          <w:p>
            <w:pPr>
              <w:spacing w:after="0" w:line="250"/>
            </w:pPr>
            <w:r>
              <w:rPr>
                <w:rFonts w:ascii="Calibri" w:cs="Calibri" w:eastAsia="Calibri" w:hAnsi="Calibri"/>
                <w:b/>
                <w:bCs/>
                <w:color w:val="FFFFFF"/>
                <w:sz w:val="16"/>
                <w:szCs w:val="16"/>
              </w:rPr>
              <w:t xml:space="preserve">Hub status</w:t>
            </w:r>
          </w:p>
        </w:tc>
      </w:tr>
      <w:tr>
        <w:tc>
          <w:tcPr>
            <w:tcW w:type="dxa" w:w="26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1. White-label platform</w:t>
            </w:r>
          </w:p>
          <w:p>
            <w:pPr>
              <w:spacing w:after="0" w:line="250"/>
            </w:pPr>
            <w:r>
              <w:rPr>
                <w:rFonts w:ascii="Calibri" w:cs="Calibri" w:eastAsia="Calibri" w:hAnsi="Calibri"/>
                <w:b w:val="false"/>
                <w:bCs w:val="false"/>
                <w:color w:val="24303F"/>
                <w:sz w:val="15"/>
                <w:szCs w:val="15"/>
              </w:rPr>
              <w:t xml:space="preserve">/whitelabel</w:t>
            </w:r>
          </w:p>
        </w:tc>
        <w:tc>
          <w:tcPr>
            <w:tcW w:type="dxa" w:w="34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Commercial hub: platform, pricing, partners, features/requirements/onboarding/contracts, glossary, “what is” definitional (voice)</w:t>
            </w:r>
          </w:p>
        </w:tc>
        <w:tc>
          <w:tcPr>
            <w:tcW w:type="dxa" w:w="33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Have — rebuild &amp; make the anchor</w:t>
            </w:r>
          </w:p>
        </w:tc>
      </w:tr>
      <w:tr>
        <w:tc>
          <w:tcPr>
            <w:tcW w:type="dxa" w:w="26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2. AI Voice Agency Academy</w:t>
            </w:r>
          </w:p>
          <w:p>
            <w:pPr>
              <w:spacing w:after="0" w:line="250"/>
            </w:pPr>
            <w:r>
              <w:rPr>
                <w:rFonts w:ascii="Calibri" w:cs="Calibri" w:eastAsia="Calibri" w:hAnsi="Calibri"/>
                <w:b w:val="false"/>
                <w:bCs w:val="false"/>
                <w:color w:val="24303F"/>
                <w:sz w:val="15"/>
                <w:szCs w:val="15"/>
              </w:rPr>
              <w:t xml:space="preserve">(new hub)</w:t>
            </w:r>
          </w:p>
        </w:tc>
        <w:tc>
          <w:tcPr>
            <w:tcW w:type="dxa" w:w="34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~45 business posts as a learning path: Start → Land clients → Price → Scale → Operate → Grow</w:t>
            </w:r>
          </w:p>
        </w:tc>
        <w:tc>
          <w:tcPr>
            <w:tcW w:type="dxa" w:w="33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GAP — build hub to organise existing posts</w:t>
            </w:r>
          </w:p>
        </w:tc>
      </w:tr>
      <w:tr>
        <w:tc>
          <w:tcPr>
            <w:tcW w:type="dxa" w:w="26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3. White-label by industry</w:t>
            </w:r>
          </w:p>
          <w:p>
            <w:pPr>
              <w:spacing w:after="0" w:line="250"/>
            </w:pPr>
            <w:r>
              <w:rPr>
                <w:rFonts w:ascii="Calibri" w:cs="Calibri" w:eastAsia="Calibri" w:hAnsi="Calibri"/>
                <w:b w:val="false"/>
                <w:bCs w:val="false"/>
                <w:color w:val="24303F"/>
                <w:sz w:val="15"/>
                <w:szCs w:val="15"/>
              </w:rPr>
              <w:t xml:space="preserve">(new index)</w:t>
            </w:r>
          </w:p>
        </w:tc>
        <w:tc>
          <w:tcPr>
            <w:tcW w:type="dxa" w:w="34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~25 vertical posts; each links to /whitelabel + its /receptionist/industries page</w:t>
            </w:r>
          </w:p>
        </w:tc>
        <w:tc>
          <w:tcPr>
            <w:tcW w:type="dxa" w:w="33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GAP — build index; resolve overlap</w:t>
            </w:r>
          </w:p>
        </w:tc>
      </w:tr>
      <w:tr>
        <w:tc>
          <w:tcPr>
            <w:tcW w:type="dxa" w:w="26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4. Compare &amp; alternatives</w:t>
            </w:r>
          </w:p>
          <w:p>
            <w:pPr>
              <w:spacing w:after="0" w:line="250"/>
            </w:pPr>
            <w:r>
              <w:rPr>
                <w:rFonts w:ascii="Calibri" w:cs="Calibri" w:eastAsia="Calibri" w:hAnsi="Calibri"/>
                <w:b w:val="false"/>
                <w:bCs w:val="false"/>
                <w:color w:val="24303F"/>
                <w:sz w:val="15"/>
                <w:szCs w:val="15"/>
              </w:rPr>
              <w:t xml:space="preserve">(new index)</w:t>
            </w:r>
          </w:p>
        </w:tc>
        <w:tc>
          <w:tcPr>
            <w:tcW w:type="dxa" w:w="34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~40 vs/alternative posts, one canonical per competitor</w:t>
            </w:r>
          </w:p>
        </w:tc>
        <w:tc>
          <w:tcPr>
            <w:tcW w:type="dxa" w:w="33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GAP — build index; dedupe</w:t>
            </w:r>
          </w:p>
        </w:tc>
      </w:tr>
      <w:tr>
        <w:tc>
          <w:tcPr>
            <w:tcW w:type="dxa" w:w="26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5. Pricing &amp; economics</w:t>
            </w:r>
          </w:p>
          <w:p>
            <w:pPr>
              <w:spacing w:after="0" w:line="250"/>
            </w:pPr>
            <w:r>
              <w:rPr>
                <w:rFonts w:ascii="Calibri" w:cs="Calibri" w:eastAsia="Calibri" w:hAnsi="Calibri"/>
                <w:b w:val="false"/>
                <w:bCs w:val="false"/>
                <w:color w:val="24303F"/>
                <w:sz w:val="15"/>
                <w:szCs w:val="15"/>
              </w:rPr>
              <w:t xml:space="preserve">/whitelabel/pricing</w:t>
            </w:r>
          </w:p>
        </w:tc>
        <w:tc>
          <w:tcPr>
            <w:tcW w:type="dxa" w:w="34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Pricing, margins, ROI, agency economics</w:t>
            </w:r>
          </w:p>
        </w:tc>
        <w:tc>
          <w:tcPr>
            <w:tcW w:type="dxa" w:w="33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Have — make canonical, consolidate posts</w:t>
            </w:r>
          </w:p>
        </w:tc>
      </w:tr>
      <w:tr>
        <w:tc>
          <w:tcPr>
            <w:tcW w:type="dxa" w:w="26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6. Integrations</w:t>
            </w:r>
          </w:p>
          <w:p>
            <w:pPr>
              <w:spacing w:after="0" w:line="250"/>
            </w:pPr>
            <w:r>
              <w:rPr>
                <w:rFonts w:ascii="Calibri" w:cs="Calibri" w:eastAsia="Calibri" w:hAnsi="Calibri"/>
                <w:b w:val="false"/>
                <w:bCs w:val="false"/>
                <w:color w:val="24303F"/>
                <w:sz w:val="15"/>
                <w:szCs w:val="15"/>
              </w:rPr>
              <w:t xml:space="preserve">(new /integrations hub)</w:t>
            </w:r>
          </w:p>
        </w:tc>
        <w:tc>
          <w:tcPr>
            <w:tcW w:type="dxa" w:w="34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GHL, Stripe, CRM, telephony; canonical GHL landing page</w:t>
            </w:r>
          </w:p>
        </w:tc>
        <w:tc>
          <w:tcPr>
            <w:tcW w:type="dxa" w:w="33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GAP — build hub + GHL landing</w:t>
            </w:r>
          </w:p>
        </w:tc>
      </w:tr>
    </w:tbl>
    <w:p>
      <w:pPr>
        <w:pBdr>
          <w:bottom w:val="single" w:color="D9DEE8" w:sz="6"/>
        </w:pBdr>
        <w:spacing w:after="140" w:before="140"/>
      </w:pPr>
      <w:r>
        <w:t xml:space="preserve"/>
      </w:r>
    </w:p>
    <w:p>
      <w:pPr>
        <w:spacing w:after="60" w:before="60"/>
      </w:pPr>
      <w:r>
        <w:rPr>
          <w:rFonts w:ascii="Georgia" w:cs="Georgia" w:eastAsia="Georgia" w:hAnsi="Georgia"/>
          <w:b/>
          <w:bCs/>
          <w:color w:val="16223C"/>
          <w:sz w:val="26"/>
          <w:szCs w:val="26"/>
        </w:rPr>
        <w:t xml:space="preserve">4 · Consolidation &amp; pruning — one canonical per intent</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2700"/>
        <w:gridCol w:w="4100"/>
        <w:gridCol w:w="2560"/>
      </w:tblGrid>
      <w:tr>
        <w:trPr>
          <w:tblHeader/>
        </w:trPr>
        <w:tc>
          <w:tcPr>
            <w:tcW w:type="dxa" w:w="2700"/>
            <w:tcBorders>
              <w:top w:val="single" w:color="D9DEE8" w:sz="4"/>
              <w:left w:val="single" w:color="D9DEE8" w:sz="4"/>
              <w:bottom w:val="single" w:color="D9DEE8" w:sz="4"/>
              <w:right w:val="single" w:color="D9DEE8" w:sz="4"/>
            </w:tcBorders>
            <w:shd w:fill="16223C" w:color="auto" w:val="clear"/>
            <w:tcMar>
              <w:top w:type="dxa" w:w="70"/>
              <w:left w:type="dxa" w:w="110"/>
              <w:bottom w:type="dxa" w:w="70"/>
              <w:right w:type="dxa" w:w="110"/>
            </w:tcMar>
          </w:tcPr>
          <w:p>
            <w:pPr>
              <w:spacing w:after="0" w:line="250"/>
            </w:pPr>
            <w:r>
              <w:rPr>
                <w:rFonts w:ascii="Calibri" w:cs="Calibri" w:eastAsia="Calibri" w:hAnsi="Calibri"/>
                <w:b/>
                <w:bCs/>
                <w:color w:val="FFFFFF"/>
                <w:sz w:val="16"/>
                <w:szCs w:val="16"/>
              </w:rPr>
              <w:t xml:space="preserve">Intent</w:t>
            </w:r>
          </w:p>
        </w:tc>
        <w:tc>
          <w:tcPr>
            <w:tcW w:type="dxa" w:w="4100"/>
            <w:tcBorders>
              <w:top w:val="single" w:color="D9DEE8" w:sz="4"/>
              <w:left w:val="single" w:color="D9DEE8" w:sz="4"/>
              <w:bottom w:val="single" w:color="D9DEE8" w:sz="4"/>
              <w:right w:val="single" w:color="D9DEE8" w:sz="4"/>
            </w:tcBorders>
            <w:shd w:fill="16223C" w:color="auto" w:val="clear"/>
            <w:tcMar>
              <w:top w:type="dxa" w:w="70"/>
              <w:left w:type="dxa" w:w="110"/>
              <w:bottom w:type="dxa" w:w="70"/>
              <w:right w:type="dxa" w:w="110"/>
            </w:tcMar>
          </w:tcPr>
          <w:p>
            <w:pPr>
              <w:spacing w:after="0" w:line="250"/>
            </w:pPr>
            <w:r>
              <w:rPr>
                <w:rFonts w:ascii="Calibri" w:cs="Calibri" w:eastAsia="Calibri" w:hAnsi="Calibri"/>
                <w:b/>
                <w:bCs/>
                <w:color w:val="FFFFFF"/>
                <w:sz w:val="16"/>
                <w:szCs w:val="16"/>
              </w:rPr>
              <w:t xml:space="preserve">Competing URLs (examples)</w:t>
            </w:r>
          </w:p>
        </w:tc>
        <w:tc>
          <w:tcPr>
            <w:tcW w:type="dxa" w:w="2560"/>
            <w:tcBorders>
              <w:top w:val="single" w:color="D9DEE8" w:sz="4"/>
              <w:left w:val="single" w:color="D9DEE8" w:sz="4"/>
              <w:bottom w:val="single" w:color="D9DEE8" w:sz="4"/>
              <w:right w:val="single" w:color="D9DEE8" w:sz="4"/>
            </w:tcBorders>
            <w:shd w:fill="16223C" w:color="auto" w:val="clear"/>
            <w:tcMar>
              <w:top w:type="dxa" w:w="70"/>
              <w:left w:type="dxa" w:w="110"/>
              <w:bottom w:type="dxa" w:w="70"/>
              <w:right w:type="dxa" w:w="110"/>
            </w:tcMar>
          </w:tcPr>
          <w:p>
            <w:pPr>
              <w:spacing w:after="0" w:line="250"/>
            </w:pPr>
            <w:r>
              <w:rPr>
                <w:rFonts w:ascii="Calibri" w:cs="Calibri" w:eastAsia="Calibri" w:hAnsi="Calibri"/>
                <w:b/>
                <w:bCs/>
                <w:color w:val="FFFFFF"/>
                <w:sz w:val="16"/>
                <w:szCs w:val="16"/>
              </w:rPr>
              <w:t xml:space="preserve">Action</w:t>
            </w:r>
          </w:p>
        </w:tc>
      </w:tr>
      <w:tr>
        <w:tc>
          <w:tcPr>
            <w:tcW w:type="dxa" w:w="27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Profit margins</w:t>
            </w:r>
          </w:p>
        </w:tc>
        <w:tc>
          <w:tcPr>
            <w:tcW w:type="dxa" w:w="41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white-label-ai-profit-margins + white-label-ai-profit-margin-analysis</w:t>
            </w:r>
          </w:p>
        </w:tc>
        <w:tc>
          <w:tcPr>
            <w:tcW w:type="dxa" w:w="25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Merge into one; redirect the other</w:t>
            </w:r>
          </w:p>
        </w:tc>
      </w:tr>
      <w:tr>
        <w:tc>
          <w:tcPr>
            <w:tcW w:type="dxa" w:w="27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White-label pricing</w:t>
            </w:r>
          </w:p>
        </w:tc>
        <w:tc>
          <w:tcPr>
            <w:tcW w:type="dxa" w:w="41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/whitelabel/pricing + voice-ai-white-label-pricing-breakdown-2026 + ai-receptionist-white-label-pricing + white-label-ai-chatbot-pricing-comparison</w:t>
            </w:r>
          </w:p>
        </w:tc>
        <w:tc>
          <w:tcPr>
            <w:tcW w:type="dxa" w:w="25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Canonical = /whitelabel/pricing + one guide; point the rest at it</w:t>
            </w:r>
          </w:p>
        </w:tc>
      </w:tr>
      <w:tr>
        <w:tc>
          <w:tcPr>
            <w:tcW w:type="dxa" w:w="27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“Best / top” roundup</w:t>
            </w:r>
          </w:p>
        </w:tc>
        <w:tc>
          <w:tcPr>
            <w:tcW w:type="dxa" w:w="41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top-10-…platforms + best-white-label-ai-receptionist + best-voice-ai-for-agencies + four-voice-ai-platforms-duke-it-out + cheapest-white-label-voice-ai</w:t>
            </w:r>
          </w:p>
        </w:tc>
        <w:tc>
          <w:tcPr>
            <w:tcW w:type="dxa" w:w="25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One canonical “best white-label voice AI”; keep “cheapest” as distinct price intent; fold/redirect the rest</w:t>
            </w:r>
          </w:p>
        </w:tc>
      </w:tr>
      <w:tr>
        <w:tc>
          <w:tcPr>
            <w:tcW w:type="dxa" w:w="27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Agency economics / income</w:t>
            </w:r>
          </w:p>
        </w:tc>
        <w:tc>
          <w:tcPr>
            <w:tcW w:type="dxa" w:w="41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ai-voice-agency-economics-real-numbers + how-much-money-can-you-make + monthly-revenue-breakdown + voice-ai-agency-roi-model</w:t>
            </w:r>
          </w:p>
        </w:tc>
        <w:tc>
          <w:tcPr>
            <w:tcW w:type="dxa" w:w="25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Consolidate to 1–2; interlink under the Academy</w:t>
            </w:r>
          </w:p>
        </w:tc>
      </w:tr>
      <w:tr>
        <w:tc>
          <w:tcPr>
            <w:tcW w:type="dxa" w:w="27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Per-competitor duplicates</w:t>
            </w:r>
          </w:p>
        </w:tc>
        <w:tc>
          <w:tcPr>
            <w:tcW w:type="dxa" w:w="410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my-ai-front-desk: alternative-2026 + white-label-alternative + trillet-vs-…-comparison-2026 (×3); smith-ai (×2); others</w:t>
            </w:r>
          </w:p>
        </w:tc>
        <w:tc>
          <w:tcPr>
            <w:tcW w:type="dxa" w:w="2560"/>
            <w:tcBorders>
              <w:top w:val="single" w:color="D9DEE8" w:sz="4"/>
              <w:left w:val="single" w:color="D9DEE8" w:sz="4"/>
              <w:bottom w:val="single" w:color="D9DEE8" w:sz="4"/>
              <w:right w:val="single" w:color="D9DEE8" w:sz="4"/>
            </w:tcBorders>
            <w:shd w:fill="FFFFFF" w:color="auto" w:val="clear"/>
            <w:tcMar>
              <w:top w:type="dxa" w:w="70"/>
              <w:left w:type="dxa" w:w="110"/>
              <w:bottom w:type="dxa" w:w="70"/>
              <w:right w:type="dxa" w:w="110"/>
            </w:tcMar>
          </w:tcPr>
          <w:p>
            <w:pPr>
              <w:spacing w:after="0" w:line="250"/>
            </w:pPr>
            <w:r>
              <w:rPr>
                <w:rFonts w:ascii="Calibri" w:cs="Calibri" w:eastAsia="Calibri" w:hAnsi="Calibri"/>
                <w:b w:val="false"/>
                <w:bCs w:val="false"/>
                <w:color w:val="24303F"/>
                <w:sz w:val="15"/>
                <w:szCs w:val="15"/>
              </w:rPr>
              <w:t xml:space="preserve">Keep ONE per competitor (vs OR alternative); redirect the rest</w:t>
            </w:r>
          </w:p>
        </w:tc>
      </w:tr>
    </w:tbl>
    <w:p>
      <w:pPr>
        <w:pBdr>
          <w:bottom w:val="single" w:color="D9DEE8" w:sz="6"/>
        </w:pBdr>
        <w:spacing w:after="140" w:before="140"/>
      </w:pPr>
      <w:r>
        <w:t xml:space="preserve"/>
      </w:r>
    </w:p>
    <w:p>
      <w:pPr>
        <w:spacing w:after="60" w:before="60"/>
      </w:pPr>
      <w:r>
        <w:rPr>
          <w:rFonts w:ascii="Georgia" w:cs="Georgia" w:eastAsia="Georgia" w:hAnsi="Georgia"/>
          <w:b/>
          <w:bCs/>
          <w:color w:val="16223C"/>
          <w:sz w:val="26"/>
          <w:szCs w:val="26"/>
        </w:rPr>
        <w:t xml:space="preserve">5 · The chatbot sub-cluster — reframe or retire</w:t>
      </w:r>
    </w:p>
    <w:p>
      <w:pPr>
        <w:spacing w:after="90"/>
      </w:pPr>
      <w:r>
        <w:rPr>
          <w:rFonts w:ascii="Calibri" w:cs="Calibri" w:eastAsia="Calibri" w:hAnsi="Calibri"/>
          <w:i w:val="false"/>
          <w:iCs w:val="false"/>
          <w:color w:val="24303F"/>
          <w:sz w:val="20"/>
          <w:szCs w:val="20"/>
        </w:rPr>
        <w:t xml:space="preserve">A dozen posts are chatbot-framed: what-is / how-do / how-to-choose / best-white-label-ai-chatbot, chatbot pricing &amp; ROI calculator, ai-chatbot-agency-business-model, how-to-start-ai-chatbot-agency, white-label-vs-custom-ai-chatbot-development, white-label-chatgpt-alternative, plus voice-vs-chatbot posts. GSC shows chatbot terms at pos 16–20, ~0% CTR — off-brand for a voice-first product.</w:t>
      </w:r>
    </w:p>
    <w:p>
      <w:pPr>
        <w:pStyle w:val="ListParagraph"/>
        <w:numPr>
          <w:ilvl w:val="0"/>
          <w:numId w:val="1"/>
        </w:numPr>
        <w:spacing w:after="40"/>
      </w:pPr>
      <w:r>
        <w:rPr>
          <w:rFonts w:ascii="Calibri" w:cs="Calibri" w:eastAsia="Calibri" w:hAnsi="Calibri"/>
          <w:b/>
          <w:bCs/>
          <w:i w:val="false"/>
          <w:iCs w:val="false"/>
          <w:color w:val="24303F"/>
          <w:sz w:val="19"/>
          <w:szCs w:val="19"/>
        </w:rPr>
        <w:t xml:space="preserve">Keep the 1–2 that convert chatbot searchers to voice</w:t>
      </w:r>
      <w:r>
        <w:rPr>
          <w:rFonts w:ascii="Calibri" w:cs="Calibri" w:eastAsia="Calibri" w:hAnsi="Calibri"/>
          <w:b w:val="false"/>
          <w:bCs w:val="false"/>
          <w:i w:val="false"/>
          <w:iCs w:val="false"/>
          <w:color w:val="24303F"/>
          <w:sz w:val="19"/>
          <w:szCs w:val="19"/>
        </w:rPr>
        <w:t xml:space="preserve"> — e.g. voice-agent-vs-ai-chatbot-which-should-agencies-sell — and sharpen the “sell voice, not chat” argument.</w:t>
      </w:r>
    </w:p>
    <w:p>
      <w:pPr>
        <w:pStyle w:val="ListParagraph"/>
        <w:numPr>
          <w:ilvl w:val="0"/>
          <w:numId w:val="1"/>
        </w:numPr>
        <w:spacing w:after="40"/>
      </w:pPr>
      <w:r>
        <w:rPr>
          <w:rFonts w:ascii="Calibri" w:cs="Calibri" w:eastAsia="Calibri" w:hAnsi="Calibri"/>
          <w:b/>
          <w:bCs/>
          <w:i w:val="false"/>
          <w:iCs w:val="false"/>
          <w:color w:val="24303F"/>
          <w:sz w:val="19"/>
          <w:szCs w:val="19"/>
        </w:rPr>
        <w:t xml:space="preserve">Merge or de-index the rest</w:t>
      </w:r>
      <w:r>
        <w:rPr>
          <w:rFonts w:ascii="Calibri" w:cs="Calibri" w:eastAsia="Calibri" w:hAnsi="Calibri"/>
          <w:b w:val="false"/>
          <w:bCs w:val="false"/>
          <w:i w:val="false"/>
          <w:iCs w:val="false"/>
          <w:color w:val="24303F"/>
          <w:sz w:val="19"/>
          <w:szCs w:val="19"/>
        </w:rPr>
        <w:t xml:space="preserve">; redirect definitional/pricing chatbot posts to their voice equivalents.</w:t>
      </w:r>
    </w:p>
    <w:p>
      <w:pPr>
        <w:pStyle w:val="ListParagraph"/>
        <w:numPr>
          <w:ilvl w:val="0"/>
          <w:numId w:val="1"/>
        </w:numPr>
        <w:spacing w:after="40"/>
      </w:pPr>
      <w:r>
        <w:rPr>
          <w:rFonts w:ascii="Calibri" w:cs="Calibri" w:eastAsia="Calibri" w:hAnsi="Calibri"/>
          <w:b/>
          <w:bCs/>
          <w:i w:val="false"/>
          <w:iCs w:val="false"/>
          <w:color w:val="24303F"/>
          <w:sz w:val="19"/>
          <w:szCs w:val="19"/>
        </w:rPr>
        <w:t xml:space="preserve">Stop creating chatbot content</w:t>
      </w:r>
      <w:r>
        <w:rPr>
          <w:rFonts w:ascii="Calibri" w:cs="Calibri" w:eastAsia="Calibri" w:hAnsi="Calibri"/>
          <w:b w:val="false"/>
          <w:bCs w:val="false"/>
          <w:i w:val="false"/>
          <w:iCs w:val="false"/>
          <w:color w:val="24303F"/>
          <w:sz w:val="19"/>
          <w:szCs w:val="19"/>
        </w:rPr>
        <w:t xml:space="preserve"> in this cluster.</w:t>
      </w:r>
    </w:p>
    <w:p>
      <w:pPr>
        <w:pBdr>
          <w:bottom w:val="single" w:color="D9DEE8" w:sz="6"/>
        </w:pBdr>
        <w:spacing w:after="140" w:before="140"/>
      </w:pPr>
      <w:r>
        <w:t xml:space="preserve"/>
      </w:r>
    </w:p>
    <w:p>
      <w:pPr>
        <w:spacing w:after="60" w:before="60"/>
      </w:pPr>
      <w:r>
        <w:rPr>
          <w:rFonts w:ascii="Georgia" w:cs="Georgia" w:eastAsia="Georgia" w:hAnsi="Georgia"/>
          <w:b/>
          <w:bCs/>
          <w:color w:val="16223C"/>
          <w:sz w:val="26"/>
          <w:szCs w:val="26"/>
        </w:rPr>
        <w:t xml:space="preserve">6 · Revamp plan — which pages, how</w:t>
      </w:r>
    </w:p>
    <w:p>
      <w:pPr>
        <w:spacing w:after="30" w:before="80"/>
      </w:pPr>
      <w:r>
        <w:rPr>
          <w:rFonts w:ascii="Calibri" w:cs="Calibri" w:eastAsia="Calibri" w:hAnsi="Calibri"/>
          <w:b/>
          <w:bCs/>
          <w:color w:val="16223C"/>
          <w:sz w:val="21"/>
          <w:szCs w:val="21"/>
        </w:rPr>
        <w:t xml:space="preserve">Tier 1 — CTR rescue (highest ROI, fastest)</w:t>
      </w:r>
    </w:p>
    <w:p>
      <w:pPr>
        <w:pStyle w:val="ListParagraph"/>
        <w:numPr>
          <w:ilvl w:val="0"/>
          <w:numId w:val="1"/>
        </w:numPr>
        <w:spacing w:after="40"/>
      </w:pPr>
      <w:r>
        <w:rPr>
          <w:rFonts w:ascii="Calibri" w:cs="Calibri" w:eastAsia="Calibri" w:hAnsi="Calibri"/>
          <w:b w:val="false"/>
          <w:bCs w:val="false"/>
          <w:i w:val="false"/>
          <w:iCs w:val="false"/>
          <w:color w:val="24303F"/>
          <w:sz w:val="19"/>
          <w:szCs w:val="19"/>
        </w:rPr>
        <w:t xml:space="preserve">Rewrite title + meta + on-page intro on the high-impression / low-CTR posts, starting with voice-ai-white-label-pricing-breakdown-2026 (46k impr, 0.06%). Match the searcher’s phrase, add a current comparison table, add a clear CTA to /whitelabel or /whitelabel/pricing.</w:t>
      </w:r>
    </w:p>
    <w:p>
      <w:pPr>
        <w:pStyle w:val="ListParagraph"/>
        <w:numPr>
          <w:ilvl w:val="0"/>
          <w:numId w:val="1"/>
        </w:numPr>
        <w:spacing w:after="40"/>
      </w:pPr>
      <w:r>
        <w:rPr>
          <w:rFonts w:ascii="Calibri" w:cs="Calibri" w:eastAsia="Calibri" w:hAnsi="Calibri"/>
          <w:b w:val="false"/>
          <w:bCs w:val="false"/>
          <w:i w:val="false"/>
          <w:iCs w:val="false"/>
          <w:color w:val="24303F"/>
          <w:sz w:val="19"/>
          <w:szCs w:val="19"/>
        </w:rPr>
        <w:t xml:space="preserve">Same treatment for the “best/top” roundups and the highest-impression vertical posts.</w:t>
      </w:r>
    </w:p>
    <w:p>
      <w:pPr>
        <w:spacing w:after="30" w:before="80"/>
      </w:pPr>
      <w:r>
        <w:rPr>
          <w:rFonts w:ascii="Calibri" w:cs="Calibri" w:eastAsia="Calibri" w:hAnsi="Calibri"/>
          <w:b/>
          <w:bCs/>
          <w:color w:val="16223C"/>
          <w:sz w:val="21"/>
          <w:szCs w:val="21"/>
        </w:rPr>
        <w:t xml:space="preserve">Tier 2 — Money pages</w:t>
      </w:r>
    </w:p>
    <w:p>
      <w:pPr>
        <w:pStyle w:val="ListParagraph"/>
        <w:numPr>
          <w:ilvl w:val="0"/>
          <w:numId w:val="1"/>
        </w:numPr>
        <w:spacing w:after="40"/>
      </w:pPr>
      <w:r>
        <w:rPr>
          <w:rFonts w:ascii="Calibri" w:cs="Calibri" w:eastAsia="Calibri" w:hAnsi="Calibri"/>
          <w:b w:val="false"/>
          <w:bCs w:val="false"/>
          <w:i w:val="false"/>
          <w:iCs w:val="false"/>
          <w:color w:val="24303F"/>
          <w:sz w:val="19"/>
          <w:szCs w:val="19"/>
        </w:rPr>
        <w:t xml:space="preserve">Rebuild /whitelabel as the pillar (keyword-led title + subhead, human H1, SoftwareApplication/Offer + FAQPage schema, remove meta-kw, setup-to-revenue steps, comparison block, links to every spoke) — see the cluster gap doc.</w:t>
      </w:r>
    </w:p>
    <w:p>
      <w:pPr>
        <w:pStyle w:val="ListParagraph"/>
        <w:numPr>
          <w:ilvl w:val="0"/>
          <w:numId w:val="1"/>
        </w:numPr>
        <w:spacing w:after="40"/>
      </w:pPr>
      <w:r>
        <w:rPr>
          <w:rFonts w:ascii="Calibri" w:cs="Calibri" w:eastAsia="Calibri" w:hAnsi="Calibri"/>
          <w:b w:val="false"/>
          <w:bCs w:val="false"/>
          <w:i w:val="false"/>
          <w:iCs w:val="false"/>
          <w:color w:val="24303F"/>
          <w:sz w:val="19"/>
          <w:szCs w:val="19"/>
        </w:rPr>
        <w:t xml:space="preserve">Tighten /whitelabel/pricing into the canonical pricing target; /partners/* into a coherent program (Section 7).</w:t>
      </w:r>
    </w:p>
    <w:p>
      <w:pPr>
        <w:spacing w:after="30" w:before="80"/>
      </w:pPr>
      <w:r>
        <w:rPr>
          <w:rFonts w:ascii="Calibri" w:cs="Calibri" w:eastAsia="Calibri" w:hAnsi="Calibri"/>
          <w:b/>
          <w:bCs/>
          <w:color w:val="16223C"/>
          <w:sz w:val="21"/>
          <w:szCs w:val="21"/>
        </w:rPr>
        <w:t xml:space="preserve">Tier 3 — Comparison intercept</w:t>
      </w:r>
    </w:p>
    <w:p>
      <w:pPr>
        <w:pStyle w:val="ListParagraph"/>
        <w:numPr>
          <w:ilvl w:val="0"/>
          <w:numId w:val="1"/>
        </w:numPr>
        <w:spacing w:after="40"/>
      </w:pPr>
      <w:r>
        <w:rPr>
          <w:rFonts w:ascii="Calibri" w:cs="Calibri" w:eastAsia="Calibri" w:hAnsi="Calibri"/>
          <w:b w:val="false"/>
          <w:bCs w:val="false"/>
          <w:i w:val="false"/>
          <w:iCs w:val="false"/>
          <w:color w:val="24303F"/>
          <w:sz w:val="19"/>
          <w:szCs w:val="19"/>
        </w:rPr>
        <w:t xml:space="preserve">Dedupe to one canonical page per competitor; ensure each has an honest comparison table, current pricing, the compliance/audit wedge, and a CTA. Keep the ‘why comparison articles are biased’ meta-post as trust content.</w:t>
      </w:r>
    </w:p>
    <w:p>
      <w:pPr>
        <w:spacing w:after="30" w:before="80"/>
      </w:pPr>
      <w:r>
        <w:rPr>
          <w:rFonts w:ascii="Calibri" w:cs="Calibri" w:eastAsia="Calibri" w:hAnsi="Calibri"/>
          <w:b/>
          <w:bCs/>
          <w:color w:val="16223C"/>
          <w:sz w:val="21"/>
          <w:szCs w:val="21"/>
        </w:rPr>
        <w:t xml:space="preserve">Tier 4 — Bridge &amp; interlink</w:t>
      </w:r>
    </w:p>
    <w:p>
      <w:pPr>
        <w:pStyle w:val="ListParagraph"/>
        <w:numPr>
          <w:ilvl w:val="0"/>
          <w:numId w:val="1"/>
        </w:numPr>
        <w:spacing w:after="40"/>
      </w:pPr>
      <w:r>
        <w:rPr>
          <w:rFonts w:ascii="Calibri" w:cs="Calibri" w:eastAsia="Calibri" w:hAnsi="Calibri"/>
          <w:b w:val="false"/>
          <w:bCs w:val="false"/>
          <w:i w:val="false"/>
          <w:iCs w:val="false"/>
          <w:color w:val="24303F"/>
          <w:sz w:val="19"/>
          <w:szCs w:val="19"/>
        </w:rPr>
        <w:t xml:space="preserve">High-traffic adjacent posts (call-forwarding, missed-call cost) get a bridge paragraph + CTA into the white-label / receptionist offer. Add hub↔spoke internal links across the whole cluster.</w:t>
      </w:r>
    </w:p>
    <w:p>
      <w:pPr>
        <w:pBdr>
          <w:bottom w:val="single" w:color="D9DEE8" w:sz="6"/>
        </w:pBdr>
        <w:spacing w:after="140" w:before="140"/>
      </w:pPr>
      <w:r>
        <w:t xml:space="preserve"/>
      </w:r>
    </w:p>
    <w:p>
      <w:pPr>
        <w:spacing w:after="60" w:before="60"/>
      </w:pPr>
      <w:r>
        <w:rPr>
          <w:rFonts w:ascii="Georgia" w:cs="Georgia" w:eastAsia="Georgia" w:hAnsi="Georgia"/>
          <w:b/>
          <w:bCs/>
          <w:color w:val="16223C"/>
          <w:sz w:val="26"/>
          <w:szCs w:val="26"/>
        </w:rPr>
        <w:t xml:space="preserve">7 · Partnerships</w:t>
      </w:r>
    </w:p>
    <w:p>
      <w:pPr>
        <w:spacing w:after="90"/>
      </w:pPr>
      <w:r>
        <w:rPr>
          <w:rFonts w:ascii="Calibri" w:cs="Calibri" w:eastAsia="Calibri" w:hAnsi="Calibri"/>
          <w:i w:val="false"/>
          <w:iCs w:val="false"/>
          <w:color w:val="24303F"/>
          <w:sz w:val="20"/>
          <w:szCs w:val="20"/>
        </w:rPr>
        <w:t xml:space="preserve">The pages exist (/partners, /partners/reseller, /partners/oem, /partners/referral) but are thin and disconnected from the ~45 agency-business posts that should feed them.</w:t>
      </w:r>
    </w:p>
    <w:p>
      <w:pPr>
        <w:pStyle w:val="ListParagraph"/>
        <w:numPr>
          <w:ilvl w:val="0"/>
          <w:numId w:val="1"/>
        </w:numPr>
        <w:spacing w:after="40"/>
      </w:pPr>
      <w:r>
        <w:rPr>
          <w:rFonts w:ascii="Calibri" w:cs="Calibri" w:eastAsia="Calibri" w:hAnsi="Calibri"/>
          <w:b/>
          <w:bCs/>
          <w:i w:val="false"/>
          <w:iCs w:val="false"/>
          <w:color w:val="24303F"/>
          <w:sz w:val="19"/>
          <w:szCs w:val="19"/>
        </w:rPr>
        <w:t xml:space="preserve">Make /partners a real program hub</w:t>
      </w:r>
      <w:r>
        <w:rPr>
          <w:rFonts w:ascii="Calibri" w:cs="Calibri" w:eastAsia="Calibri" w:hAnsi="Calibri"/>
          <w:b w:val="false"/>
          <w:bCs w:val="false"/>
          <w:i w:val="false"/>
          <w:iCs w:val="false"/>
          <w:color w:val="24303F"/>
          <w:sz w:val="19"/>
          <w:szCs w:val="19"/>
        </w:rPr>
        <w:t xml:space="preserve">: clear tiers (Reseller / OEM / Referral / Agency white-label), what each gets (margins, rebilling, isolated workspaces, support, co-marketing), and an application CTA.</w:t>
      </w:r>
    </w:p>
    <w:p>
      <w:pPr>
        <w:pStyle w:val="ListParagraph"/>
        <w:numPr>
          <w:ilvl w:val="0"/>
          <w:numId w:val="1"/>
        </w:numPr>
        <w:spacing w:after="40"/>
      </w:pPr>
      <w:r>
        <w:rPr>
          <w:rFonts w:ascii="Calibri" w:cs="Calibri" w:eastAsia="Calibri" w:hAnsi="Calibri"/>
          <w:b/>
          <w:bCs/>
          <w:i w:val="false"/>
          <w:iCs w:val="false"/>
          <w:color w:val="24303F"/>
          <w:sz w:val="19"/>
          <w:szCs w:val="19"/>
        </w:rPr>
        <w:t xml:space="preserve">Wire the Academy into it</w:t>
      </w:r>
      <w:r>
        <w:rPr>
          <w:rFonts w:ascii="Calibri" w:cs="Calibri" w:eastAsia="Calibri" w:hAnsi="Calibri"/>
          <w:b w:val="false"/>
          <w:bCs w:val="false"/>
          <w:i w:val="false"/>
          <w:iCs w:val="false"/>
          <w:color w:val="24303F"/>
          <w:sz w:val="19"/>
          <w:szCs w:val="19"/>
        </w:rPr>
        <w:t xml:space="preserve"> — the launch-plan, pricing, and scaling posts should link to the reseller/partner application, and vice-versa.</w:t>
      </w:r>
    </w:p>
    <w:p>
      <w:pPr>
        <w:pStyle w:val="ListParagraph"/>
        <w:numPr>
          <w:ilvl w:val="0"/>
          <w:numId w:val="1"/>
        </w:numPr>
        <w:spacing w:after="40"/>
      </w:pPr>
      <w:r>
        <w:rPr>
          <w:rFonts w:ascii="Calibri" w:cs="Calibri" w:eastAsia="Calibri" w:hAnsi="Calibri"/>
          <w:b/>
          <w:bCs/>
          <w:i w:val="false"/>
          <w:iCs w:val="false"/>
          <w:color w:val="24303F"/>
          <w:sz w:val="19"/>
          <w:szCs w:val="19"/>
        </w:rPr>
        <w:t xml:space="preserve">Add proof</w:t>
      </w:r>
      <w:r>
        <w:rPr>
          <w:rFonts w:ascii="Calibri" w:cs="Calibri" w:eastAsia="Calibri" w:hAnsi="Calibri"/>
          <w:b w:val="false"/>
          <w:bCs w:val="false"/>
          <w:i w:val="false"/>
          <w:iCs w:val="false"/>
          <w:color w:val="24303F"/>
          <w:sz w:val="19"/>
          <w:szCs w:val="19"/>
        </w:rPr>
        <w:t xml:space="preserve">: partner outcomes, the ‘is-trillet-legit’ review post, Trustpilot, and a partner directory or logos where available.</w:t>
      </w:r>
    </w:p>
    <w:p>
      <w:pPr>
        <w:pBdr>
          <w:bottom w:val="single" w:color="D9DEE8" w:sz="6"/>
        </w:pBdr>
        <w:spacing w:after="140" w:before="140"/>
      </w:pPr>
      <w:r>
        <w:t xml:space="preserve"/>
      </w:r>
    </w:p>
    <w:p>
      <w:pPr>
        <w:spacing w:after="60" w:before="60"/>
      </w:pPr>
      <w:r>
        <w:rPr>
          <w:rFonts w:ascii="Georgia" w:cs="Georgia" w:eastAsia="Georgia" w:hAnsi="Georgia"/>
          <w:b/>
          <w:bCs/>
          <w:color w:val="16223C"/>
          <w:sz w:val="26"/>
          <w:szCs w:val="26"/>
        </w:rPr>
        <w:t xml:space="preserve">8 · Integrations</w:t>
      </w:r>
    </w:p>
    <w:p>
      <w:pPr>
        <w:spacing w:after="90"/>
      </w:pPr>
      <w:r>
        <w:rPr>
          <w:rFonts w:ascii="Calibri" w:cs="Calibri" w:eastAsia="Calibri" w:hAnsi="Calibri"/>
          <w:i w:val="false"/>
          <w:iCs w:val="false"/>
          <w:color w:val="24303F"/>
          <w:sz w:val="20"/>
          <w:szCs w:val="20"/>
        </w:rPr>
        <w:t xml:space="preserve">GHL, Stripe, CRM and telephony are covered as blog posts but there is no integrations landing surface.</w:t>
      </w:r>
    </w:p>
    <w:p>
      <w:pPr>
        <w:pStyle w:val="ListParagraph"/>
        <w:numPr>
          <w:ilvl w:val="0"/>
          <w:numId w:val="1"/>
        </w:numPr>
        <w:spacing w:after="40"/>
      </w:pPr>
      <w:r>
        <w:rPr>
          <w:rFonts w:ascii="Calibri" w:cs="Calibri" w:eastAsia="Calibri" w:hAnsi="Calibri"/>
          <w:b w:val="false"/>
          <w:bCs w:val="false"/>
          <w:i w:val="false"/>
          <w:iCs w:val="false"/>
          <w:color w:val="24303F"/>
          <w:sz w:val="19"/>
          <w:szCs w:val="19"/>
        </w:rPr>
        <w:t xml:space="preserve">Build an </w:t>
      </w:r>
      <w:r>
        <w:rPr>
          <w:rFonts w:ascii="Consolas" w:cs="Consolas" w:eastAsia="Consolas" w:hAnsi="Consolas"/>
          <w:color w:val="16223C"/>
          <w:sz w:val="16"/>
          <w:szCs w:val="16"/>
        </w:rPr>
        <w:t xml:space="preserve">/integrations</w:t>
      </w:r>
      <w:r>
        <w:rPr>
          <w:rFonts w:ascii="Calibri" w:cs="Calibri" w:eastAsia="Calibri" w:hAnsi="Calibri"/>
          <w:b w:val="false"/>
          <w:bCs w:val="false"/>
          <w:i w:val="false"/>
          <w:iCs w:val="false"/>
          <w:color w:val="24303F"/>
          <w:sz w:val="19"/>
          <w:szCs w:val="19"/>
        </w:rPr>
        <w:t xml:space="preserve"> directory page listing every supported system, each linking to a short integration page.</w:t>
      </w:r>
    </w:p>
    <w:p>
      <w:pPr>
        <w:pStyle w:val="ListParagraph"/>
        <w:numPr>
          <w:ilvl w:val="0"/>
          <w:numId w:val="1"/>
        </w:numPr>
        <w:spacing w:after="40"/>
      </w:pPr>
      <w:r>
        <w:rPr>
          <w:rFonts w:ascii="Calibri" w:cs="Calibri" w:eastAsia="Calibri" w:hAnsi="Calibri"/>
          <w:b w:val="false"/>
          <w:bCs w:val="false"/>
          <w:i w:val="false"/>
          <w:iCs w:val="false"/>
          <w:color w:val="24303F"/>
          <w:sz w:val="19"/>
          <w:szCs w:val="19"/>
        </w:rPr>
        <w:t xml:space="preserve">Build a canonical </w:t>
      </w:r>
      <w:r>
        <w:rPr>
          <w:rFonts w:ascii="Consolas" w:cs="Consolas" w:eastAsia="Consolas" w:hAnsi="Consolas"/>
          <w:color w:val="16223C"/>
          <w:sz w:val="16"/>
          <w:szCs w:val="16"/>
        </w:rPr>
        <w:t xml:space="preserve">/integrations/gohighlevel</w:t>
      </w:r>
      <w:r>
        <w:rPr>
          <w:rFonts w:ascii="Calibri" w:cs="Calibri" w:eastAsia="Calibri" w:hAnsi="Calibri"/>
          <w:b w:val="false"/>
          <w:bCs w:val="false"/>
          <w:i w:val="false"/>
          <w:iCs w:val="false"/>
          <w:color w:val="24303F"/>
          <w:sz w:val="19"/>
          <w:szCs w:val="19"/>
        </w:rPr>
        <w:t xml:space="preserve"> landing page that consolidates the 5–6 GHL blog posts (which stay as supporting spokes and link up to it). GHL is the agency default — this is the highest-intent surface in the cluster.</w:t>
      </w:r>
    </w:p>
    <w:p>
      <w:pPr>
        <w:pStyle w:val="ListParagraph"/>
        <w:numPr>
          <w:ilvl w:val="0"/>
          <w:numId w:val="1"/>
        </w:numPr>
        <w:spacing w:after="40"/>
      </w:pPr>
      <w:r>
        <w:rPr>
          <w:rFonts w:ascii="Calibri" w:cs="Calibri" w:eastAsia="Calibri" w:hAnsi="Calibri"/>
          <w:b w:val="false"/>
          <w:bCs w:val="false"/>
          <w:i w:val="false"/>
          <w:iCs w:val="false"/>
          <w:color w:val="24303F"/>
          <w:sz w:val="19"/>
          <w:szCs w:val="19"/>
        </w:rPr>
        <w:t xml:space="preserve">Group the telephony (Avaya, Cisco CUCM, Vicidial), CRM (Salesforce, legacy), and automation (Zapier/n8n/Make) posts under the hub.</w:t>
      </w:r>
    </w:p>
    <w:p>
      <w:pPr>
        <w:pBdr>
          <w:bottom w:val="single" w:color="D9DEE8" w:sz="6"/>
        </w:pBdr>
        <w:spacing w:after="140" w:before="140"/>
      </w:pPr>
      <w:r>
        <w:t xml:space="preserve"/>
      </w:r>
    </w:p>
    <w:p>
      <w:pPr>
        <w:spacing w:after="60" w:before="60"/>
      </w:pPr>
      <w:r>
        <w:rPr>
          <w:rFonts w:ascii="Georgia" w:cs="Georgia" w:eastAsia="Georgia" w:hAnsi="Georgia"/>
          <w:b/>
          <w:bCs/>
          <w:color w:val="16223C"/>
          <w:sz w:val="26"/>
          <w:szCs w:val="26"/>
        </w:rPr>
        <w:t xml:space="preserve">9 · Net-new to build (small — mostly hubs)</w:t>
      </w:r>
    </w:p>
    <w:p>
      <w:pPr>
        <w:pStyle w:val="ListParagraph"/>
        <w:numPr>
          <w:ilvl w:val="0"/>
          <w:numId w:val="1"/>
        </w:numPr>
        <w:spacing w:after="40"/>
      </w:pPr>
      <w:r>
        <w:rPr>
          <w:rFonts w:ascii="Calibri" w:cs="Calibri" w:eastAsia="Calibri" w:hAnsi="Calibri"/>
          <w:b w:val="false"/>
          <w:bCs w:val="false"/>
          <w:i w:val="false"/>
          <w:iCs w:val="false"/>
          <w:color w:val="24303F"/>
          <w:sz w:val="19"/>
          <w:szCs w:val="19"/>
        </w:rPr>
        <w:t xml:space="preserve">4 hub/index pages: AI Voice Agency Academy, White-label by industry index, Compare &amp; alternatives index, Integrations directory.</w:t>
      </w:r>
    </w:p>
    <w:p>
      <w:pPr>
        <w:pStyle w:val="ListParagraph"/>
        <w:numPr>
          <w:ilvl w:val="0"/>
          <w:numId w:val="1"/>
        </w:numPr>
        <w:spacing w:after="40"/>
      </w:pPr>
      <w:r>
        <w:rPr>
          <w:rFonts w:ascii="Calibri" w:cs="Calibri" w:eastAsia="Calibri" w:hAnsi="Calibri"/>
          <w:b w:val="false"/>
          <w:bCs w:val="false"/>
          <w:i w:val="false"/>
          <w:iCs w:val="false"/>
          <w:color w:val="24303F"/>
          <w:sz w:val="19"/>
          <w:szCs w:val="19"/>
        </w:rPr>
        <w:t xml:space="preserve">Canonical GoHighLevel landing page (/integrations/gohighlevel).</w:t>
      </w:r>
    </w:p>
    <w:p>
      <w:pPr>
        <w:pStyle w:val="ListParagraph"/>
        <w:numPr>
          <w:ilvl w:val="0"/>
          <w:numId w:val="1"/>
        </w:numPr>
        <w:spacing w:after="40"/>
      </w:pPr>
      <w:r>
        <w:rPr>
          <w:rFonts w:ascii="Calibri" w:cs="Calibri" w:eastAsia="Calibri" w:hAnsi="Calibri"/>
          <w:b w:val="false"/>
          <w:bCs w:val="false"/>
          <w:i w:val="false"/>
          <w:iCs w:val="false"/>
          <w:color w:val="24303F"/>
          <w:sz w:val="19"/>
          <w:szCs w:val="19"/>
        </w:rPr>
        <w:t xml:space="preserve">/reviews social-proof hub (Review schema).</w:t>
      </w:r>
    </w:p>
    <w:p>
      <w:pPr>
        <w:pStyle w:val="ListParagraph"/>
        <w:numPr>
          <w:ilvl w:val="0"/>
          <w:numId w:val="1"/>
        </w:numPr>
        <w:spacing w:after="40"/>
      </w:pPr>
      <w:r>
        <w:rPr>
          <w:rFonts w:ascii="Calibri" w:cs="Calibri" w:eastAsia="Calibri" w:hAnsi="Calibri"/>
          <w:b w:val="false"/>
          <w:bCs w:val="false"/>
          <w:i w:val="false"/>
          <w:iCs w:val="false"/>
          <w:color w:val="24303F"/>
          <w:sz w:val="19"/>
          <w:szCs w:val="19"/>
        </w:rPr>
        <w:t xml:space="preserve">No new blog posts until consolidation is done — the library is already oversized.</w:t>
      </w:r>
    </w:p>
    <w:p>
      <w:pPr>
        <w:pBdr>
          <w:bottom w:val="single" w:color="D9DEE8" w:sz="6"/>
        </w:pBdr>
        <w:spacing w:after="140" w:before="140"/>
      </w:pPr>
      <w:r>
        <w:t xml:space="preserve"/>
      </w:r>
    </w:p>
    <w:p>
      <w:pPr>
        <w:spacing w:after="60" w:before="60"/>
      </w:pPr>
      <w:r>
        <w:rPr>
          <w:rFonts w:ascii="Georgia" w:cs="Georgia" w:eastAsia="Georgia" w:hAnsi="Georgia"/>
          <w:b/>
          <w:bCs/>
          <w:color w:val="16223C"/>
          <w:sz w:val="26"/>
          <w:szCs w:val="26"/>
        </w:rPr>
        <w:t xml:space="preserve">10 · Technical &amp; schema</w:t>
      </w:r>
    </w:p>
    <w:p>
      <w:pPr>
        <w:pStyle w:val="ListParagraph"/>
        <w:numPr>
          <w:ilvl w:val="0"/>
          <w:numId w:val="1"/>
        </w:numPr>
        <w:spacing w:after="40"/>
      </w:pPr>
      <w:r>
        <w:rPr>
          <w:rFonts w:ascii="Calibri" w:cs="Calibri" w:eastAsia="Calibri" w:hAnsi="Calibri"/>
          <w:b w:val="false"/>
          <w:bCs w:val="false"/>
          <w:i w:val="false"/>
          <w:iCs w:val="false"/>
          <w:color w:val="24303F"/>
          <w:sz w:val="19"/>
          <w:szCs w:val="19"/>
        </w:rPr>
        <w:t xml:space="preserve">Fix apex ↔ www canonicalisation (biggest single lever) — 301 to one host + self-referencing canonicals.</w:t>
      </w:r>
    </w:p>
    <w:p>
      <w:pPr>
        <w:pStyle w:val="ListParagraph"/>
        <w:numPr>
          <w:ilvl w:val="0"/>
          <w:numId w:val="1"/>
        </w:numPr>
        <w:spacing w:after="40"/>
      </w:pPr>
      <w:r>
        <w:rPr>
          <w:rFonts w:ascii="Calibri" w:cs="Calibri" w:eastAsia="Calibri" w:hAnsi="Calibri"/>
          <w:b w:val="false"/>
          <w:bCs w:val="false"/>
          <w:i w:val="false"/>
          <w:iCs w:val="false"/>
          <w:color w:val="24303F"/>
          <w:sz w:val="19"/>
          <w:szCs w:val="19"/>
        </w:rPr>
        <w:t xml:space="preserve">Remove the site-wide Australia </w:t>
      </w:r>
      <w:r>
        <w:rPr>
          <w:rFonts w:ascii="Consolas" w:cs="Consolas" w:eastAsia="Consolas" w:hAnsi="Consolas"/>
          <w:color w:val="16223C"/>
          <w:sz w:val="16"/>
          <w:szCs w:val="16"/>
        </w:rPr>
        <w:t xml:space="preserve">meta keywords</w:t>
      </w:r>
      <w:r>
        <w:rPr>
          <w:rFonts w:ascii="Calibri" w:cs="Calibri" w:eastAsia="Calibri" w:hAnsi="Calibri"/>
          <w:b w:val="false"/>
          <w:bCs w:val="false"/>
          <w:i w:val="false"/>
          <w:iCs w:val="false"/>
          <w:color w:val="24303F"/>
          <w:sz w:val="19"/>
          <w:szCs w:val="19"/>
        </w:rPr>
        <w:t xml:space="preserve"> block.</w:t>
      </w:r>
    </w:p>
    <w:p>
      <w:pPr>
        <w:pStyle w:val="ListParagraph"/>
        <w:numPr>
          <w:ilvl w:val="0"/>
          <w:numId w:val="1"/>
        </w:numPr>
        <w:spacing w:after="40"/>
      </w:pPr>
      <w:r>
        <w:rPr>
          <w:rFonts w:ascii="Calibri" w:cs="Calibri" w:eastAsia="Calibri" w:hAnsi="Calibri"/>
          <w:b w:val="false"/>
          <w:bCs w:val="false"/>
          <w:i w:val="false"/>
          <w:iCs w:val="false"/>
          <w:color w:val="24303F"/>
          <w:sz w:val="19"/>
          <w:szCs w:val="19"/>
        </w:rPr>
        <w:t xml:space="preserve">Schema: SoftwareApplication + Offer on /whitelabel &amp; /whitelabel/pricing; FAQPage on hubs; BreadcrumbList across the cluster; Review on /reviews.</w:t>
      </w:r>
    </w:p>
    <w:p>
      <w:pPr>
        <w:pStyle w:val="ListParagraph"/>
        <w:numPr>
          <w:ilvl w:val="0"/>
          <w:numId w:val="1"/>
        </w:numPr>
        <w:spacing w:after="40"/>
      </w:pPr>
      <w:r>
        <w:rPr>
          <w:rFonts w:ascii="Calibri" w:cs="Calibri" w:eastAsia="Calibri" w:hAnsi="Calibri"/>
          <w:b w:val="false"/>
          <w:bCs w:val="false"/>
          <w:i w:val="false"/>
          <w:iCs w:val="false"/>
          <w:color w:val="24303F"/>
          <w:sz w:val="19"/>
          <w:szCs w:val="19"/>
        </w:rPr>
        <w:t xml:space="preserve">Implement redirects for every consolidated/pruned URL; keep the XML sitemap clean; de-index thin chatbot pages.</w:t>
      </w:r>
    </w:p>
    <w:p>
      <w:pPr>
        <w:pStyle w:val="ListParagraph"/>
        <w:numPr>
          <w:ilvl w:val="0"/>
          <w:numId w:val="1"/>
        </w:numPr>
        <w:spacing w:after="40"/>
      </w:pPr>
      <w:r>
        <w:rPr>
          <w:rFonts w:ascii="Calibri" w:cs="Calibri" w:eastAsia="Calibri" w:hAnsi="Calibri"/>
          <w:b w:val="false"/>
          <w:bCs w:val="false"/>
          <w:i w:val="false"/>
          <w:iCs w:val="false"/>
          <w:color w:val="24303F"/>
          <w:sz w:val="19"/>
          <w:szCs w:val="19"/>
        </w:rPr>
        <w:t xml:space="preserve">Add hub↔spoke internal links programmatically (breadcrumbs + related-in-cluster modules).</w:t>
      </w:r>
    </w:p>
    <w:p>
      <w:pPr>
        <w:pBdr>
          <w:bottom w:val="single" w:color="D9DEE8" w:sz="6"/>
        </w:pBdr>
        <w:spacing w:after="140" w:before="140"/>
      </w:pPr>
      <w:r>
        <w:t xml:space="preserve"/>
      </w:r>
    </w:p>
    <w:p>
      <w:pPr>
        <w:spacing w:after="60" w:before="60"/>
      </w:pPr>
      <w:r>
        <w:rPr>
          <w:rFonts w:ascii="Georgia" w:cs="Georgia" w:eastAsia="Georgia" w:hAnsi="Georgia"/>
          <w:b/>
          <w:bCs/>
          <w:color w:val="16223C"/>
          <w:sz w:val="26"/>
          <w:szCs w:val="26"/>
        </w:rPr>
        <w:t xml:space="preserve">11 · Governance</w:t>
      </w:r>
    </w:p>
    <w:p>
      <w:pPr>
        <w:pStyle w:val="ListParagraph"/>
        <w:numPr>
          <w:ilvl w:val="0"/>
          <w:numId w:val="1"/>
        </w:numPr>
        <w:spacing w:after="40"/>
      </w:pPr>
      <w:r>
        <w:rPr>
          <w:rFonts w:ascii="Calibri" w:cs="Calibri" w:eastAsia="Calibri" w:hAnsi="Calibri"/>
          <w:b w:val="false"/>
          <w:bCs w:val="false"/>
          <w:i w:val="false"/>
          <w:iCs w:val="false"/>
          <w:color w:val="24303F"/>
          <w:sz w:val="19"/>
          <w:szCs w:val="19"/>
        </w:rPr>
        <w:t xml:space="preserve">Freeze programmatic net-new content in this cluster until Phases 0–2 are done.</w:t>
      </w:r>
    </w:p>
    <w:p>
      <w:pPr>
        <w:pStyle w:val="ListParagraph"/>
        <w:numPr>
          <w:ilvl w:val="0"/>
          <w:numId w:val="1"/>
        </w:numPr>
        <w:spacing w:after="40"/>
      </w:pPr>
      <w:r>
        <w:rPr>
          <w:rFonts w:ascii="Calibri" w:cs="Calibri" w:eastAsia="Calibri" w:hAnsi="Calibri"/>
          <w:b w:val="false"/>
          <w:bCs w:val="false"/>
          <w:i w:val="false"/>
          <w:iCs w:val="false"/>
          <w:color w:val="24303F"/>
          <w:sz w:val="19"/>
          <w:szCs w:val="19"/>
        </w:rPr>
        <w:t xml:space="preserve">One canonical page per intent — new ideas extend an existing page before a new URL is created.</w:t>
      </w:r>
    </w:p>
    <w:p>
      <w:pPr>
        <w:pStyle w:val="ListParagraph"/>
        <w:numPr>
          <w:ilvl w:val="0"/>
          <w:numId w:val="1"/>
        </w:numPr>
        <w:spacing w:after="40"/>
      </w:pPr>
      <w:r>
        <w:rPr>
          <w:rFonts w:ascii="Calibri" w:cs="Calibri" w:eastAsia="Calibri" w:hAnsi="Calibri"/>
          <w:b w:val="false"/>
          <w:bCs w:val="false"/>
          <w:i w:val="false"/>
          <w:iCs w:val="false"/>
          <w:color w:val="24303F"/>
          <w:sz w:val="19"/>
          <w:szCs w:val="19"/>
        </w:rPr>
        <w:t xml:space="preserve">Measure by cluster (impressions, CTR, clicks, assisted conversions to /whitelabel &amp; /partners), not per stray post; prune quarterly.</w:t>
      </w:r>
    </w:p>
    <w:p>
      <w:pPr>
        <w:pBdr>
          <w:bottom w:val="single" w:color="D9DEE8" w:sz="6"/>
        </w:pBdr>
        <w:spacing w:after="140" w:before="140"/>
      </w:pPr>
      <w:r>
        <w:t xml:space="preserve"/>
      </w:r>
    </w:p>
    <w:p>
      <w:pPr>
        <w:spacing w:after="60" w:before="60"/>
      </w:pPr>
      <w:r>
        <w:rPr>
          <w:rFonts w:ascii="Georgia" w:cs="Georgia" w:eastAsia="Georgia" w:hAnsi="Georgia"/>
          <w:b/>
          <w:bCs/>
          <w:color w:val="16223C"/>
          <w:sz w:val="26"/>
          <w:szCs w:val="26"/>
        </w:rPr>
        <w:t xml:space="preserve">12 · Phased roadmap</w:t>
      </w:r>
    </w:p>
    <w:p>
      <w:pPr>
        <w:spacing w:after="90"/>
      </w:pPr>
      <w:r>
        <w:rPr>
          <w:rFonts w:ascii="Calibri" w:cs="Calibri" w:eastAsia="Calibri" w:hAnsi="Calibri"/>
          <w:i w:val="false"/>
          <w:iCs w:val="false"/>
          <w:color w:val="5A6675"/>
          <w:sz w:val="18"/>
          <w:szCs w:val="18"/>
        </w:rPr>
        <w:t xml:space="preserve">Apex/www canonicalisation — previously the #1 item — is DONE. With it resolved, the CTR/snippet revamp of the ~93 Tier-A pages (~721k impressions) is the single biggest remaining lever, so it moves up.</w:t>
      </w:r>
    </w:p>
    <w:p>
      <w:pPr>
        <w:spacing w:after="60"/>
      </w:pPr>
      <w:r>
        <w:rPr>
          <w:rFonts w:ascii="Georgia" w:cs="Georgia" w:eastAsia="Georgia" w:hAnsi="Georgia"/>
          <w:b/>
          <w:bCs/>
          <w:color w:val="9A6B3F"/>
          <w:sz w:val="20"/>
          <w:szCs w:val="20"/>
        </w:rPr>
        <w:t xml:space="preserve">1.  </w:t>
      </w:r>
      <w:r>
        <w:rPr>
          <w:rFonts w:ascii="Calibri" w:cs="Calibri" w:eastAsia="Calibri" w:hAnsi="Calibri"/>
          <w:b/>
          <w:bCs/>
          <w:color w:val="24303F"/>
          <w:sz w:val="19"/>
          <w:szCs w:val="19"/>
        </w:rPr>
        <w:t xml:space="preserve">Phase 0 — Technical foundation — </w:t>
      </w:r>
      <w:r>
        <w:rPr>
          <w:rFonts w:ascii="Calibri" w:cs="Calibri" w:eastAsia="Calibri" w:hAnsi="Calibri"/>
          <w:color w:val="5A6675"/>
          <w:sz w:val="19"/>
          <w:szCs w:val="19"/>
        </w:rPr>
        <w:t xml:space="preserve">meta-keywords removal + schema on money pages (SoftwareApplication/Offer/FAQPage). Quick — apex/www already done.</w:t>
      </w:r>
    </w:p>
    <w:p>
      <w:pPr>
        <w:spacing w:after="60"/>
      </w:pPr>
      <w:r>
        <w:rPr>
          <w:rFonts w:ascii="Georgia" w:cs="Georgia" w:eastAsia="Georgia" w:hAnsi="Georgia"/>
          <w:b/>
          <w:bCs/>
          <w:color w:val="9A6B3F"/>
          <w:sz w:val="20"/>
          <w:szCs w:val="20"/>
        </w:rPr>
        <w:t xml:space="preserve">2.  </w:t>
      </w:r>
      <w:r>
        <w:rPr>
          <w:rFonts w:ascii="Calibri" w:cs="Calibri" w:eastAsia="Calibri" w:hAnsi="Calibri"/>
          <w:b/>
          <w:bCs/>
          <w:color w:val="24303F"/>
          <w:sz w:val="19"/>
          <w:szCs w:val="19"/>
        </w:rPr>
        <w:t xml:space="preserve">Phase 1 — Hub rebuild + CTR revamp (biggest lever) — </w:t>
      </w:r>
      <w:r>
        <w:rPr>
          <w:rFonts w:ascii="Calibri" w:cs="Calibri" w:eastAsia="Calibri" w:hAnsi="Calibri"/>
          <w:color w:val="5A6675"/>
          <w:sz w:val="19"/>
          <w:szCs w:val="19"/>
        </w:rPr>
        <w:t xml:space="preserve">rebuild /whitelabel as the pillar AND rewrite titles/metas/snippets on the Tier-A pages (start with voice-ai-white-label-pricing-breakdown, 42k impr @0.06%). This is where the 721k impressions convert.</w:t>
      </w:r>
    </w:p>
    <w:p>
      <w:pPr>
        <w:spacing w:after="60"/>
      </w:pPr>
      <w:r>
        <w:rPr>
          <w:rFonts w:ascii="Georgia" w:cs="Georgia" w:eastAsia="Georgia" w:hAnsi="Georgia"/>
          <w:b/>
          <w:bCs/>
          <w:color w:val="9A6B3F"/>
          <w:sz w:val="20"/>
          <w:szCs w:val="20"/>
        </w:rPr>
        <w:t xml:space="preserve">3.  </w:t>
      </w:r>
      <w:r>
        <w:rPr>
          <w:rFonts w:ascii="Calibri" w:cs="Calibri" w:eastAsia="Calibri" w:hAnsi="Calibri"/>
          <w:b/>
          <w:bCs/>
          <w:color w:val="24303F"/>
          <w:sz w:val="19"/>
          <w:szCs w:val="19"/>
        </w:rPr>
        <w:t xml:space="preserve">Phase 2 — Consolidate &amp; prune — </w:t>
      </w:r>
      <w:r>
        <w:rPr>
          <w:rFonts w:ascii="Calibri" w:cs="Calibri" w:eastAsia="Calibri" w:hAnsi="Calibri"/>
          <w:color w:val="5A6675"/>
          <w:sz w:val="19"/>
          <w:szCs w:val="19"/>
        </w:rPr>
        <w:t xml:space="preserve">execute the merge/redirect table; make the chatbot decision (redirect the chatbot-query pages you can’t convert); dedupe competitor pages.</w:t>
      </w:r>
    </w:p>
    <w:p>
      <w:pPr>
        <w:spacing w:after="60"/>
      </w:pPr>
      <w:r>
        <w:rPr>
          <w:rFonts w:ascii="Georgia" w:cs="Georgia" w:eastAsia="Georgia" w:hAnsi="Georgia"/>
          <w:b/>
          <w:bCs/>
          <w:color w:val="9A6B3F"/>
          <w:sz w:val="20"/>
          <w:szCs w:val="20"/>
        </w:rPr>
        <w:t xml:space="preserve">4.  </w:t>
      </w:r>
      <w:r>
        <w:rPr>
          <w:rFonts w:ascii="Calibri" w:cs="Calibri" w:eastAsia="Calibri" w:hAnsi="Calibri"/>
          <w:b/>
          <w:bCs/>
          <w:color w:val="24303F"/>
          <w:sz w:val="19"/>
          <w:szCs w:val="19"/>
        </w:rPr>
        <w:t xml:space="preserve">Phase 3 — Architecture &amp; hubs — </w:t>
      </w:r>
      <w:r>
        <w:rPr>
          <w:rFonts w:ascii="Calibri" w:cs="Calibri" w:eastAsia="Calibri" w:hAnsi="Calibri"/>
          <w:color w:val="5A6675"/>
          <w:sz w:val="19"/>
          <w:szCs w:val="19"/>
        </w:rPr>
        <w:t xml:space="preserve">build the 4 hub/index pages; wire hub↔spoke internal links (lifts white-label-ai-receptionist, the 2.39%-CTR term, off page 2).</w:t>
      </w:r>
    </w:p>
    <w:p>
      <w:pPr>
        <w:spacing w:after="60"/>
      </w:pPr>
      <w:r>
        <w:rPr>
          <w:rFonts w:ascii="Georgia" w:cs="Georgia" w:eastAsia="Georgia" w:hAnsi="Georgia"/>
          <w:b/>
          <w:bCs/>
          <w:color w:val="9A6B3F"/>
          <w:sz w:val="20"/>
          <w:szCs w:val="20"/>
        </w:rPr>
        <w:t xml:space="preserve">5.  </w:t>
      </w:r>
      <w:r>
        <w:rPr>
          <w:rFonts w:ascii="Calibri" w:cs="Calibri" w:eastAsia="Calibri" w:hAnsi="Calibri"/>
          <w:b/>
          <w:bCs/>
          <w:color w:val="24303F"/>
          <w:sz w:val="19"/>
          <w:szCs w:val="19"/>
        </w:rPr>
        <w:t xml:space="preserve">Phase 4 — Net-new surfaces — </w:t>
      </w:r>
      <w:r>
        <w:rPr>
          <w:rFonts w:ascii="Calibri" w:cs="Calibri" w:eastAsia="Calibri" w:hAnsi="Calibri"/>
          <w:color w:val="5A6675"/>
          <w:sz w:val="19"/>
          <w:szCs w:val="19"/>
        </w:rPr>
        <w:t xml:space="preserve">GoHighLevel landing, /integrations directory, /reviews hub.</w:t>
      </w:r>
    </w:p>
    <w:p>
      <w:pPr>
        <w:spacing w:after="60"/>
      </w:pPr>
      <w:r>
        <w:rPr>
          <w:rFonts w:ascii="Georgia" w:cs="Georgia" w:eastAsia="Georgia" w:hAnsi="Georgia"/>
          <w:b/>
          <w:bCs/>
          <w:color w:val="9A6B3F"/>
          <w:sz w:val="20"/>
          <w:szCs w:val="20"/>
        </w:rPr>
        <w:t xml:space="preserve">6.  </w:t>
      </w:r>
      <w:r>
        <w:rPr>
          <w:rFonts w:ascii="Calibri" w:cs="Calibri" w:eastAsia="Calibri" w:hAnsi="Calibri"/>
          <w:b/>
          <w:bCs/>
          <w:color w:val="24303F"/>
          <w:sz w:val="19"/>
          <w:szCs w:val="19"/>
        </w:rPr>
        <w:t xml:space="preserve">Phase 5 — Partnerships — </w:t>
      </w:r>
      <w:r>
        <w:rPr>
          <w:rFonts w:ascii="Calibri" w:cs="Calibri" w:eastAsia="Calibri" w:hAnsi="Calibri"/>
          <w:color w:val="5A6675"/>
          <w:sz w:val="19"/>
          <w:szCs w:val="19"/>
        </w:rPr>
        <w:t xml:space="preserve">turn /partners into a real program and wire the Academy into it.</w:t>
      </w:r>
    </w:p>
    <w:p>
      <w:pPr>
        <w:spacing w:after="60"/>
      </w:pPr>
      <w:r>
        <w:rPr>
          <w:rFonts w:ascii="Georgia" w:cs="Georgia" w:eastAsia="Georgia" w:hAnsi="Georgia"/>
          <w:b/>
          <w:bCs/>
          <w:color w:val="9A6B3F"/>
          <w:sz w:val="20"/>
          <w:szCs w:val="20"/>
        </w:rPr>
        <w:t xml:space="preserve">7.  </w:t>
      </w:r>
      <w:r>
        <w:rPr>
          <w:rFonts w:ascii="Calibri" w:cs="Calibri" w:eastAsia="Calibri" w:hAnsi="Calibri"/>
          <w:b/>
          <w:bCs/>
          <w:color w:val="24303F"/>
          <w:sz w:val="19"/>
          <w:szCs w:val="19"/>
        </w:rPr>
        <w:t xml:space="preserve">Ongoing — Governance &amp; measurement — </w:t>
      </w:r>
      <w:r>
        <w:rPr>
          <w:rFonts w:ascii="Calibri" w:cs="Calibri" w:eastAsia="Calibri" w:hAnsi="Calibri"/>
          <w:color w:val="5A6675"/>
          <w:sz w:val="19"/>
          <w:szCs w:val="19"/>
        </w:rPr>
        <w:t xml:space="preserve">freeze sprawl, measure by cluster, prune quarterly, and re-pull GSC in 4–8 weeks to confirm the apex/www consolidation lift and re-tier.</w:t>
      </w:r>
    </w:p>
    <w:p>
      <w:pPr>
        <w:spacing w:before="200"/>
        <w:jc w:val="center"/>
      </w:pPr>
      <w:r>
        <w:rPr>
          <w:rFonts w:ascii="Consolas" w:cs="Consolas" w:eastAsia="Consolas" w:hAnsi="Consolas"/>
          <w:color w:val="5A6675"/>
          <w:sz w:val="15"/>
          <w:szCs w:val="15"/>
        </w:rPr>
        <w:t xml:space="preserve">Trillet white-label cluster · master plan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0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2026-09-09T12:02:08.344Z</dcterms:created>
  <dcterms:modified xsi:type="dcterms:W3CDTF">2026-09-09T12:02:08.358Z</dcterms:modified>
</cp:coreProperties>
</file>

<file path=docProps/custom.xml><?xml version="1.0" encoding="utf-8"?>
<Properties xmlns="http://schemas.openxmlformats.org/officeDocument/2006/custom-properties" xmlns:vt="http://schemas.openxmlformats.org/officeDocument/2006/docPropsVTypes"/>
</file>