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b/>
          <w:bCs/>
          <w:color w:val="0C8577"/>
          <w:sz w:val="26"/>
          <w:szCs w:val="26"/>
        </w:rPr>
        <w:t xml:space="preserve">TRILLET</w:t>
      </w:r>
      <w:r>
        <w:rPr>
          <w:color w:val="52646A"/>
          <w:sz w:val="22"/>
          <w:szCs w:val="22"/>
        </w:rPr>
        <w:t xml:space="preserve">  ·  Enterprise Voice AI</w:t>
      </w:r>
    </w:p>
    <w:p>
      <w:pPr>
        <w:pStyle w:val="Title"/>
        <w:spacing w:after="60"/>
      </w:pPr>
      <w:r>
        <w:rPr>
          <w:color w:val="0E1B22"/>
        </w:rPr>
        <w:t xml:space="preserve">About Page, Publish-Ready Build &amp; Developer Handoff</w:t>
      </w:r>
    </w:p>
    <w:p>
      <w:pPr>
        <w:spacing w:after="120" w:line="276"/>
      </w:pPr>
      <w:r>
        <w:rPr>
          <w:color w:val="52646A"/>
        </w:rPr>
        <w:t xml:space="preserve">Final copy, design system, structured data, and the pre-publish confirmation gate for the Trillet </w:t>
      </w:r>
      <w:r>
        <w:rPr>
          <w:b/>
          <w:bCs/>
          <w:color w:val="52646A"/>
        </w:rPr>
        <w:t xml:space="preserve">About</w:t>
      </w:r>
      <w:r>
        <w:rPr>
          <w:color w:val="52646A"/>
        </w:rPr>
        <w:t xml:space="preserve"> page.</w:t>
      </w:r>
    </w:p>
    <w:p>
      <w:pPr>
        <w:spacing w:after="120" w:line="276"/>
      </w:pPr>
      <w:r>
        <w:rPr>
          <w:b/>
          <w:bCs/>
        </w:rPr>
        <w:t xml:space="preserve">Reference build: </w:t>
      </w:r>
      <w:r>
        <w:t xml:space="preserve">about-trillet.html (this repo)</w:t>
      </w:r>
    </w:p>
    <w:p>
      <w:pPr>
        <w:spacing w:after="120" w:line="276"/>
      </w:pPr>
      <w:r>
        <w:rPr>
          <w:b/>
          <w:bCs/>
        </w:rPr>
        <w:t xml:space="preserve">Live preview: </w:t>
      </w:r>
      <w:r>
        <w:rPr>
          <w:color w:val="0C8577"/>
        </w:rPr>
        <w:t xml:space="preserve">https://claude.ai/code/artifact/ce9540c1-9e3e-4b7d-89f4-2545fc1131e1</w:t>
      </w:r>
    </w:p>
    <w:p>
      <w:pPr>
        <w:spacing w:after="120" w:line="276"/>
      </w:pPr>
      <w:r>
        <w:rPr>
          <w:b/>
          <w:bCs/>
        </w:rPr>
        <w:t xml:space="preserve">Status: </w:t>
      </w:r>
      <w:r>
        <w:t xml:space="preserve">Copy and structure are final. Publish-ready once §9 is cleared (metrics/cert wording, pronouns, real URLs, assets).</w:t>
      </w:r>
    </w:p>
    <w:p>
      <w:pPr>
        <w:spacing w:after="80"/>
      </w:pPr>
      <w:r>
        <w:t xml:space="preserve"/>
      </w:r>
    </w:p>
    <w:p>
      <w:pPr>
        <w:pBdr>
          <w:left w:val="single" w:color="0C8577" w:sz="18" w:space="8"/>
        </w:pBdr>
        <w:shd w:fill="F2F5F5" w:color="auto" w:val="clear"/>
        <w:spacing w:after="140" w:before="60" w:line="264"/>
      </w:pPr>
      <w:r>
        <w:rPr>
          <w:b/>
          <w:bCs/>
          <w:color w:val="0C8577"/>
        </w:rPr>
        <w:t xml:space="preserve">LEGEND  </w:t>
      </w:r>
      <w:r>
        <w:t xml:space="preserve">DESIGN = design decision to preserve · DEV = implementation instruction · CONFIRM = fact Trillet must verify before publish · ASSET = file the client must supply.</w:t>
      </w:r>
    </w:p>
    <w:p>
      <w:pPr>
        <w:pStyle w:val="Heading1"/>
        <w:spacing w:after="140" w:before="320"/>
      </w:pPr>
      <w:r>
        <w:rPr>
          <w:color w:val="0E1B22"/>
        </w:rPr>
        <w:t xml:space="preserve">1 · Sourcing &amp; accuracy policy</w:t>
      </w:r>
    </w:p>
    <w:p>
      <w:pPr>
        <w:spacing w:after="120" w:line="276"/>
      </w:pPr>
      <w:r>
        <w:t xml:space="preserve">Every claim on the page traces to Trillet's own website (trillet.ai, /enterprise, /ai-info), the September 2025 press release, the Trustpilot profile, or the three founders' LinkedIn profiles supplied by the client. No figures were invented. Live-changing numbers and compliance claims are flagged CONFIRM for sign-off.</w:t>
      </w:r>
    </w:p>
    <w:p>
      <w:pPr>
        <w:pBdr>
          <w:left w:val="single" w:color="0C8577" w:sz="18" w:space="8"/>
        </w:pBdr>
        <w:shd w:fill="FBEEDB" w:color="auto" w:val="clear"/>
        <w:spacing w:after="140" w:before="60" w:line="264"/>
      </w:pPr>
      <w:r>
        <w:rPr>
          <w:b/>
          <w:bCs/>
          <w:color w:val="0C8577"/>
        </w:rPr>
        <w:t xml:space="preserve">DO NOT USE  </w:t>
      </w:r>
      <w:r>
        <w:t xml:space="preserve">The “$50M raised / $130M valuation” figures on third-party aggregators are a name-collision with unrelated companies (“Rillet” / “Triller”). They appear nowhere on this page and must not be added.</w:t>
      </w:r>
    </w:p>
    <w:p>
      <w:pPr>
        <w:pStyle w:val="Heading1"/>
        <w:spacing w:after="140" w:before="320"/>
      </w:pPr>
      <w:r>
        <w:rPr>
          <w:color w:val="0E1B22"/>
        </w:rPr>
        <w:t xml:space="preserve">2 · Page metadata &amp; &lt;head&gt;</w:t>
      </w:r>
    </w:p>
    <w:p>
      <w:pPr>
        <w:pBdr>
          <w:left w:val="single" w:color="0C8577" w:sz="18" w:space="8"/>
        </w:pBdr>
        <w:shd w:fill="D6ECE7" w:color="auto" w:val="clear"/>
        <w:spacing w:after="140" w:before="60" w:line="264"/>
      </w:pPr>
      <w:r>
        <w:rPr>
          <w:b/>
          <w:bCs/>
          <w:color w:val="0C8577"/>
        </w:rPr>
        <w:t xml:space="preserve">DEV  </w:t>
      </w:r>
      <w:r>
        <w:t xml:space="preserve">The reference file is an Artifact whose host injects &lt;title&gt;, charset, and viewport. On the production site, use a full head:</w:t>
      </w:r>
    </w:p>
    <w:p>
      <w:pPr>
        <w:shd w:fill="F2F5F5" w:color="auto" w:val="clear"/>
        <w:spacing w:after="0" w:line="240"/>
      </w:pPr>
      <w:r>
        <w:rPr>
          <w:rFonts w:ascii="Consolas" w:cs="Consolas" w:eastAsia="Consolas" w:hAnsi="Consolas"/>
          <w:color w:val="0E1B22"/>
          <w:sz w:val="16"/>
          <w:szCs w:val="16"/>
        </w:rPr>
        <w:t xml:space="preserve">&lt;title&gt;About Trillet | Enterprise Voice AI for High-Stakes Conversations&lt;/title&gt;</w:t>
      </w:r>
    </w:p>
    <w:p>
      <w:pPr>
        <w:shd w:fill="F2F5F5" w:color="auto" w:val="clear"/>
        <w:spacing w:after="0" w:line="240"/>
      </w:pPr>
      <w:r>
        <w:rPr>
          <w:rFonts w:ascii="Consolas" w:cs="Consolas" w:eastAsia="Consolas" w:hAnsi="Consolas"/>
          <w:color w:val="0E1B22"/>
          <w:sz w:val="16"/>
          <w:szCs w:val="16"/>
        </w:rPr>
        <w:t xml:space="preserve">&lt;meta name="description" content="Trillet is enterprise voice AI that resolves</w:t>
      </w:r>
    </w:p>
    <w:p>
      <w:pPr>
        <w:shd w:fill="F2F5F5" w:color="auto" w:val="clear"/>
        <w:spacing w:after="0" w:line="240"/>
      </w:pPr>
      <w:r>
        <w:rPr>
          <w:rFonts w:ascii="Consolas" w:cs="Consolas" w:eastAsia="Consolas" w:hAnsi="Consolas"/>
          <w:color w:val="0E1B22"/>
          <w:sz w:val="16"/>
          <w:szCs w:val="16"/>
        </w:rPr>
        <w:t xml:space="preserve">  high-stakes, regulated conversations from start to finish. It verifies identity,</w:t>
      </w:r>
    </w:p>
    <w:p>
      <w:pPr>
        <w:shd w:fill="F2F5F5" w:color="auto" w:val="clear"/>
        <w:spacing w:after="0" w:line="240"/>
      </w:pPr>
      <w:r>
        <w:rPr>
          <w:rFonts w:ascii="Consolas" w:cs="Consolas" w:eastAsia="Consolas" w:hAnsi="Consolas"/>
          <w:color w:val="0E1B22"/>
          <w:sz w:val="16"/>
          <w:szCs w:val="16"/>
        </w:rPr>
        <w:t xml:space="preserve">  acts in your systems of record, and closes the loop with a full audit trail."&gt;</w:t>
      </w:r>
    </w:p>
    <w:p>
      <w:pPr>
        <w:shd w:fill="F2F5F5" w:color="auto" w:val="clear"/>
        <w:spacing w:after="0" w:line="240"/>
      </w:pPr>
      <w:r>
        <w:rPr>
          <w:rFonts w:ascii="Consolas" w:cs="Consolas" w:eastAsia="Consolas" w:hAnsi="Consolas"/>
          <w:color w:val="0E1B22"/>
          <w:sz w:val="16"/>
          <w:szCs w:val="16"/>
        </w:rPr>
        <w:t xml:space="preserve">&lt;link rel="canonical" href="https://www.trillet.ai/about"&gt;</w:t>
      </w:r>
    </w:p>
    <w:p>
      <w:pPr>
        <w:shd w:fill="F2F5F5" w:color="auto" w:val="clear"/>
        <w:spacing w:after="0" w:line="240"/>
      </w:pPr>
      <w:r>
        <w:rPr>
          <w:rFonts w:ascii="Consolas" w:cs="Consolas" w:eastAsia="Consolas" w:hAnsi="Consolas"/>
          <w:color w:val="0E1B22"/>
          <w:sz w:val="16"/>
          <w:szCs w:val="16"/>
        </w:rPr>
        <w:t xml:space="preserve">&lt;meta name="robots" content="index,follow"&gt;</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0" w:line="240"/>
      </w:pPr>
      <w:r>
        <w:rPr>
          <w:rFonts w:ascii="Consolas" w:cs="Consolas" w:eastAsia="Consolas" w:hAnsi="Consolas"/>
          <w:color w:val="0E1B22"/>
          <w:sz w:val="16"/>
          <w:szCs w:val="16"/>
        </w:rPr>
        <w:t xml:space="preserve">&lt;meta property="og:type" content="website"&gt;</w:t>
      </w:r>
    </w:p>
    <w:p>
      <w:pPr>
        <w:shd w:fill="F2F5F5" w:color="auto" w:val="clear"/>
        <w:spacing w:after="0" w:line="240"/>
      </w:pPr>
      <w:r>
        <w:rPr>
          <w:rFonts w:ascii="Consolas" w:cs="Consolas" w:eastAsia="Consolas" w:hAnsi="Consolas"/>
          <w:color w:val="0E1B22"/>
          <w:sz w:val="16"/>
          <w:szCs w:val="16"/>
        </w:rPr>
        <w:t xml:space="preserve">&lt;meta property="og:title" content="About Trillet"&gt;</w:t>
      </w:r>
    </w:p>
    <w:p>
      <w:pPr>
        <w:shd w:fill="F2F5F5" w:color="auto" w:val="clear"/>
        <w:spacing w:after="0" w:line="240"/>
      </w:pPr>
      <w:r>
        <w:rPr>
          <w:rFonts w:ascii="Consolas" w:cs="Consolas" w:eastAsia="Consolas" w:hAnsi="Consolas"/>
          <w:color w:val="0E1B22"/>
          <w:sz w:val="16"/>
          <w:szCs w:val="16"/>
        </w:rPr>
        <w:t xml:space="preserve">&lt;meta property="og:description" content="Voice AI that resolves high-stakes,</w:t>
      </w:r>
    </w:p>
    <w:p>
      <w:pPr>
        <w:shd w:fill="F2F5F5" w:color="auto" w:val="clear"/>
        <w:spacing w:after="0" w:line="240"/>
      </w:pPr>
      <w:r>
        <w:rPr>
          <w:rFonts w:ascii="Consolas" w:cs="Consolas" w:eastAsia="Consolas" w:hAnsi="Consolas"/>
          <w:color w:val="0E1B22"/>
          <w:sz w:val="16"/>
          <w:szCs w:val="16"/>
        </w:rPr>
        <w:t xml:space="preserve">  regulated conversations from start to finish. Founded in Melbourne, globally operated."&gt;</w:t>
      </w:r>
    </w:p>
    <w:p>
      <w:pPr>
        <w:shd w:fill="F2F5F5" w:color="auto" w:val="clear"/>
        <w:spacing w:after="0" w:line="240"/>
      </w:pPr>
      <w:r>
        <w:rPr>
          <w:rFonts w:ascii="Consolas" w:cs="Consolas" w:eastAsia="Consolas" w:hAnsi="Consolas"/>
          <w:color w:val="0E1B22"/>
          <w:sz w:val="16"/>
          <w:szCs w:val="16"/>
        </w:rPr>
        <w:t xml:space="preserve">&lt;meta property="og:url" content="https://www.trillet.ai/about"&gt;</w:t>
      </w:r>
    </w:p>
    <w:p>
      <w:pPr>
        <w:shd w:fill="F2F5F5" w:color="auto" w:val="clear"/>
        <w:spacing w:after="0" w:line="240"/>
      </w:pPr>
      <w:r>
        <w:rPr>
          <w:rFonts w:ascii="Consolas" w:cs="Consolas" w:eastAsia="Consolas" w:hAnsi="Consolas"/>
          <w:color w:val="0E1B22"/>
          <w:sz w:val="16"/>
          <w:szCs w:val="16"/>
        </w:rPr>
        <w:t xml:space="preserve">&lt;meta property="og:image" content="https://www.trillet.ai/og/about.png"&gt;</w:t>
      </w:r>
    </w:p>
    <w:p>
      <w:pPr>
        <w:shd w:fill="F2F5F5" w:color="auto" w:val="clear"/>
        <w:spacing w:after="0" w:line="240"/>
      </w:pPr>
      <w:r>
        <w:rPr>
          <w:rFonts w:ascii="Consolas" w:cs="Consolas" w:eastAsia="Consolas" w:hAnsi="Consolas"/>
          <w:color w:val="0E1B22"/>
          <w:sz w:val="16"/>
          <w:szCs w:val="16"/>
        </w:rPr>
        <w:t xml:space="preserve">&lt;meta name="twitter:card" content="summary_large_image"&gt;</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0" w:line="240"/>
      </w:pPr>
      <w:r>
        <w:rPr>
          <w:rFonts w:ascii="Consolas" w:cs="Consolas" w:eastAsia="Consolas" w:hAnsi="Consolas"/>
          <w:color w:val="0E1B22"/>
          <w:sz w:val="16"/>
          <w:szCs w:val="16"/>
        </w:rPr>
        <w:t xml:space="preserve">&lt;link rel="preconnect" href="https://fonts.googleapis.com"&gt;</w:t>
      </w:r>
    </w:p>
    <w:p>
      <w:pPr>
        <w:shd w:fill="F2F5F5" w:color="auto" w:val="clear"/>
        <w:spacing w:after="0" w:line="240"/>
      </w:pPr>
      <w:r>
        <w:rPr>
          <w:rFonts w:ascii="Consolas" w:cs="Consolas" w:eastAsia="Consolas" w:hAnsi="Consolas"/>
          <w:color w:val="0E1B22"/>
          <w:sz w:val="16"/>
          <w:szCs w:val="16"/>
        </w:rPr>
        <w:t xml:space="preserve">&lt;link rel="preconnect" href="https://fonts.gstatic.com" crossorigin&gt;</w:t>
      </w:r>
    </w:p>
    <w:p>
      <w:pPr>
        <w:shd w:fill="F2F5F5" w:color="auto" w:val="clear"/>
        <w:spacing w:after="0" w:line="240"/>
      </w:pPr>
      <w:r>
        <w:rPr>
          <w:rFonts w:ascii="Consolas" w:cs="Consolas" w:eastAsia="Consolas" w:hAnsi="Consolas"/>
          <w:color w:val="0E1B22"/>
          <w:sz w:val="16"/>
          <w:szCs w:val="16"/>
        </w:rPr>
        <w:t xml:space="preserve">&lt;link rel="stylesheet" href="https://fonts.googleapis.com/css2?family=</w:t>
      </w:r>
    </w:p>
    <w:p>
      <w:pPr>
        <w:shd w:fill="F2F5F5" w:color="auto" w:val="clear"/>
        <w:spacing w:after="0" w:line="240"/>
      </w:pPr>
      <w:r>
        <w:rPr>
          <w:rFonts w:ascii="Consolas" w:cs="Consolas" w:eastAsia="Consolas" w:hAnsi="Consolas"/>
          <w:color w:val="0E1B22"/>
          <w:sz w:val="16"/>
          <w:szCs w:val="16"/>
        </w:rPr>
        <w:t xml:space="preserve">  Bricolage+Grotesque:opsz,wght@12..96,500;12..96,600;12..96,700&amp;family=</w:t>
      </w:r>
    </w:p>
    <w:p>
      <w:pPr>
        <w:shd w:fill="F2F5F5" w:color="auto" w:val="clear"/>
        <w:spacing w:after="120" w:line="240"/>
      </w:pPr>
      <w:r>
        <w:rPr>
          <w:rFonts w:ascii="Consolas" w:cs="Consolas" w:eastAsia="Consolas" w:hAnsi="Consolas"/>
          <w:color w:val="0E1B22"/>
          <w:sz w:val="16"/>
          <w:szCs w:val="16"/>
        </w:rPr>
        <w:t xml:space="preserve">  IBM+Plex+Mono:wght@400;500&amp;family=IBM+Plex+Sans:wght@400;500;600&amp;display=swap"&gt;</w:t>
      </w:r>
    </w:p>
    <w:p>
      <w:pPr>
        <w:pBdr>
          <w:left w:val="single" w:color="0C8577" w:sz="18" w:space="8"/>
        </w:pBdr>
        <w:shd w:fill="D6ECE7" w:color="auto" w:val="clear"/>
        <w:spacing w:after="140" w:before="60" w:line="264"/>
      </w:pPr>
      <w:r>
        <w:rPr>
          <w:b/>
          <w:bCs/>
          <w:color w:val="0C8577"/>
        </w:rPr>
        <w:t xml:space="preserve">DESIGN  </w:t>
      </w:r>
      <w:r>
        <w:t xml:space="preserve">Exactly one &lt;h1&gt; on the page (the hero). Every other section heading is &lt;h2&gt;; sub-items are &lt;h3&gt;. Keep this hierarchy for SEO and screen readers.</w:t>
      </w:r>
    </w:p>
    <w:p>
      <w:pPr>
        <w:pStyle w:val="Heading1"/>
        <w:spacing w:after="140" w:before="320"/>
      </w:pPr>
      <w:r>
        <w:rPr>
          <w:color w:val="0E1B22"/>
        </w:rPr>
        <w:t xml:space="preserve">3 · Design system</w:t>
      </w:r>
    </w:p>
    <w:p>
      <w:pPr>
        <w:spacing w:after="120" w:line="276"/>
      </w:pPr>
      <w:r>
        <w:t xml:space="preserve">Preserve these tokens; defined once in :root and re-declared for dark mode. The palette is a deliberate jade-teal on a cool neutral, keep the accent as the single bold colour; everything else stays quiet.</w:t>
      </w:r>
    </w:p>
    <w:p>
      <w:pPr>
        <w:pStyle w:val="Heading3"/>
        <w:spacing w:after="80" w:before="180"/>
      </w:pPr>
      <w:r>
        <w:rPr>
          <w:color w:val="0C8577"/>
        </w:rPr>
        <w:t xml:space="preserve">Colour tokens</w:t>
      </w:r>
    </w:p>
    <w:tbl>
      <w:tblPr>
        <w:tblW w:type="dxa" w:w="8400"/>
        <w:tblBorders>
          <w:top w:val="single" w:color="D6E0E1" w:sz="4"/>
          <w:left w:val="single" w:color="D6E0E1" w:sz="4"/>
          <w:bottom w:val="single" w:color="D6E0E1" w:sz="4"/>
          <w:right w:val="single" w:color="D6E0E1" w:sz="4"/>
          <w:insideH w:val="single" w:color="D6E0E1" w:sz="4"/>
          <w:insideV w:val="single" w:color="D6E0E1" w:sz="4"/>
        </w:tblBorders>
      </w:tblPr>
      <w:tblGrid>
        <w:gridCol w:w="2200"/>
        <w:gridCol w:w="1600"/>
        <w:gridCol w:w="1600"/>
        <w:gridCol w:w="3000"/>
      </w:tblGrid>
      <w:tr>
        <w:trPr>
          <w:tblHeader/>
        </w:trPr>
        <w:tc>
          <w:tcPr>
            <w:tcW w:type="dxa" w:w="2200"/>
            <w:shd w:fill="0E1B22" w:color="auto" w:val="clear"/>
            <w:tcMar>
              <w:top w:type="dxa" w:w="60"/>
              <w:left w:type="dxa" w:w="100"/>
              <w:bottom w:type="dxa" w:w="60"/>
              <w:right w:type="dxa" w:w="100"/>
            </w:tcMar>
          </w:tcPr>
          <w:p>
            <w:r>
              <w:rPr>
                <w:b/>
                <w:bCs/>
                <w:color w:val="FFFFFF"/>
                <w:sz w:val="18"/>
                <w:szCs w:val="18"/>
              </w:rPr>
              <w:t xml:space="preserve">Token</w:t>
            </w:r>
          </w:p>
        </w:tc>
        <w:tc>
          <w:tcPr>
            <w:tcW w:type="dxa" w:w="1600"/>
            <w:shd w:fill="0E1B22" w:color="auto" w:val="clear"/>
            <w:tcMar>
              <w:top w:type="dxa" w:w="60"/>
              <w:left w:type="dxa" w:w="100"/>
              <w:bottom w:type="dxa" w:w="60"/>
              <w:right w:type="dxa" w:w="100"/>
            </w:tcMar>
          </w:tcPr>
          <w:p>
            <w:r>
              <w:rPr>
                <w:b/>
                <w:bCs/>
                <w:color w:val="FFFFFF"/>
                <w:sz w:val="18"/>
                <w:szCs w:val="18"/>
              </w:rPr>
              <w:t xml:space="preserve">Light</w:t>
            </w:r>
          </w:p>
        </w:tc>
        <w:tc>
          <w:tcPr>
            <w:tcW w:type="dxa" w:w="1600"/>
            <w:shd w:fill="0E1B22" w:color="auto" w:val="clear"/>
            <w:tcMar>
              <w:top w:type="dxa" w:w="60"/>
              <w:left w:type="dxa" w:w="100"/>
              <w:bottom w:type="dxa" w:w="60"/>
              <w:right w:type="dxa" w:w="100"/>
            </w:tcMar>
          </w:tcPr>
          <w:p>
            <w:r>
              <w:rPr>
                <w:b/>
                <w:bCs/>
                <w:color w:val="FFFFFF"/>
                <w:sz w:val="18"/>
                <w:szCs w:val="18"/>
              </w:rPr>
              <w:t xml:space="preserve">Dark</w:t>
            </w:r>
          </w:p>
        </w:tc>
        <w:tc>
          <w:tcPr>
            <w:tcW w:type="dxa" w:w="3000"/>
            <w:shd w:fill="0E1B22" w:color="auto" w:val="clear"/>
            <w:tcMar>
              <w:top w:type="dxa" w:w="60"/>
              <w:left w:type="dxa" w:w="100"/>
              <w:bottom w:type="dxa" w:w="60"/>
              <w:right w:type="dxa" w:w="100"/>
            </w:tcMar>
          </w:tcPr>
          <w:p>
            <w:r>
              <w:rPr>
                <w:b/>
                <w:bCs/>
                <w:color w:val="FFFFFF"/>
                <w:sz w:val="18"/>
                <w:szCs w:val="18"/>
              </w:rPr>
              <w:t xml:space="preserve">Role</w:t>
            </w:r>
          </w:p>
        </w:tc>
      </w:tr>
      <w:tr>
        <w:tc>
          <w:tcPr>
            <w:tcW w:type="dxa" w:w="2200"/>
            <w:tcMar>
              <w:top w:type="dxa" w:w="50"/>
              <w:left w:type="dxa" w:w="100"/>
              <w:bottom w:type="dxa" w:w="50"/>
              <w:right w:type="dxa" w:w="100"/>
            </w:tcMar>
          </w:tcPr>
          <w:p>
            <w:r>
              <w:rPr>
                <w:sz w:val="18"/>
                <w:szCs w:val="18"/>
              </w:rPr>
              <w:t xml:space="preserve">--ink</w:t>
            </w:r>
          </w:p>
        </w:tc>
        <w:tc>
          <w:tcPr>
            <w:tcW w:type="dxa" w:w="1600"/>
            <w:tcMar>
              <w:top w:type="dxa" w:w="50"/>
              <w:left w:type="dxa" w:w="100"/>
              <w:bottom w:type="dxa" w:w="50"/>
              <w:right w:type="dxa" w:w="100"/>
            </w:tcMar>
          </w:tcPr>
          <w:p>
            <w:r>
              <w:rPr>
                <w:sz w:val="18"/>
                <w:szCs w:val="18"/>
              </w:rPr>
              <w:t xml:space="preserve">#0E1B22</w:t>
            </w:r>
          </w:p>
        </w:tc>
        <w:tc>
          <w:tcPr>
            <w:tcW w:type="dxa" w:w="1600"/>
            <w:tcMar>
              <w:top w:type="dxa" w:w="50"/>
              <w:left w:type="dxa" w:w="100"/>
              <w:bottom w:type="dxa" w:w="50"/>
              <w:right w:type="dxa" w:w="100"/>
            </w:tcMar>
          </w:tcPr>
          <w:p>
            <w:r>
              <w:rPr>
                <w:sz w:val="18"/>
                <w:szCs w:val="18"/>
              </w:rPr>
              <w:t xml:space="preserve">#E7F0EF</w:t>
            </w:r>
          </w:p>
        </w:tc>
        <w:tc>
          <w:tcPr>
            <w:tcW w:type="dxa" w:w="3000"/>
            <w:tcMar>
              <w:top w:type="dxa" w:w="50"/>
              <w:left w:type="dxa" w:w="100"/>
              <w:bottom w:type="dxa" w:w="50"/>
              <w:right w:type="dxa" w:w="100"/>
            </w:tcMar>
          </w:tcPr>
          <w:p>
            <w:r>
              <w:rPr>
                <w:sz w:val="18"/>
                <w:szCs w:val="18"/>
              </w:rPr>
              <w:t xml:space="preserve">Primary text</w:t>
            </w:r>
          </w:p>
        </w:tc>
      </w:tr>
      <w:tr>
        <w:tc>
          <w:tcPr>
            <w:tcW w:type="dxa" w:w="2200"/>
            <w:tcMar>
              <w:top w:type="dxa" w:w="50"/>
              <w:left w:type="dxa" w:w="100"/>
              <w:bottom w:type="dxa" w:w="50"/>
              <w:right w:type="dxa" w:w="100"/>
            </w:tcMar>
          </w:tcPr>
          <w:p>
            <w:r>
              <w:rPr>
                <w:sz w:val="18"/>
                <w:szCs w:val="18"/>
              </w:rPr>
              <w:t xml:space="preserve">--bg</w:t>
            </w:r>
          </w:p>
        </w:tc>
        <w:tc>
          <w:tcPr>
            <w:tcW w:type="dxa" w:w="1600"/>
            <w:tcMar>
              <w:top w:type="dxa" w:w="50"/>
              <w:left w:type="dxa" w:w="100"/>
              <w:bottom w:type="dxa" w:w="50"/>
              <w:right w:type="dxa" w:w="100"/>
            </w:tcMar>
          </w:tcPr>
          <w:p>
            <w:r>
              <w:rPr>
                <w:sz w:val="18"/>
                <w:szCs w:val="18"/>
              </w:rPr>
              <w:t xml:space="preserve">#F2F5F5</w:t>
            </w:r>
          </w:p>
        </w:tc>
        <w:tc>
          <w:tcPr>
            <w:tcW w:type="dxa" w:w="1600"/>
            <w:tcMar>
              <w:top w:type="dxa" w:w="50"/>
              <w:left w:type="dxa" w:w="100"/>
              <w:bottom w:type="dxa" w:w="50"/>
              <w:right w:type="dxa" w:w="100"/>
            </w:tcMar>
          </w:tcPr>
          <w:p>
            <w:r>
              <w:rPr>
                <w:sz w:val="18"/>
                <w:szCs w:val="18"/>
              </w:rPr>
              <w:t xml:space="preserve">#091316</w:t>
            </w:r>
          </w:p>
        </w:tc>
        <w:tc>
          <w:tcPr>
            <w:tcW w:type="dxa" w:w="3000"/>
            <w:tcMar>
              <w:top w:type="dxa" w:w="50"/>
              <w:left w:type="dxa" w:w="100"/>
              <w:bottom w:type="dxa" w:w="50"/>
              <w:right w:type="dxa" w:w="100"/>
            </w:tcMar>
          </w:tcPr>
          <w:p>
            <w:r>
              <w:rPr>
                <w:sz w:val="18"/>
                <w:szCs w:val="18"/>
              </w:rPr>
              <w:t xml:space="preserve">Page ground</w:t>
            </w:r>
          </w:p>
        </w:tc>
      </w:tr>
      <w:tr>
        <w:tc>
          <w:tcPr>
            <w:tcW w:type="dxa" w:w="2200"/>
            <w:tcMar>
              <w:top w:type="dxa" w:w="50"/>
              <w:left w:type="dxa" w:w="100"/>
              <w:bottom w:type="dxa" w:w="50"/>
              <w:right w:type="dxa" w:w="100"/>
            </w:tcMar>
          </w:tcPr>
          <w:p>
            <w:r>
              <w:rPr>
                <w:sz w:val="18"/>
                <w:szCs w:val="18"/>
              </w:rPr>
              <w:t xml:space="preserve">--surface</w:t>
            </w:r>
          </w:p>
        </w:tc>
        <w:tc>
          <w:tcPr>
            <w:tcW w:type="dxa" w:w="1600"/>
            <w:tcMar>
              <w:top w:type="dxa" w:w="50"/>
              <w:left w:type="dxa" w:w="100"/>
              <w:bottom w:type="dxa" w:w="50"/>
              <w:right w:type="dxa" w:w="100"/>
            </w:tcMar>
          </w:tcPr>
          <w:p>
            <w:r>
              <w:rPr>
                <w:sz w:val="18"/>
                <w:szCs w:val="18"/>
              </w:rPr>
              <w:t xml:space="preserve">#FFFFFF</w:t>
            </w:r>
          </w:p>
        </w:tc>
        <w:tc>
          <w:tcPr>
            <w:tcW w:type="dxa" w:w="1600"/>
            <w:tcMar>
              <w:top w:type="dxa" w:w="50"/>
              <w:left w:type="dxa" w:w="100"/>
              <w:bottom w:type="dxa" w:w="50"/>
              <w:right w:type="dxa" w:w="100"/>
            </w:tcMar>
          </w:tcPr>
          <w:p>
            <w:r>
              <w:rPr>
                <w:sz w:val="18"/>
                <w:szCs w:val="18"/>
              </w:rPr>
              <w:t xml:space="preserve">#0F1E22</w:t>
            </w:r>
          </w:p>
        </w:tc>
        <w:tc>
          <w:tcPr>
            <w:tcW w:type="dxa" w:w="3000"/>
            <w:tcMar>
              <w:top w:type="dxa" w:w="50"/>
              <w:left w:type="dxa" w:w="100"/>
              <w:bottom w:type="dxa" w:w="50"/>
              <w:right w:type="dxa" w:w="100"/>
            </w:tcMar>
          </w:tcPr>
          <w:p>
            <w:r>
              <w:rPr>
                <w:sz w:val="18"/>
                <w:szCs w:val="18"/>
              </w:rPr>
              <w:t xml:space="preserve">Cards / alternating bands</w:t>
            </w:r>
          </w:p>
        </w:tc>
      </w:tr>
      <w:tr>
        <w:tc>
          <w:tcPr>
            <w:tcW w:type="dxa" w:w="2200"/>
            <w:tcMar>
              <w:top w:type="dxa" w:w="50"/>
              <w:left w:type="dxa" w:w="100"/>
              <w:bottom w:type="dxa" w:w="50"/>
              <w:right w:type="dxa" w:w="100"/>
            </w:tcMar>
          </w:tcPr>
          <w:p>
            <w:r>
              <w:rPr>
                <w:sz w:val="18"/>
                <w:szCs w:val="18"/>
              </w:rPr>
              <w:t xml:space="preserve">--surface-2</w:t>
            </w:r>
          </w:p>
        </w:tc>
        <w:tc>
          <w:tcPr>
            <w:tcW w:type="dxa" w:w="1600"/>
            <w:tcMar>
              <w:top w:type="dxa" w:w="50"/>
              <w:left w:type="dxa" w:w="100"/>
              <w:bottom w:type="dxa" w:w="50"/>
              <w:right w:type="dxa" w:w="100"/>
            </w:tcMar>
          </w:tcPr>
          <w:p>
            <w:r>
              <w:rPr>
                <w:sz w:val="18"/>
                <w:szCs w:val="18"/>
              </w:rPr>
              <w:t xml:space="preserve">#E8EFEF</w:t>
            </w:r>
          </w:p>
        </w:tc>
        <w:tc>
          <w:tcPr>
            <w:tcW w:type="dxa" w:w="1600"/>
            <w:tcMar>
              <w:top w:type="dxa" w:w="50"/>
              <w:left w:type="dxa" w:w="100"/>
              <w:bottom w:type="dxa" w:w="50"/>
              <w:right w:type="dxa" w:w="100"/>
            </w:tcMar>
          </w:tcPr>
          <w:p>
            <w:r>
              <w:rPr>
                <w:sz w:val="18"/>
                <w:szCs w:val="18"/>
              </w:rPr>
              <w:t xml:space="preserve">#16282E</w:t>
            </w:r>
          </w:p>
        </w:tc>
        <w:tc>
          <w:tcPr>
            <w:tcW w:type="dxa" w:w="3000"/>
            <w:tcMar>
              <w:top w:type="dxa" w:w="50"/>
              <w:left w:type="dxa" w:w="100"/>
              <w:bottom w:type="dxa" w:w="50"/>
              <w:right w:type="dxa" w:w="100"/>
            </w:tcMar>
          </w:tcPr>
          <w:p>
            <w:r>
              <w:rPr>
                <w:sz w:val="18"/>
                <w:szCs w:val="18"/>
              </w:rPr>
              <w:t xml:space="preserve">Insets, chips</w:t>
            </w:r>
          </w:p>
        </w:tc>
      </w:tr>
      <w:tr>
        <w:tc>
          <w:tcPr>
            <w:tcW w:type="dxa" w:w="2200"/>
            <w:tcMar>
              <w:top w:type="dxa" w:w="50"/>
              <w:left w:type="dxa" w:w="100"/>
              <w:bottom w:type="dxa" w:w="50"/>
              <w:right w:type="dxa" w:w="100"/>
            </w:tcMar>
          </w:tcPr>
          <w:p>
            <w:r>
              <w:rPr>
                <w:sz w:val="18"/>
                <w:szCs w:val="18"/>
              </w:rPr>
              <w:t xml:space="preserve">--muted</w:t>
            </w:r>
          </w:p>
        </w:tc>
        <w:tc>
          <w:tcPr>
            <w:tcW w:type="dxa" w:w="1600"/>
            <w:tcMar>
              <w:top w:type="dxa" w:w="50"/>
              <w:left w:type="dxa" w:w="100"/>
              <w:bottom w:type="dxa" w:w="50"/>
              <w:right w:type="dxa" w:w="100"/>
            </w:tcMar>
          </w:tcPr>
          <w:p>
            <w:r>
              <w:rPr>
                <w:sz w:val="18"/>
                <w:szCs w:val="18"/>
              </w:rPr>
              <w:t xml:space="preserve">#52646A</w:t>
            </w:r>
          </w:p>
        </w:tc>
        <w:tc>
          <w:tcPr>
            <w:tcW w:type="dxa" w:w="1600"/>
            <w:tcMar>
              <w:top w:type="dxa" w:w="50"/>
              <w:left w:type="dxa" w:w="100"/>
              <w:bottom w:type="dxa" w:w="50"/>
              <w:right w:type="dxa" w:w="100"/>
            </w:tcMar>
          </w:tcPr>
          <w:p>
            <w:r>
              <w:rPr>
                <w:sz w:val="18"/>
                <w:szCs w:val="18"/>
              </w:rPr>
              <w:t xml:space="preserve">#9AADB2</w:t>
            </w:r>
          </w:p>
        </w:tc>
        <w:tc>
          <w:tcPr>
            <w:tcW w:type="dxa" w:w="3000"/>
            <w:tcMar>
              <w:top w:type="dxa" w:w="50"/>
              <w:left w:type="dxa" w:w="100"/>
              <w:bottom w:type="dxa" w:w="50"/>
              <w:right w:type="dxa" w:w="100"/>
            </w:tcMar>
          </w:tcPr>
          <w:p>
            <w:r>
              <w:rPr>
                <w:sz w:val="18"/>
                <w:szCs w:val="18"/>
              </w:rPr>
              <w:t xml:space="preserve">Secondary text</w:t>
            </w:r>
          </w:p>
        </w:tc>
      </w:tr>
      <w:tr>
        <w:tc>
          <w:tcPr>
            <w:tcW w:type="dxa" w:w="2200"/>
            <w:tcMar>
              <w:top w:type="dxa" w:w="50"/>
              <w:left w:type="dxa" w:w="100"/>
              <w:bottom w:type="dxa" w:w="50"/>
              <w:right w:type="dxa" w:w="100"/>
            </w:tcMar>
          </w:tcPr>
          <w:p>
            <w:r>
              <w:rPr>
                <w:sz w:val="18"/>
                <w:szCs w:val="18"/>
              </w:rPr>
              <w:t xml:space="preserve">--faint</w:t>
            </w:r>
          </w:p>
        </w:tc>
        <w:tc>
          <w:tcPr>
            <w:tcW w:type="dxa" w:w="1600"/>
            <w:tcMar>
              <w:top w:type="dxa" w:w="50"/>
              <w:left w:type="dxa" w:w="100"/>
              <w:bottom w:type="dxa" w:w="50"/>
              <w:right w:type="dxa" w:w="100"/>
            </w:tcMar>
          </w:tcPr>
          <w:p>
            <w:r>
              <w:rPr>
                <w:sz w:val="18"/>
                <w:szCs w:val="18"/>
              </w:rPr>
              <w:t xml:space="preserve">#7F9095</w:t>
            </w:r>
          </w:p>
        </w:tc>
        <w:tc>
          <w:tcPr>
            <w:tcW w:type="dxa" w:w="1600"/>
            <w:tcMar>
              <w:top w:type="dxa" w:w="50"/>
              <w:left w:type="dxa" w:w="100"/>
              <w:bottom w:type="dxa" w:w="50"/>
              <w:right w:type="dxa" w:w="100"/>
            </w:tcMar>
          </w:tcPr>
          <w:p>
            <w:r>
              <w:rPr>
                <w:sz w:val="18"/>
                <w:szCs w:val="18"/>
              </w:rPr>
              <w:t xml:space="preserve">#6C8087</w:t>
            </w:r>
          </w:p>
        </w:tc>
        <w:tc>
          <w:tcPr>
            <w:tcW w:type="dxa" w:w="3000"/>
            <w:tcMar>
              <w:top w:type="dxa" w:w="50"/>
              <w:left w:type="dxa" w:w="100"/>
              <w:bottom w:type="dxa" w:w="50"/>
              <w:right w:type="dxa" w:w="100"/>
            </w:tcMar>
          </w:tcPr>
          <w:p>
            <w:r>
              <w:rPr>
                <w:sz w:val="18"/>
                <w:szCs w:val="18"/>
              </w:rPr>
              <w:t xml:space="preserve">Labels, captions</w:t>
            </w:r>
          </w:p>
        </w:tc>
      </w:tr>
      <w:tr>
        <w:tc>
          <w:tcPr>
            <w:tcW w:type="dxa" w:w="2200"/>
            <w:tcMar>
              <w:top w:type="dxa" w:w="50"/>
              <w:left w:type="dxa" w:w="100"/>
              <w:bottom w:type="dxa" w:w="50"/>
              <w:right w:type="dxa" w:w="100"/>
            </w:tcMar>
          </w:tcPr>
          <w:p>
            <w:r>
              <w:rPr>
                <w:sz w:val="18"/>
                <w:szCs w:val="18"/>
              </w:rPr>
              <w:t xml:space="preserve">--line</w:t>
            </w:r>
          </w:p>
        </w:tc>
        <w:tc>
          <w:tcPr>
            <w:tcW w:type="dxa" w:w="1600"/>
            <w:tcMar>
              <w:top w:type="dxa" w:w="50"/>
              <w:left w:type="dxa" w:w="100"/>
              <w:bottom w:type="dxa" w:w="50"/>
              <w:right w:type="dxa" w:w="100"/>
            </w:tcMar>
          </w:tcPr>
          <w:p>
            <w:r>
              <w:rPr>
                <w:sz w:val="18"/>
                <w:szCs w:val="18"/>
              </w:rPr>
              <w:t xml:space="preserve">#D6E0E1</w:t>
            </w:r>
          </w:p>
        </w:tc>
        <w:tc>
          <w:tcPr>
            <w:tcW w:type="dxa" w:w="1600"/>
            <w:tcMar>
              <w:top w:type="dxa" w:w="50"/>
              <w:left w:type="dxa" w:w="100"/>
              <w:bottom w:type="dxa" w:w="50"/>
              <w:right w:type="dxa" w:w="100"/>
            </w:tcMar>
          </w:tcPr>
          <w:p>
            <w:r>
              <w:rPr>
                <w:sz w:val="18"/>
                <w:szCs w:val="18"/>
              </w:rPr>
              <w:t xml:space="preserve">#21333A</w:t>
            </w:r>
          </w:p>
        </w:tc>
        <w:tc>
          <w:tcPr>
            <w:tcW w:type="dxa" w:w="3000"/>
            <w:tcMar>
              <w:top w:type="dxa" w:w="50"/>
              <w:left w:type="dxa" w:w="100"/>
              <w:bottom w:type="dxa" w:w="50"/>
              <w:right w:type="dxa" w:w="100"/>
            </w:tcMar>
          </w:tcPr>
          <w:p>
            <w:r>
              <w:rPr>
                <w:sz w:val="18"/>
                <w:szCs w:val="18"/>
              </w:rPr>
              <w:t xml:space="preserve">Hairlines / borders</w:t>
            </w:r>
          </w:p>
        </w:tc>
      </w:tr>
      <w:tr>
        <w:tc>
          <w:tcPr>
            <w:tcW w:type="dxa" w:w="2200"/>
            <w:tcMar>
              <w:top w:type="dxa" w:w="50"/>
              <w:left w:type="dxa" w:w="100"/>
              <w:bottom w:type="dxa" w:w="50"/>
              <w:right w:type="dxa" w:w="100"/>
            </w:tcMar>
          </w:tcPr>
          <w:p>
            <w:r>
              <w:rPr>
                <w:sz w:val="18"/>
                <w:szCs w:val="18"/>
              </w:rPr>
              <w:t xml:space="preserve">--accent</w:t>
            </w:r>
          </w:p>
        </w:tc>
        <w:tc>
          <w:tcPr>
            <w:tcW w:type="dxa" w:w="1600"/>
            <w:tcMar>
              <w:top w:type="dxa" w:w="50"/>
              <w:left w:type="dxa" w:w="100"/>
              <w:bottom w:type="dxa" w:w="50"/>
              <w:right w:type="dxa" w:w="100"/>
            </w:tcMar>
          </w:tcPr>
          <w:p>
            <w:r>
              <w:rPr>
                <w:sz w:val="18"/>
                <w:szCs w:val="18"/>
              </w:rPr>
              <w:t xml:space="preserve">#0C8577</w:t>
            </w:r>
          </w:p>
        </w:tc>
        <w:tc>
          <w:tcPr>
            <w:tcW w:type="dxa" w:w="1600"/>
            <w:tcMar>
              <w:top w:type="dxa" w:w="50"/>
              <w:left w:type="dxa" w:w="100"/>
              <w:bottom w:type="dxa" w:w="50"/>
              <w:right w:type="dxa" w:w="100"/>
            </w:tcMar>
          </w:tcPr>
          <w:p>
            <w:r>
              <w:rPr>
                <w:sz w:val="18"/>
                <w:szCs w:val="18"/>
              </w:rPr>
              <w:t xml:space="preserve">#33D3BF</w:t>
            </w:r>
          </w:p>
        </w:tc>
        <w:tc>
          <w:tcPr>
            <w:tcW w:type="dxa" w:w="3000"/>
            <w:tcMar>
              <w:top w:type="dxa" w:w="50"/>
              <w:left w:type="dxa" w:w="100"/>
              <w:bottom w:type="dxa" w:w="50"/>
              <w:right w:type="dxa" w:w="100"/>
            </w:tcMar>
          </w:tcPr>
          <w:p>
            <w:r>
              <w:rPr>
                <w:sz w:val="18"/>
                <w:szCs w:val="18"/>
              </w:rPr>
              <w:t xml:space="preserve">Single accent</w:t>
            </w:r>
          </w:p>
        </w:tc>
      </w:tr>
      <w:tr>
        <w:tc>
          <w:tcPr>
            <w:tcW w:type="dxa" w:w="2200"/>
            <w:tcMar>
              <w:top w:type="dxa" w:w="50"/>
              <w:left w:type="dxa" w:w="100"/>
              <w:bottom w:type="dxa" w:w="50"/>
              <w:right w:type="dxa" w:w="100"/>
            </w:tcMar>
          </w:tcPr>
          <w:p>
            <w:r>
              <w:rPr>
                <w:sz w:val="18"/>
                <w:szCs w:val="18"/>
              </w:rPr>
              <w:t xml:space="preserve">--accent-ink</w:t>
            </w:r>
          </w:p>
        </w:tc>
        <w:tc>
          <w:tcPr>
            <w:tcW w:type="dxa" w:w="1600"/>
            <w:tcMar>
              <w:top w:type="dxa" w:w="50"/>
              <w:left w:type="dxa" w:w="100"/>
              <w:bottom w:type="dxa" w:w="50"/>
              <w:right w:type="dxa" w:w="100"/>
            </w:tcMar>
          </w:tcPr>
          <w:p>
            <w:r>
              <w:rPr>
                <w:sz w:val="18"/>
                <w:szCs w:val="18"/>
              </w:rPr>
              <w:t xml:space="preserve">#064A40</w:t>
            </w:r>
          </w:p>
        </w:tc>
        <w:tc>
          <w:tcPr>
            <w:tcW w:type="dxa" w:w="1600"/>
            <w:tcMar>
              <w:top w:type="dxa" w:w="50"/>
              <w:left w:type="dxa" w:w="100"/>
              <w:bottom w:type="dxa" w:w="50"/>
              <w:right w:type="dxa" w:w="100"/>
            </w:tcMar>
          </w:tcPr>
          <w:p>
            <w:r>
              <w:rPr>
                <w:sz w:val="18"/>
                <w:szCs w:val="18"/>
              </w:rPr>
              <w:t xml:space="preserve">#9CEEE1</w:t>
            </w:r>
          </w:p>
        </w:tc>
        <w:tc>
          <w:tcPr>
            <w:tcW w:type="dxa" w:w="3000"/>
            <w:tcMar>
              <w:top w:type="dxa" w:w="50"/>
              <w:left w:type="dxa" w:w="100"/>
              <w:bottom w:type="dxa" w:w="50"/>
              <w:right w:type="dxa" w:w="100"/>
            </w:tcMar>
          </w:tcPr>
          <w:p>
            <w:r>
              <w:rPr>
                <w:sz w:val="18"/>
                <w:szCs w:val="18"/>
              </w:rPr>
              <w:t xml:space="preserve">Accent deep / dark figures</w:t>
            </w:r>
          </w:p>
        </w:tc>
      </w:tr>
      <w:tr>
        <w:tc>
          <w:tcPr>
            <w:tcW w:type="dxa" w:w="2200"/>
            <w:tcMar>
              <w:top w:type="dxa" w:w="50"/>
              <w:left w:type="dxa" w:w="100"/>
              <w:bottom w:type="dxa" w:w="50"/>
              <w:right w:type="dxa" w:w="100"/>
            </w:tcMar>
          </w:tcPr>
          <w:p>
            <w:r>
              <w:rPr>
                <w:sz w:val="18"/>
                <w:szCs w:val="18"/>
              </w:rPr>
              <w:t xml:space="preserve">--accent-soft</w:t>
            </w:r>
          </w:p>
        </w:tc>
        <w:tc>
          <w:tcPr>
            <w:tcW w:type="dxa" w:w="1600"/>
            <w:tcMar>
              <w:top w:type="dxa" w:w="50"/>
              <w:left w:type="dxa" w:w="100"/>
              <w:bottom w:type="dxa" w:w="50"/>
              <w:right w:type="dxa" w:w="100"/>
            </w:tcMar>
          </w:tcPr>
          <w:p>
            <w:r>
              <w:rPr>
                <w:sz w:val="18"/>
                <w:szCs w:val="18"/>
              </w:rPr>
              <w:t xml:space="preserve">#D6ECE7</w:t>
            </w:r>
          </w:p>
        </w:tc>
        <w:tc>
          <w:tcPr>
            <w:tcW w:type="dxa" w:w="1600"/>
            <w:tcMar>
              <w:top w:type="dxa" w:w="50"/>
              <w:left w:type="dxa" w:w="100"/>
              <w:bottom w:type="dxa" w:w="50"/>
              <w:right w:type="dxa" w:w="100"/>
            </w:tcMar>
          </w:tcPr>
          <w:p>
            <w:r>
              <w:rPr>
                <w:sz w:val="18"/>
                <w:szCs w:val="18"/>
              </w:rPr>
              <w:t xml:space="preserve">#113632</w:t>
            </w:r>
          </w:p>
        </w:tc>
        <w:tc>
          <w:tcPr>
            <w:tcW w:type="dxa" w:w="3000"/>
            <w:tcMar>
              <w:top w:type="dxa" w:w="50"/>
              <w:left w:type="dxa" w:w="100"/>
              <w:bottom w:type="dxa" w:w="50"/>
              <w:right w:type="dxa" w:w="100"/>
            </w:tcMar>
          </w:tcPr>
          <w:p>
            <w:r>
              <w:rPr>
                <w:sz w:val="18"/>
                <w:szCs w:val="18"/>
              </w:rPr>
              <w:t xml:space="preserve">Accent tint fills</w:t>
            </w:r>
          </w:p>
        </w:tc>
      </w:tr>
      <w:tr>
        <w:tc>
          <w:tcPr>
            <w:tcW w:type="dxa" w:w="2200"/>
            <w:tcMar>
              <w:top w:type="dxa" w:w="50"/>
              <w:left w:type="dxa" w:w="100"/>
              <w:bottom w:type="dxa" w:w="50"/>
              <w:right w:type="dxa" w:w="100"/>
            </w:tcMar>
          </w:tcPr>
          <w:p>
            <w:r>
              <w:rPr>
                <w:sz w:val="18"/>
                <w:szCs w:val="18"/>
              </w:rPr>
              <w:t xml:space="preserve">--gold</w:t>
            </w:r>
          </w:p>
        </w:tc>
        <w:tc>
          <w:tcPr>
            <w:tcW w:type="dxa" w:w="1600"/>
            <w:tcMar>
              <w:top w:type="dxa" w:w="50"/>
              <w:left w:type="dxa" w:w="100"/>
              <w:bottom w:type="dxa" w:w="50"/>
              <w:right w:type="dxa" w:w="100"/>
            </w:tcMar>
          </w:tcPr>
          <w:p>
            <w:r>
              <w:rPr>
                <w:sz w:val="18"/>
                <w:szCs w:val="18"/>
              </w:rPr>
              <w:t xml:space="preserve">#B8791E</w:t>
            </w:r>
          </w:p>
        </w:tc>
        <w:tc>
          <w:tcPr>
            <w:tcW w:type="dxa" w:w="1600"/>
            <w:tcMar>
              <w:top w:type="dxa" w:w="50"/>
              <w:left w:type="dxa" w:w="100"/>
              <w:bottom w:type="dxa" w:w="50"/>
              <w:right w:type="dxa" w:w="100"/>
            </w:tcMar>
          </w:tcPr>
          <w:p>
            <w:r>
              <w:rPr>
                <w:sz w:val="18"/>
                <w:szCs w:val="18"/>
              </w:rPr>
              <w:t xml:space="preserve">#E0A94A</w:t>
            </w:r>
          </w:p>
        </w:tc>
        <w:tc>
          <w:tcPr>
            <w:tcW w:type="dxa" w:w="3000"/>
            <w:tcMar>
              <w:top w:type="dxa" w:w="50"/>
              <w:left w:type="dxa" w:w="100"/>
              <w:bottom w:type="dxa" w:w="50"/>
              <w:right w:type="dxa" w:w="100"/>
            </w:tcMar>
          </w:tcPr>
          <w:p>
            <w:r>
              <w:rPr>
                <w:sz w:val="18"/>
                <w:szCs w:val="18"/>
              </w:rPr>
              <w:t xml:space="preserve">Review stars only</w:t>
            </w:r>
          </w:p>
        </w:tc>
      </w:tr>
    </w:tbl>
    <w:p>
      <w:pPr>
        <w:spacing w:after="60"/>
      </w:pPr>
      <w:r>
        <w:t xml:space="preserve"/>
      </w:r>
    </w:p>
    <w:p>
      <w:pPr>
        <w:spacing w:after="120" w:line="276"/>
      </w:pPr>
      <w:r>
        <w:rPr>
          <w:b/>
          <w:bCs/>
        </w:rPr>
        <w:t xml:space="preserve">Dark bands </w:t>
      </w:r>
      <w:r>
        <w:t xml:space="preserve">(Outcomes, Mission) use #050D0B in dark mode.</w:t>
      </w:r>
    </w:p>
    <w:p>
      <w:pPr>
        <w:pStyle w:val="Heading3"/>
        <w:spacing w:after="80" w:before="180"/>
      </w:pPr>
      <w:r>
        <w:rPr>
          <w:color w:val="0C8577"/>
        </w:rPr>
        <w:t xml:space="preserve">Typography</w:t>
      </w:r>
    </w:p>
    <w:p>
      <w:pPr>
        <w:pStyle w:val="ListParagraph"/>
        <w:numPr>
          <w:ilvl w:val="0"/>
          <w:numId w:val="1"/>
        </w:numPr>
        <w:spacing w:after="70" w:line="264"/>
      </w:pPr>
      <w:r>
        <w:rPr>
          <w:b/>
          <w:bCs/>
        </w:rPr>
        <w:t xml:space="preserve">Display: </w:t>
      </w:r>
      <w:r>
        <w:t xml:space="preserve">Bricolage Grotesque (600/500), headings, figures, pull-quotes.</w:t>
      </w:r>
    </w:p>
    <w:p>
      <w:pPr>
        <w:pStyle w:val="ListParagraph"/>
        <w:numPr>
          <w:ilvl w:val="0"/>
          <w:numId w:val="1"/>
        </w:numPr>
        <w:spacing w:after="70" w:line="264"/>
      </w:pPr>
      <w:r>
        <w:rPr>
          <w:b/>
          <w:bCs/>
        </w:rPr>
        <w:t xml:space="preserve">Body: </w:t>
      </w:r>
      <w:r>
        <w:t xml:space="preserve">IBM Plex Sans (400/500/600), running text.</w:t>
      </w:r>
    </w:p>
    <w:p>
      <w:pPr>
        <w:pStyle w:val="ListParagraph"/>
        <w:numPr>
          <w:ilvl w:val="0"/>
          <w:numId w:val="1"/>
        </w:numPr>
        <w:spacing w:after="70" w:line="264"/>
      </w:pPr>
      <w:r>
        <w:rPr>
          <w:b/>
          <w:bCs/>
        </w:rPr>
        <w:t xml:space="preserve">Utility / mono: </w:t>
      </w:r>
      <w:r>
        <w:t xml:space="preserve">IBM Plex Mono (400/500), eyebrows, labels, stat keys, data.</w:t>
      </w:r>
    </w:p>
    <w:p>
      <w:pPr>
        <w:pStyle w:val="ListParagraph"/>
        <w:numPr>
          <w:ilvl w:val="0"/>
          <w:numId w:val="1"/>
        </w:numPr>
        <w:spacing w:after="70" w:line="264"/>
      </w:pPr>
      <w:r>
        <w:rPr>
          <w:b/>
          <w:bCs/>
          <w:color w:val="0C8577"/>
        </w:rPr>
        <w:t xml:space="preserve">DESIGN: </w:t>
      </w:r>
      <w:r>
        <w:t xml:space="preserve">headings letter-spacing -0.02em + text-wrap balance; body ~62–65ch; uppercase labels .1–.18em tracking; tabular-nums for aligned digits.</w:t>
      </w:r>
    </w:p>
    <w:p>
      <w:pPr>
        <w:pStyle w:val="Heading3"/>
        <w:spacing w:after="80" w:before="180"/>
      </w:pPr>
      <w:r>
        <w:rPr>
          <w:color w:val="0C8577"/>
        </w:rPr>
        <w:t xml:space="preserve">Layout, motion &amp; theme</w:t>
      </w:r>
    </w:p>
    <w:p>
      <w:pPr>
        <w:pStyle w:val="ListParagraph"/>
        <w:numPr>
          <w:ilvl w:val="0"/>
          <w:numId w:val="1"/>
        </w:numPr>
        <w:spacing w:after="70" w:line="264"/>
      </w:pPr>
      <w:r>
        <w:t xml:space="preserve">Max width 1160px; gutter clamp(20px,5vw,68px); section rhythm clamp(52px,7.5vw,100px); radius 16px.</w:t>
      </w:r>
    </w:p>
    <w:p>
      <w:pPr>
        <w:pStyle w:val="ListParagraph"/>
        <w:numPr>
          <w:ilvl w:val="0"/>
          <w:numId w:val="1"/>
        </w:numPr>
        <w:spacing w:after="70" w:line="264"/>
      </w:pPr>
      <w:r>
        <w:t xml:space="preserve">Sections alternate --bg / --surface, punctuated by two dark bands (Outcomes, Mission). Order of grounds is intentional.</w:t>
      </w:r>
    </w:p>
    <w:p>
      <w:pPr>
        <w:pStyle w:val="ListParagraph"/>
        <w:numPr>
          <w:ilvl w:val="0"/>
          <w:numId w:val="1"/>
        </w:numPr>
        <w:spacing w:after="70" w:line="264"/>
      </w:pPr>
      <w:r>
        <w:t xml:space="preserve">Theme has three states: bare :root = light; @media(prefers-color-scheme:dark) guarded by :root:not([data-theme="light"]); and :root[data-theme="dark"] for the toggle.</w:t>
      </w:r>
    </w:p>
    <w:p>
      <w:pPr>
        <w:pBdr>
          <w:left w:val="single" w:color="0C8577" w:sz="18" w:space="8"/>
        </w:pBdr>
        <w:shd w:fill="D6ECE7" w:color="auto" w:val="clear"/>
        <w:spacing w:after="140" w:before="60" w:line="264"/>
      </w:pPr>
      <w:r>
        <w:rPr>
          <w:b/>
          <w:bCs/>
          <w:color w:val="0C8577"/>
        </w:rPr>
        <w:t xml:space="preserve">DEV  </w:t>
      </w:r>
      <w:r>
        <w:t xml:space="preserve">If the main site already has a theme controller, drop the in-page toggle button and let the site controller stamp data-theme. All motion (hero waveform + “Resolving” pulse) must stay disabled under prefers-reduced-motion.</w:t>
      </w:r>
    </w:p>
    <w:p>
      <w:r>
        <w:br w:type="page"/>
      </w:r>
    </w:p>
    <w:p>
      <w:pPr>
        <w:pStyle w:val="Heading1"/>
        <w:spacing w:after="140" w:before="320"/>
      </w:pPr>
      <w:r>
        <w:rPr>
          <w:color w:val="0E1B22"/>
        </w:rPr>
        <w:t xml:space="preserve">4 · Section-by-section spec</w:t>
      </w:r>
    </w:p>
    <w:p>
      <w:pPr>
        <w:spacing w:after="120" w:line="276"/>
      </w:pPr>
      <w:r>
        <w:t xml:space="preserve">Top to bottom. Each heading below is one &lt;section&gt;. Copy shown is final.</w:t>
      </w:r>
    </w:p>
    <w:p>
      <w:pPr>
        <w:pStyle w:val="Heading2"/>
        <w:spacing w:after="110" w:before="260"/>
      </w:pPr>
      <w:r>
        <w:rPr>
          <w:color w:val="0E1B22"/>
        </w:rPr>
        <w:t xml:space="preserve">4.1 Sticky nav</w:t>
      </w:r>
    </w:p>
    <w:p>
      <w:pPr>
        <w:spacing w:after="120" w:line="276"/>
      </w:pPr>
      <w:r>
        <w:t xml:space="preserve">Brand wordmark + waveform mark · links: Platform (#how), Security (#security), Industries (#industries), Leadership (#story) · Theme toggle · Book a demo.</w:t>
      </w:r>
    </w:p>
    <w:p>
      <w:pPr>
        <w:pBdr>
          <w:left w:val="single" w:color="0C8577" w:sz="18" w:space="8"/>
        </w:pBdr>
        <w:shd w:fill="D6ECE7" w:color="auto" w:val="clear"/>
        <w:spacing w:after="140" w:before="60" w:line="264"/>
      </w:pPr>
      <w:r>
        <w:rPr>
          <w:b/>
          <w:bCs/>
          <w:color w:val="0C8577"/>
        </w:rPr>
        <w:t xml:space="preserve">DEV  </w:t>
      </w:r>
      <w:r>
        <w:t xml:space="preserve">Point links at real routes if sections become standalone pages; wire “Book a demo” to the booking flow.</w:t>
      </w:r>
    </w:p>
    <w:p>
      <w:pPr>
        <w:pStyle w:val="Heading2"/>
        <w:spacing w:after="110" w:before="260"/>
      </w:pPr>
      <w:r>
        <w:rPr>
          <w:color w:val="0E1B22"/>
        </w:rPr>
        <w:t xml:space="preserve">4.2 Hero, the only &lt;h1&gt;</w:t>
      </w:r>
    </w:p>
    <w:p>
      <w:pPr>
        <w:spacing w:after="120" w:line="276"/>
      </w:pPr>
      <w:r>
        <w:rPr>
          <w:b/>
          <w:bCs/>
        </w:rPr>
        <w:t xml:space="preserve">H1: </w:t>
      </w:r>
      <w:r>
        <w:t xml:space="preserve">Enterprise voice AI that </w:t>
      </w:r>
      <w:r>
        <w:rPr>
          <w:b/>
          <w:bCs/>
        </w:rPr>
        <w:t xml:space="preserve">resolves</w:t>
      </w:r>
      <w:r>
        <w:t xml:space="preserve"> your high-stakes conversations.</w:t>
      </w:r>
    </w:p>
    <w:p>
      <w:pPr>
        <w:spacing w:after="120" w:line="276"/>
      </w:pPr>
      <w:r>
        <w:rPr>
          <w:b/>
          <w:bCs/>
        </w:rPr>
        <w:t xml:space="preserve">Sub: </w:t>
      </w:r>
      <w:r>
        <w:t xml:space="preserve">Trillet handles complex, regulated interactions from start to finish. It authenticates the caller, acts inside your systems of record, and closes the loop with a full audit trail. It is built for organisations that measure every conversation in risk, compliance, and cost to serve.</w:t>
      </w:r>
    </w:p>
    <w:p>
      <w:pPr>
        <w:spacing w:after="120" w:line="276"/>
      </w:pPr>
      <w:r>
        <w:rPr>
          <w:b/>
          <w:bCs/>
        </w:rPr>
        <w:t xml:space="preserve">CTAs: </w:t>
      </w:r>
      <w:r>
        <w:t xml:space="preserve">Book a demo · See how it works.</w:t>
      </w:r>
    </w:p>
    <w:p>
      <w:pPr>
        <w:spacing w:after="120" w:line="276"/>
      </w:pPr>
      <w:r>
        <w:rPr>
          <w:b/>
          <w:bCs/>
        </w:rPr>
        <w:t xml:space="preserve">Proof strip: </w:t>
      </w:r>
      <w:r>
        <w:t xml:space="preserve">★ 4.6 Trustpilot · 1,200+ businesses · 7M+ calls handled in 2025 · SOC 2 · ISO 27001.</w:t>
      </w:r>
    </w:p>
    <w:p>
      <w:pPr>
        <w:pBdr>
          <w:left w:val="single" w:color="0C8577" w:sz="18" w:space="8"/>
        </w:pBdr>
        <w:shd w:fill="D6ECE7" w:color="auto" w:val="clear"/>
        <w:spacing w:after="140" w:before="60" w:line="264"/>
      </w:pPr>
      <w:r>
        <w:rPr>
          <w:b/>
          <w:bCs/>
          <w:color w:val="0C8577"/>
        </w:rPr>
        <w:t xml:space="preserve">CONFIRM  </w:t>
      </w:r>
      <w:r>
        <w:t xml:space="preserve">All four proof-strip figures.</w:t>
      </w:r>
    </w:p>
    <w:p>
      <w:pPr>
        <w:pBdr>
          <w:left w:val="single" w:color="0C8577" w:sz="18" w:space="8"/>
        </w:pBdr>
        <w:shd w:fill="D6ECE7" w:color="auto" w:val="clear"/>
        <w:spacing w:after="140" w:before="60" w:line="264"/>
      </w:pPr>
      <w:r>
        <w:rPr>
          <w:b/>
          <w:bCs/>
          <w:color w:val="0C8577"/>
        </w:rPr>
        <w:t xml:space="preserve">DESIGN  </w:t>
      </w:r>
      <w:r>
        <w:t xml:space="preserve">The right-hand “resolution card” (Identity authenticated → Record retrieved → Payment processed → Confirmation + audit log) carries the caption “Illustrative, not a customer record.” Keep that caption so it is never mistaken for real data.</w:t>
      </w:r>
    </w:p>
    <w:p>
      <w:pPr>
        <w:pStyle w:val="Heading2"/>
        <w:spacing w:after="110" w:before="260"/>
      </w:pPr>
      <w:r>
        <w:rPr>
          <w:color w:val="0E1B22"/>
        </w:rPr>
        <w:t xml:space="preserve">4.3 Customer logo bar</w:t>
      </w:r>
    </w:p>
    <w:p>
      <w:pPr>
        <w:spacing w:after="120" w:line="276"/>
      </w:pPr>
      <w:r>
        <w:rPr>
          <w:b/>
          <w:bCs/>
        </w:rPr>
        <w:t xml:space="preserve">Caption: </w:t>
      </w:r>
      <w:r>
        <w:t xml:space="preserve">Relied on for regulated, high-stakes conversations across financial services, healthcare, legal &amp; government.</w:t>
      </w:r>
    </w:p>
    <w:p>
      <w:pPr>
        <w:spacing w:after="120" w:line="276"/>
      </w:pPr>
      <w:r>
        <w:rPr>
          <w:b/>
          <w:bCs/>
        </w:rPr>
        <w:t xml:space="preserve">Names: </w:t>
      </w:r>
      <w:r>
        <w:t xml:space="preserve">Aargon · Taylor Rose · HRCovered · ConsumerAffairs · Autopay · Go To Court · Strata Blue · CommsChannel.</w:t>
      </w:r>
    </w:p>
    <w:p>
      <w:pPr>
        <w:pBdr>
          <w:left w:val="single" w:color="0C8577" w:sz="18" w:space="8"/>
        </w:pBdr>
        <w:shd w:fill="D6ECE7" w:color="auto" w:val="clear"/>
        <w:spacing w:after="140" w:before="60" w:line="264"/>
      </w:pPr>
      <w:r>
        <w:rPr>
          <w:b/>
          <w:bCs/>
          <w:color w:val="0C8577"/>
        </w:rPr>
        <w:t xml:space="preserve">CONFIRM  </w:t>
      </w:r>
      <w:r>
        <w:t xml:space="preserve">Drawn from Trillet's own enterprise page; confirm each customer is OK to name publicly.</w:t>
      </w:r>
    </w:p>
    <w:p>
      <w:pPr>
        <w:pBdr>
          <w:left w:val="single" w:color="0C8577" w:sz="18" w:space="8"/>
        </w:pBdr>
        <w:shd w:fill="D6ECE7" w:color="auto" w:val="clear"/>
        <w:spacing w:after="140" w:before="60" w:line="264"/>
      </w:pPr>
      <w:r>
        <w:rPr>
          <w:b/>
          <w:bCs/>
          <w:color w:val="0C8577"/>
        </w:rPr>
        <w:t xml:space="preserve">ASSET / DEV  </w:t>
      </w:r>
      <w:r>
        <w:t xml:space="preserve">Replace text wordmarks with real mono/greyscale SVG logos where permission exists; keep consistent optical height and the muted treatment.</w:t>
      </w:r>
    </w:p>
    <w:p>
      <w:pPr>
        <w:pStyle w:val="Heading2"/>
        <w:spacing w:after="110" w:before="260"/>
      </w:pPr>
      <w:r>
        <w:rPr>
          <w:color w:val="0E1B22"/>
        </w:rPr>
        <w:t xml:space="preserve">4.4 The challenge (problem)</w:t>
      </w:r>
    </w:p>
    <w:p>
      <w:pPr>
        <w:spacing w:after="120" w:line="276"/>
      </w:pPr>
      <w:r>
        <w:rPr>
          <w:b/>
          <w:bCs/>
        </w:rPr>
        <w:t xml:space="preserve">H2: </w:t>
      </w:r>
      <w:r>
        <w:t xml:space="preserve">Your most valuable conversations carry the most risk.</w:t>
      </w:r>
    </w:p>
    <w:p>
      <w:pPr>
        <w:spacing w:after="120" w:line="276"/>
      </w:pPr>
      <w:r>
        <w:t xml:space="preserve">Two paragraphs contrasting routine vs. consequential conversations, then an “Our thesis” callout:</w:t>
      </w:r>
    </w:p>
    <w:p>
      <w:pPr>
        <w:spacing w:after="120"/>
        <w:ind w:left="240"/>
      </w:pPr>
      <w:r>
        <w:rPr>
          <w:b/>
          <w:bCs/>
        </w:rPr>
        <w:t xml:space="preserve">Thesis: </w:t>
      </w:r>
      <w:r>
        <w:t xml:space="preserve">A voice agent earns its place when it can do what your best specialist does: authenticate the caller, take authorised action in live systems, and leave a record you can stand behind. Until it can, it is deflecting the call rather than resolving it.</w:t>
      </w:r>
    </w:p>
    <w:p>
      <w:pPr>
        <w:pStyle w:val="Heading2"/>
        <w:spacing w:after="110" w:before="260"/>
      </w:pPr>
      <w:r>
        <w:rPr>
          <w:color w:val="0E1B22"/>
        </w:rPr>
        <w:t xml:space="preserve">4.5 The platform, how it works</w:t>
      </w:r>
    </w:p>
    <w:p>
      <w:pPr>
        <w:spacing w:after="120" w:line="276"/>
      </w:pPr>
      <w:r>
        <w:rPr>
          <w:b/>
          <w:bCs/>
        </w:rPr>
        <w:t xml:space="preserve">H2: </w:t>
      </w:r>
      <w:r>
        <w:t xml:space="preserve">An operating layer for your most consequential conversations.</w:t>
      </w:r>
    </w:p>
    <w:p>
      <w:pPr>
        <w:spacing w:after="120" w:line="276"/>
      </w:pPr>
      <w:r>
        <w:rPr>
          <w:b/>
          <w:bCs/>
        </w:rPr>
        <w:t xml:space="preserve">Pipeline: </w:t>
      </w:r>
      <w:r>
        <w:t xml:space="preserve">Authenticate → Integrate → Execute → Reconcile.</w:t>
      </w:r>
    </w:p>
    <w:p>
      <w:pPr>
        <w:pBdr>
          <w:left w:val="single" w:color="0C8577" w:sz="18" w:space="8"/>
        </w:pBdr>
        <w:shd w:fill="D6ECE7" w:color="auto" w:val="clear"/>
        <w:spacing w:after="140" w:before="60" w:line="264"/>
      </w:pPr>
      <w:r>
        <w:rPr>
          <w:b/>
          <w:bCs/>
          <w:color w:val="0C8577"/>
        </w:rPr>
        <w:t xml:space="preserve">DESIGN  </w:t>
      </w:r>
      <w:r>
        <w:t xml:space="preserve">This is a real sequence, which is why it is numbered 01–04 with arrows. Do not reuse numbered markers on non-sequential sections.</w:t>
      </w:r>
    </w:p>
    <w:p>
      <w:pPr>
        <w:pStyle w:val="Heading2"/>
        <w:spacing w:after="110" w:before="260"/>
      </w:pPr>
      <w:r>
        <w:rPr>
          <w:color w:val="0E1B22"/>
        </w:rPr>
        <w:t xml:space="preserve">4.6 Measurable outcomes (dark band)</w:t>
      </w:r>
    </w:p>
    <w:p>
      <w:pPr>
        <w:spacing w:after="120" w:line="276"/>
      </w:pPr>
      <w:r>
        <w:rPr>
          <w:b/>
          <w:bCs/>
        </w:rPr>
        <w:t xml:space="preserve">H2: </w:t>
      </w:r>
      <w:r>
        <w:t xml:space="preserve">Results you can measure.</w:t>
      </w:r>
    </w:p>
    <w:p>
      <w:pPr>
        <w:spacing w:after="120" w:line="276"/>
      </w:pPr>
      <w:r>
        <w:rPr>
          <w:b/>
          <w:bCs/>
        </w:rPr>
        <w:t xml:space="preserve">Stats: </w:t>
      </w:r>
      <w:r>
        <w:t xml:space="preserve">85% complex calls resolved end-to-end · 80% reduction in cost-to-serve · 7M+ calls in 2025 · 99.97% uptime.</w:t>
      </w:r>
    </w:p>
    <w:p>
      <w:pPr>
        <w:spacing w:after="120" w:line="276"/>
      </w:pPr>
      <w:r>
        <w:rPr>
          <w:b/>
          <w:bCs/>
        </w:rPr>
        <w:t xml:space="preserve">Testimonials (real, attributed): </w:t>
      </w:r>
      <w:r>
        <w:t xml:space="preserve">Santiago · AutoCall (AU); Mason Anderson · Automation firm (US); Rasheem Barnett · Agency principal (US). Source line credits Trustpilot 4.6/5.</w:t>
      </w:r>
    </w:p>
    <w:p>
      <w:pPr>
        <w:pBdr>
          <w:left w:val="single" w:color="0C8577" w:sz="18" w:space="8"/>
        </w:pBdr>
        <w:shd w:fill="D6ECE7" w:color="auto" w:val="clear"/>
        <w:spacing w:after="140" w:before="60" w:line="264"/>
      </w:pPr>
      <w:r>
        <w:rPr>
          <w:b/>
          <w:bCs/>
          <w:color w:val="0C8577"/>
        </w:rPr>
        <w:t xml:space="preserve">CONFIRM  </w:t>
      </w:r>
      <w:r>
        <w:t xml:space="preserve">All four stats. Testimonial wording is lightly tightened from public Trustpilot reviews, confirm reviewers are comfortable being quoted, or link each quote to its Trustpilot source.</w:t>
      </w:r>
    </w:p>
    <w:p>
      <w:pPr>
        <w:pStyle w:val="Heading2"/>
        <w:spacing w:after="110" w:before="260"/>
      </w:pPr>
      <w:r>
        <w:rPr>
          <w:color w:val="0E1B22"/>
        </w:rPr>
        <w:t xml:space="preserve">4.7 Security, compliance &amp; governance</w:t>
      </w:r>
    </w:p>
    <w:p>
      <w:pPr>
        <w:spacing w:after="120" w:line="276"/>
      </w:pPr>
      <w:r>
        <w:rPr>
          <w:b/>
          <w:bCs/>
        </w:rPr>
        <w:t xml:space="preserve">H2: </w:t>
      </w:r>
      <w:r>
        <w:t xml:space="preserve">Built to pass your security review.</w:t>
      </w:r>
    </w:p>
    <w:p>
      <w:pPr>
        <w:spacing w:after="120" w:line="276"/>
      </w:pPr>
      <w:r>
        <w:rPr>
          <w:b/>
          <w:bCs/>
        </w:rPr>
        <w:t xml:space="preserve">Cards: </w:t>
      </w:r>
      <w:r>
        <w:t xml:space="preserve">Deploy within your boundary (on-prem / private cloud / managed, AU data residency) · A record of every call (audit trails) · Integrates with systems of record.</w:t>
      </w:r>
    </w:p>
    <w:p>
      <w:pPr>
        <w:spacing w:after="120" w:line="276"/>
      </w:pPr>
      <w:r>
        <w:rPr>
          <w:b/>
          <w:bCs/>
        </w:rPr>
        <w:t xml:space="preserve">Chips: </w:t>
      </w:r>
      <w:r>
        <w:t xml:space="preserve">SOC 2 Type II · ISO 27001 · HIPAA · GDPR · TCPA · ACMA · AU data residency.</w:t>
      </w:r>
    </w:p>
    <w:p>
      <w:pPr>
        <w:pBdr>
          <w:left w:val="single" w:color="0C8577" w:sz="18" w:space="8"/>
        </w:pBdr>
        <w:shd w:fill="FBEEDB" w:color="auto" w:val="clear"/>
        <w:spacing w:after="140" w:before="60" w:line="264"/>
      </w:pPr>
      <w:r>
        <w:rPr>
          <w:b/>
          <w:bCs/>
          <w:color w:val="0C8577"/>
        </w:rPr>
        <w:t xml:space="preserve">CONFIRM, HIGHEST RISK  </w:t>
      </w:r>
      <w:r>
        <w:t xml:space="preserve">State which certifications are currently HELD vs IN PROGRESS and adjust wording (e.g. a chip “SOC 2 Type II, in progress”, or an “Aligned to” grouping). Over-claiming certs is the item an enterprise security reviewer will catch first.</w:t>
      </w:r>
    </w:p>
    <w:p>
      <w:pPr>
        <w:pStyle w:val="Heading2"/>
        <w:spacing w:after="110" w:before="260"/>
      </w:pPr>
      <w:r>
        <w:rPr>
          <w:color w:val="0E1B22"/>
        </w:rPr>
        <w:t xml:space="preserve">4.8 The technology</w:t>
      </w:r>
    </w:p>
    <w:p>
      <w:pPr>
        <w:spacing w:after="120" w:line="276"/>
      </w:pPr>
      <w:r>
        <w:rPr>
          <w:b/>
          <w:bCs/>
        </w:rPr>
        <w:t xml:space="preserve">H2: </w:t>
      </w:r>
      <w:r>
        <w:t xml:space="preserve">Voice engineered for live, regulated calls.</w:t>
      </w:r>
    </w:p>
    <w:p>
      <w:pPr>
        <w:spacing w:after="120" w:line="276"/>
      </w:pPr>
      <w:r>
        <w:rPr>
          <w:b/>
          <w:bCs/>
        </w:rPr>
        <w:t xml:space="preserve">Cards: </w:t>
      </w:r>
      <w:r>
        <w:t xml:space="preserve">Human-quality voice · Real-time latency (sub-2s) · Unified channels (voice/SMS/WhatsApp/Messenger/email) · Callback orchestration.</w:t>
      </w:r>
    </w:p>
    <w:p>
      <w:pPr>
        <w:pStyle w:val="Heading2"/>
        <w:spacing w:after="110" w:before="260"/>
      </w:pPr>
      <w:r>
        <w:rPr>
          <w:color w:val="0E1B22"/>
        </w:rPr>
        <w:t xml:space="preserve">4.9 Deflection vs. resolution (comparison)</w:t>
      </w:r>
    </w:p>
    <w:p>
      <w:pPr>
        <w:spacing w:after="120" w:line="276"/>
      </w:pPr>
      <w:r>
        <w:rPr>
          <w:b/>
          <w:bCs/>
        </w:rPr>
        <w:t xml:space="preserve">H2: </w:t>
      </w:r>
      <w:r>
        <w:t xml:space="preserve">The difference between answering a call and resolving it.</w:t>
      </w:r>
    </w:p>
    <w:p>
      <w:pPr>
        <w:spacing w:after="120" w:line="276"/>
      </w:pPr>
      <w:r>
        <w:t xml:space="preserve">Seven-capability table: “Conventional voice bot” vs “Trillet.”</w:t>
      </w:r>
    </w:p>
    <w:p>
      <w:pPr>
        <w:pBdr>
          <w:left w:val="single" w:color="0C8577" w:sz="18" w:space="8"/>
        </w:pBdr>
        <w:shd w:fill="D6ECE7" w:color="auto" w:val="clear"/>
        <w:spacing w:after="140" w:before="60" w:line="264"/>
      </w:pPr>
      <w:r>
        <w:rPr>
          <w:b/>
          <w:bCs/>
          <w:color w:val="0C8577"/>
        </w:rPr>
        <w:t xml:space="preserve">DESIGN / DEV  </w:t>
      </w:r>
      <w:r>
        <w:t xml:space="preserve">Built as an accessible grid with role="table" and per-cell data-label for the mobile stacked view. Keep it as real text (not an image) so it stays eligible for AI Overviews / featured snippets.</w:t>
      </w:r>
    </w:p>
    <w:p>
      <w:pPr>
        <w:pStyle w:val="Heading2"/>
        <w:spacing w:after="110" w:before="260"/>
      </w:pPr>
      <w:r>
        <w:rPr>
          <w:color w:val="0E1B22"/>
        </w:rPr>
        <w:t xml:space="preserve">4.10 Industries</w:t>
      </w:r>
    </w:p>
    <w:p>
      <w:pPr>
        <w:spacing w:after="120" w:line="276"/>
      </w:pPr>
      <w:r>
        <w:rPr>
          <w:b/>
          <w:bCs/>
        </w:rPr>
        <w:t xml:space="preserve">H2: </w:t>
      </w:r>
      <w:r>
        <w:t xml:space="preserve">Purpose-built for regulated, high-consequence industries.</w:t>
      </w:r>
    </w:p>
    <w:p>
      <w:pPr>
        <w:spacing w:after="120" w:line="276"/>
      </w:pPr>
      <w:r>
        <w:rPr>
          <w:b/>
          <w:bCs/>
        </w:rPr>
        <w:t xml:space="preserve">Six cards (financial services first): </w:t>
      </w:r>
      <w:r>
        <w:t xml:space="preserve">Financial services &amp; collections · Healthcare · Legal · Government · Utilities · Automotive &amp; retail.</w:t>
      </w:r>
    </w:p>
    <w:p>
      <w:pPr>
        <w:pBdr>
          <w:left w:val="single" w:color="0C8577" w:sz="18" w:space="8"/>
        </w:pBdr>
        <w:shd w:fill="D6ECE7" w:color="auto" w:val="clear"/>
        <w:spacing w:after="140" w:before="60" w:line="264"/>
      </w:pPr>
      <w:r>
        <w:rPr>
          <w:b/>
          <w:bCs/>
          <w:color w:val="0C8577"/>
        </w:rPr>
        <w:t xml:space="preserve">DEV  </w:t>
      </w:r>
      <w:r>
        <w:t xml:space="preserve">Each “Explore →” links to the matching /industries/* page.</w:t>
      </w:r>
    </w:p>
    <w:p>
      <w:pPr>
        <w:pStyle w:val="Heading2"/>
        <w:spacing w:after="110" w:before="260"/>
      </w:pPr>
      <w:r>
        <w:rPr>
          <w:color w:val="0E1B22"/>
        </w:rPr>
        <w:t xml:space="preserve">4.11 Why we exist &amp; who's behind it (MERGED story + leadership)</w:t>
      </w:r>
    </w:p>
    <w:p>
      <w:pPr>
        <w:spacing w:after="120" w:line="276"/>
      </w:pPr>
      <w:r>
        <w:rPr>
          <w:b/>
          <w:bCs/>
        </w:rPr>
        <w:t xml:space="preserve">H2: </w:t>
      </w:r>
      <w:r>
        <w:t xml:space="preserve">Founded by people who have run, engineered, and scaled these conversations.</w:t>
      </w:r>
    </w:p>
    <w:p>
      <w:pPr>
        <w:spacing w:after="120" w:line="276"/>
      </w:pPr>
      <w:r>
        <w:t xml:space="preserve">Three combined cards, each founder shown ONCE with monogram, name, role, a vantage label, a one-line perspective, then full bio + tags:</w:t>
      </w:r>
    </w:p>
    <w:p>
      <w:pPr>
        <w:pStyle w:val="ListParagraph"/>
        <w:numPr>
          <w:ilvl w:val="0"/>
          <w:numId w:val="1"/>
        </w:numPr>
        <w:spacing w:after="70" w:line="264"/>
      </w:pPr>
      <w:r>
        <w:rPr>
          <w:b/>
          <w:bCs/>
        </w:rPr>
        <w:t xml:space="preserve">Rob Petreski, CEO </w:t>
      </w:r>
      <w:r>
        <w:t xml:space="preserve">(The operator)</w:t>
      </w:r>
    </w:p>
    <w:p>
      <w:pPr>
        <w:pStyle w:val="ListParagraph"/>
        <w:numPr>
          <w:ilvl w:val="0"/>
          <w:numId w:val="1"/>
        </w:numPr>
        <w:spacing w:after="70" w:line="264"/>
      </w:pPr>
      <w:r>
        <w:rPr>
          <w:b/>
          <w:bCs/>
        </w:rPr>
        <w:t xml:space="preserve">Laurence Latin, Co-Founder &amp; CTO </w:t>
      </w:r>
      <w:r>
        <w:t xml:space="preserve">(The engineer)</w:t>
      </w:r>
    </w:p>
    <w:p>
      <w:pPr>
        <w:pStyle w:val="ListParagraph"/>
        <w:numPr>
          <w:ilvl w:val="0"/>
          <w:numId w:val="1"/>
        </w:numPr>
        <w:spacing w:after="70" w:line="264"/>
      </w:pPr>
      <w:r>
        <w:rPr>
          <w:b/>
          <w:bCs/>
        </w:rPr>
        <w:t xml:space="preserve">Ming Xu, Co-Founder &amp; COO </w:t>
      </w:r>
      <w:r>
        <w:t xml:space="preserve">(The builder)</w:t>
      </w:r>
    </w:p>
    <w:p>
      <w:pPr>
        <w:spacing w:after="120" w:line="276"/>
      </w:pPr>
      <w:r>
        <w:rPr>
          <w:b/>
          <w:bCs/>
        </w:rPr>
        <w:t xml:space="preserve">Closing line: </w:t>
      </w:r>
      <w:r>
        <w:t xml:space="preserve">Trillet is what results when the person who has run the operation, the person who has engineered the critical systems, and the person who has scaled the voice AI set out to build the platform none of them could buy.</w:t>
      </w:r>
    </w:p>
    <w:p>
      <w:pPr>
        <w:pBdr>
          <w:left w:val="single" w:color="0C8577" w:sz="18" w:space="8"/>
        </w:pBdr>
        <w:shd w:fill="D6ECE7" w:color="auto" w:val="clear"/>
        <w:spacing w:after="140" w:before="60" w:line="264"/>
      </w:pPr>
      <w:r>
        <w:rPr>
          <w:b/>
          <w:bCs/>
          <w:color w:val="0C8577"/>
        </w:rPr>
        <w:t xml:space="preserve">ASSET + CONFIRM  </w:t>
      </w:r>
      <w:r>
        <w:t xml:space="preserve">Replace RP/LL/MX monograms with real headshots (§8). Confirm pronouns for each founder, bios are written to read cleanly without third-person pronouns, but confirm so future edits stay correct.</w:t>
      </w:r>
    </w:p>
    <w:p>
      <w:pPr>
        <w:pStyle w:val="Heading2"/>
        <w:spacing w:after="110" w:before="260"/>
      </w:pPr>
      <w:r>
        <w:rPr>
          <w:color w:val="0E1B22"/>
        </w:rPr>
        <w:t xml:space="preserve">4.12 – 4.18 (remaining sections)</w:t>
      </w:r>
    </w:p>
    <w:p>
      <w:pPr>
        <w:pStyle w:val="ListParagraph"/>
        <w:numPr>
          <w:ilvl w:val="0"/>
          <w:numId w:val="1"/>
        </w:numPr>
        <w:spacing w:after="70" w:line="264"/>
      </w:pPr>
      <w:r>
        <w:rPr>
          <w:b/>
          <w:bCs/>
        </w:rPr>
        <w:t xml:space="preserve">Mission (dark band): </w:t>
      </w:r>
      <w:r>
        <w:t xml:space="preserve">To make end-to-end resolution the standard for every conversation that matters.</w:t>
      </w:r>
    </w:p>
    <w:p>
      <w:pPr>
        <w:pStyle w:val="ListParagraph"/>
        <w:numPr>
          <w:ilvl w:val="0"/>
          <w:numId w:val="1"/>
        </w:numPr>
        <w:spacing w:after="70" w:line="264"/>
      </w:pPr>
      <w:r>
        <w:rPr>
          <w:b/>
          <w:bCs/>
        </w:rPr>
        <w:t xml:space="preserve">Values: </w:t>
      </w:r>
      <w:r>
        <w:t xml:space="preserve">Resolution over conversation · Compliance is foundational · Action in real systems · Earn trust on the hardest calls.</w:t>
      </w:r>
    </w:p>
    <w:p>
      <w:pPr>
        <w:pStyle w:val="ListParagraph"/>
        <w:numPr>
          <w:ilvl w:val="0"/>
          <w:numId w:val="1"/>
        </w:numPr>
        <w:spacing w:after="70" w:line="264"/>
      </w:pPr>
      <w:r>
        <w:rPr>
          <w:b/>
          <w:bCs/>
        </w:rPr>
        <w:t xml:space="preserve">Milestones: </w:t>
      </w:r>
      <w:r>
        <w:t xml:space="preserve">2024 founded · Sept 2025 Smart Voice Agents launch · 2025 7M+ calls · 2026 Rob Petreski appointed CEO. CONFIRM dates/figures.</w:t>
      </w:r>
    </w:p>
    <w:p>
      <w:pPr>
        <w:pStyle w:val="ListParagraph"/>
        <w:numPr>
          <w:ilvl w:val="0"/>
          <w:numId w:val="1"/>
        </w:numPr>
        <w:spacing w:after="70" w:line="264"/>
      </w:pPr>
      <w:r>
        <w:rPr>
          <w:b/>
          <w:bCs/>
        </w:rPr>
        <w:t xml:space="preserve">In the press: </w:t>
      </w:r>
      <w:r>
        <w:t xml:space="preserve">Laurence Latin quote from the Sept 2025 launch. DEV: link to real release URL; CONFIRM quote against final release.</w:t>
      </w:r>
    </w:p>
    <w:p>
      <w:pPr>
        <w:pStyle w:val="ListParagraph"/>
        <w:numPr>
          <w:ilvl w:val="0"/>
          <w:numId w:val="1"/>
        </w:numPr>
        <w:spacing w:after="70" w:line="264"/>
      </w:pPr>
      <w:r>
        <w:rPr>
          <w:b/>
          <w:bCs/>
        </w:rPr>
        <w:t xml:space="preserve">Buyer FAQ: </w:t>
      </w:r>
      <w:r>
        <w:t xml:space="preserve">Seven Q&amp;As. DEV: visible FAQ must stay in sync with the FAQPage JSON-LD (§5).</w:t>
      </w:r>
    </w:p>
    <w:p>
      <w:pPr>
        <w:pStyle w:val="ListParagraph"/>
        <w:numPr>
          <w:ilvl w:val="0"/>
          <w:numId w:val="1"/>
        </w:numPr>
        <w:spacing w:after="70" w:line="264"/>
      </w:pPr>
      <w:r>
        <w:rPr>
          <w:b/>
          <w:bCs/>
        </w:rPr>
        <w:t xml:space="preserve">Contact: </w:t>
      </w:r>
      <w:r>
        <w:t xml:space="preserve">HQ address + Sales / Security (request documentation) / Partnerships / Careers. DEV: wire each route; CONFIRM address is current and public.</w:t>
      </w:r>
    </w:p>
    <w:p>
      <w:pPr>
        <w:pStyle w:val="ListParagraph"/>
        <w:numPr>
          <w:ilvl w:val="0"/>
          <w:numId w:val="1"/>
        </w:numPr>
        <w:spacing w:after="70" w:line="264"/>
      </w:pPr>
      <w:r>
        <w:rPr>
          <w:b/>
          <w:bCs/>
        </w:rPr>
        <w:t xml:space="preserve">CTA + footer: </w:t>
      </w:r>
      <w:r>
        <w:t xml:space="preserve">“Let's talk about your hardest conversations.” DEV: add legal links (Privacy, Terms, Security/Trust).</w:t>
      </w:r>
    </w:p>
    <w:p>
      <w:r>
        <w:br w:type="page"/>
      </w:r>
    </w:p>
    <w:p>
      <w:pPr>
        <w:pStyle w:val="Heading1"/>
        <w:spacing w:after="140" w:before="320"/>
      </w:pPr>
      <w:r>
        <w:rPr>
          <w:color w:val="0E1B22"/>
        </w:rPr>
        <w:t xml:space="preserve">5 · Structured data (JSON-LD)</w:t>
      </w:r>
    </w:p>
    <w:p>
      <w:pPr>
        <w:pBdr>
          <w:left w:val="single" w:color="0C8577" w:sz="18" w:space="8"/>
        </w:pBdr>
        <w:shd w:fill="D6ECE7" w:color="auto" w:val="clear"/>
        <w:spacing w:after="140" w:before="60" w:line="264"/>
      </w:pPr>
      <w:r>
        <w:rPr>
          <w:b/>
          <w:bCs/>
          <w:color w:val="0C8577"/>
        </w:rPr>
        <w:t xml:space="preserve">DEV  </w:t>
      </w:r>
      <w:r>
        <w:t xml:space="preserve">Place both blocks before &lt;/body&gt;. Keep the FAQ block identical to the visible FAQ text.</w:t>
      </w:r>
    </w:p>
    <w:p>
      <w:pPr>
        <w:pBdr>
          <w:left w:val="single" w:color="0C8577" w:sz="18" w:space="8"/>
        </w:pBdr>
        <w:shd w:fill="F2F5F5" w:color="auto" w:val="clear"/>
        <w:spacing w:after="140" w:before="60" w:line="264"/>
      </w:pPr>
      <w:r>
        <w:rPr>
          <w:b/>
          <w:bCs/>
          <w:color w:val="0C8577"/>
        </w:rPr>
        <w:t xml:space="preserve">DESIGN / SEO  </w:t>
      </w:r>
      <w:r>
        <w:t xml:space="preserve">Do NOT add a self-referential aggregateRating to the Organization schema (Google disallows self-serving review markup; it can trigger a manual action). Let the 4.6 rating live on-page attributed to Trustpilot. Add a “logo” property once a hosted logo URL exists; add the GitHub org to sameAs if desired.</w:t>
      </w:r>
    </w:p>
    <w:p>
      <w:pPr>
        <w:pStyle w:val="Heading3"/>
        <w:spacing w:after="80" w:before="180"/>
      </w:pPr>
      <w:r>
        <w:rPr>
          <w:color w:val="0C8577"/>
        </w:rPr>
        <w:t xml:space="preserve">Organization</w:t>
      </w:r>
    </w:p>
    <w:p>
      <w:pPr>
        <w:shd w:fill="F2F5F5" w:color="auto" w:val="clear"/>
        <w:spacing w:after="0" w:line="240"/>
      </w:pPr>
      <w:r>
        <w:rPr>
          <w:rFonts w:ascii="Consolas" w:cs="Consolas" w:eastAsia="Consolas" w:hAnsi="Consolas"/>
          <w:color w:val="0E1B22"/>
          <w:sz w:val="16"/>
          <w:szCs w:val="16"/>
        </w:rPr>
        <w:t xml:space="preserve">{</w:t>
      </w:r>
    </w:p>
    <w:p>
      <w:pPr>
        <w:shd w:fill="F2F5F5" w:color="auto" w:val="clear"/>
        <w:spacing w:after="0" w:line="240"/>
      </w:pPr>
      <w:r>
        <w:rPr>
          <w:rFonts w:ascii="Consolas" w:cs="Consolas" w:eastAsia="Consolas" w:hAnsi="Consolas"/>
          <w:color w:val="0E1B22"/>
          <w:sz w:val="16"/>
          <w:szCs w:val="16"/>
        </w:rPr>
        <w:t xml:space="preserve">  "@context": "https://schema.org",</w:t>
      </w:r>
    </w:p>
    <w:p>
      <w:pPr>
        <w:shd w:fill="F2F5F5" w:color="auto" w:val="clear"/>
        <w:spacing w:after="0" w:line="240"/>
      </w:pPr>
      <w:r>
        <w:rPr>
          <w:rFonts w:ascii="Consolas" w:cs="Consolas" w:eastAsia="Consolas" w:hAnsi="Consolas"/>
          <w:color w:val="0E1B22"/>
          <w:sz w:val="16"/>
          <w:szCs w:val="16"/>
        </w:rPr>
        <w:t xml:space="preserve">  "@type": "Organization",</w:t>
      </w:r>
    </w:p>
    <w:p>
      <w:pPr>
        <w:shd w:fill="F2F5F5" w:color="auto" w:val="clear"/>
        <w:spacing w:after="0" w:line="240"/>
      </w:pPr>
      <w:r>
        <w:rPr>
          <w:rFonts w:ascii="Consolas" w:cs="Consolas" w:eastAsia="Consolas" w:hAnsi="Consolas"/>
          <w:color w:val="0E1B22"/>
          <w:sz w:val="16"/>
          <w:szCs w:val="16"/>
        </w:rPr>
        <w:t xml:space="preserve">  "name": "Trillet",</w:t>
      </w:r>
    </w:p>
    <w:p>
      <w:pPr>
        <w:shd w:fill="F2F5F5" w:color="auto" w:val="clear"/>
        <w:spacing w:after="0" w:line="240"/>
      </w:pPr>
      <w:r>
        <w:rPr>
          <w:rFonts w:ascii="Consolas" w:cs="Consolas" w:eastAsia="Consolas" w:hAnsi="Consolas"/>
          <w:color w:val="0E1B22"/>
          <w:sz w:val="16"/>
          <w:szCs w:val="16"/>
        </w:rPr>
        <w:t xml:space="preserve">  "alternateName": "Trillet AI",</w:t>
      </w:r>
    </w:p>
    <w:p>
      <w:pPr>
        <w:shd w:fill="F2F5F5" w:color="auto" w:val="clear"/>
        <w:spacing w:after="0" w:line="240"/>
      </w:pPr>
      <w:r>
        <w:rPr>
          <w:rFonts w:ascii="Consolas" w:cs="Consolas" w:eastAsia="Consolas" w:hAnsi="Consolas"/>
          <w:color w:val="0E1B22"/>
          <w:sz w:val="16"/>
          <w:szCs w:val="16"/>
        </w:rPr>
        <w:t xml:space="preserve">  "url": "https://www.trillet.ai/",</w:t>
      </w:r>
    </w:p>
    <w:p>
      <w:pPr>
        <w:shd w:fill="F2F5F5" w:color="auto" w:val="clear"/>
        <w:spacing w:after="0" w:line="240"/>
      </w:pPr>
      <w:r>
        <w:rPr>
          <w:rFonts w:ascii="Consolas" w:cs="Consolas" w:eastAsia="Consolas" w:hAnsi="Consolas"/>
          <w:color w:val="0E1B22"/>
          <w:sz w:val="16"/>
          <w:szCs w:val="16"/>
        </w:rPr>
        <w:t xml:space="preserve">  "description": "Trillet is an enterprise voice-AI platform that resolves</w:t>
      </w:r>
    </w:p>
    <w:p>
      <w:pPr>
        <w:shd w:fill="F2F5F5" w:color="auto" w:val="clear"/>
        <w:spacing w:after="0" w:line="240"/>
      </w:pPr>
      <w:r>
        <w:rPr>
          <w:rFonts w:ascii="Consolas" w:cs="Consolas" w:eastAsia="Consolas" w:hAnsi="Consolas"/>
          <w:color w:val="0E1B22"/>
          <w:sz w:val="16"/>
          <w:szCs w:val="16"/>
        </w:rPr>
        <w:t xml:space="preserve">     high-stakes, regulated conversations from start to finish.",</w:t>
      </w:r>
    </w:p>
    <w:p>
      <w:pPr>
        <w:shd w:fill="F2F5F5" w:color="auto" w:val="clear"/>
        <w:spacing w:after="0" w:line="240"/>
      </w:pPr>
      <w:r>
        <w:rPr>
          <w:rFonts w:ascii="Consolas" w:cs="Consolas" w:eastAsia="Consolas" w:hAnsi="Consolas"/>
          <w:color w:val="0E1B22"/>
          <w:sz w:val="16"/>
          <w:szCs w:val="16"/>
        </w:rPr>
        <w:t xml:space="preserve">  "foundingDate": "2024",</w:t>
      </w:r>
    </w:p>
    <w:p>
      <w:pPr>
        <w:shd w:fill="F2F5F5" w:color="auto" w:val="clear"/>
        <w:spacing w:after="0" w:line="240"/>
      </w:pPr>
      <w:r>
        <w:rPr>
          <w:rFonts w:ascii="Consolas" w:cs="Consolas" w:eastAsia="Consolas" w:hAnsi="Consolas"/>
          <w:color w:val="0E1B22"/>
          <w:sz w:val="16"/>
          <w:szCs w:val="16"/>
        </w:rPr>
        <w:t xml:space="preserve">  "foundingLocation": "Melbourne, Australia",</w:t>
      </w:r>
    </w:p>
    <w:p>
      <w:pPr>
        <w:shd w:fill="F2F5F5" w:color="auto" w:val="clear"/>
        <w:spacing w:after="0" w:line="240"/>
      </w:pPr>
      <w:r>
        <w:rPr>
          <w:rFonts w:ascii="Consolas" w:cs="Consolas" w:eastAsia="Consolas" w:hAnsi="Consolas"/>
          <w:color w:val="0E1B22"/>
          <w:sz w:val="16"/>
          <w:szCs w:val="16"/>
        </w:rPr>
        <w:t xml:space="preserve">  "address": {</w:t>
      </w:r>
    </w:p>
    <w:p>
      <w:pPr>
        <w:shd w:fill="F2F5F5" w:color="auto" w:val="clear"/>
        <w:spacing w:after="0" w:line="240"/>
      </w:pPr>
      <w:r>
        <w:rPr>
          <w:rFonts w:ascii="Consolas" w:cs="Consolas" w:eastAsia="Consolas" w:hAnsi="Consolas"/>
          <w:color w:val="0E1B22"/>
          <w:sz w:val="16"/>
          <w:szCs w:val="16"/>
        </w:rPr>
        <w:t xml:space="preserve">    "@type": "PostalAddress",</w:t>
      </w:r>
    </w:p>
    <w:p>
      <w:pPr>
        <w:shd w:fill="F2F5F5" w:color="auto" w:val="clear"/>
        <w:spacing w:after="0" w:line="240"/>
      </w:pPr>
      <w:r>
        <w:rPr>
          <w:rFonts w:ascii="Consolas" w:cs="Consolas" w:eastAsia="Consolas" w:hAnsi="Consolas"/>
          <w:color w:val="0E1B22"/>
          <w:sz w:val="16"/>
          <w:szCs w:val="16"/>
        </w:rPr>
        <w:t xml:space="preserve">    "streetAddress": "10-20 Gwynne St, Cremorne",</w:t>
      </w:r>
    </w:p>
    <w:p>
      <w:pPr>
        <w:shd w:fill="F2F5F5" w:color="auto" w:val="clear"/>
        <w:spacing w:after="0" w:line="240"/>
      </w:pPr>
      <w:r>
        <w:rPr>
          <w:rFonts w:ascii="Consolas" w:cs="Consolas" w:eastAsia="Consolas" w:hAnsi="Consolas"/>
          <w:color w:val="0E1B22"/>
          <w:sz w:val="16"/>
          <w:szCs w:val="16"/>
        </w:rPr>
        <w:t xml:space="preserve">    "addressLocality": "Melbourne", "addressRegion": "VIC",</w:t>
      </w:r>
    </w:p>
    <w:p>
      <w:pPr>
        <w:shd w:fill="F2F5F5" w:color="auto" w:val="clear"/>
        <w:spacing w:after="0" w:line="240"/>
      </w:pPr>
      <w:r>
        <w:rPr>
          <w:rFonts w:ascii="Consolas" w:cs="Consolas" w:eastAsia="Consolas" w:hAnsi="Consolas"/>
          <w:color w:val="0E1B22"/>
          <w:sz w:val="16"/>
          <w:szCs w:val="16"/>
        </w:rPr>
        <w:t xml:space="preserve">    "postalCode": "3121", "addressCountry": "AU"</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0" w:line="240"/>
      </w:pPr>
      <w:r>
        <w:rPr>
          <w:rFonts w:ascii="Consolas" w:cs="Consolas" w:eastAsia="Consolas" w:hAnsi="Consolas"/>
          <w:color w:val="0E1B22"/>
          <w:sz w:val="16"/>
          <w:szCs w:val="16"/>
        </w:rPr>
        <w:t xml:space="preserve">  "founder": [</w:t>
      </w:r>
    </w:p>
    <w:p>
      <w:pPr>
        <w:shd w:fill="F2F5F5" w:color="auto" w:val="clear"/>
        <w:spacing w:after="0" w:line="240"/>
      </w:pPr>
      <w:r>
        <w:rPr>
          <w:rFonts w:ascii="Consolas" w:cs="Consolas" w:eastAsia="Consolas" w:hAnsi="Consolas"/>
          <w:color w:val="0E1B22"/>
          <w:sz w:val="16"/>
          <w:szCs w:val="16"/>
        </w:rPr>
        <w:t xml:space="preserve">    { "@type": "Person", "name": "Laurence Latin", "jobTitle": "Co-Founder &amp; CTO" },</w:t>
      </w:r>
    </w:p>
    <w:p>
      <w:pPr>
        <w:shd w:fill="F2F5F5" w:color="auto" w:val="clear"/>
        <w:spacing w:after="0" w:line="240"/>
      </w:pPr>
      <w:r>
        <w:rPr>
          <w:rFonts w:ascii="Consolas" w:cs="Consolas" w:eastAsia="Consolas" w:hAnsi="Consolas"/>
          <w:color w:val="0E1B22"/>
          <w:sz w:val="16"/>
          <w:szCs w:val="16"/>
        </w:rPr>
        <w:t xml:space="preserve">    { "@type": "Person", "name": "Ming Xu", "jobTitle": "Co-Founder &amp; COO" }</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0" w:line="240"/>
      </w:pPr>
      <w:r>
        <w:rPr>
          <w:rFonts w:ascii="Consolas" w:cs="Consolas" w:eastAsia="Consolas" w:hAnsi="Consolas"/>
          <w:color w:val="0E1B22"/>
          <w:sz w:val="16"/>
          <w:szCs w:val="16"/>
        </w:rPr>
        <w:t xml:space="preserve">  "employee": [</w:t>
      </w:r>
    </w:p>
    <w:p>
      <w:pPr>
        <w:shd w:fill="F2F5F5" w:color="auto" w:val="clear"/>
        <w:spacing w:after="0" w:line="240"/>
      </w:pPr>
      <w:r>
        <w:rPr>
          <w:rFonts w:ascii="Consolas" w:cs="Consolas" w:eastAsia="Consolas" w:hAnsi="Consolas"/>
          <w:color w:val="0E1B22"/>
          <w:sz w:val="16"/>
          <w:szCs w:val="16"/>
        </w:rPr>
        <w:t xml:space="preserve">    { "@type": "Person", "name": "Rob Petreski", "jobTitle": "Chief Executive Officer" }</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0" w:line="240"/>
      </w:pPr>
      <w:r>
        <w:rPr>
          <w:rFonts w:ascii="Consolas" w:cs="Consolas" w:eastAsia="Consolas" w:hAnsi="Consolas"/>
          <w:color w:val="0E1B22"/>
          <w:sz w:val="16"/>
          <w:szCs w:val="16"/>
        </w:rPr>
        <w:t xml:space="preserve">  "knowsAbout": ["Voice AI", "Conversational AI", "Contact centre automation",</w:t>
      </w:r>
    </w:p>
    <w:p>
      <w:pPr>
        <w:shd w:fill="F2F5F5" w:color="auto" w:val="clear"/>
        <w:spacing w:after="0" w:line="240"/>
      </w:pPr>
      <w:r>
        <w:rPr>
          <w:rFonts w:ascii="Consolas" w:cs="Consolas" w:eastAsia="Consolas" w:hAnsi="Consolas"/>
          <w:color w:val="0E1B22"/>
          <w:sz w:val="16"/>
          <w:szCs w:val="16"/>
        </w:rPr>
        <w:t xml:space="preserve">     "Identity verification", "Regulated industry compliance"],</w:t>
      </w:r>
    </w:p>
    <w:p>
      <w:pPr>
        <w:shd w:fill="F2F5F5" w:color="auto" w:val="clear"/>
        <w:spacing w:after="0" w:line="240"/>
      </w:pPr>
      <w:r>
        <w:rPr>
          <w:rFonts w:ascii="Consolas" w:cs="Consolas" w:eastAsia="Consolas" w:hAnsi="Consolas"/>
          <w:color w:val="0E1B22"/>
          <w:sz w:val="16"/>
          <w:szCs w:val="16"/>
        </w:rPr>
        <w:t xml:space="preserve">  "sameAs": [</w:t>
      </w:r>
    </w:p>
    <w:p>
      <w:pPr>
        <w:shd w:fill="F2F5F5" w:color="auto" w:val="clear"/>
        <w:spacing w:after="0" w:line="240"/>
      </w:pPr>
      <w:r>
        <w:rPr>
          <w:rFonts w:ascii="Consolas" w:cs="Consolas" w:eastAsia="Consolas" w:hAnsi="Consolas"/>
          <w:color w:val="0E1B22"/>
          <w:sz w:val="16"/>
          <w:szCs w:val="16"/>
        </w:rPr>
        <w:t xml:space="preserve">    "https://www.linkedin.com/company/trillet-ai/",</w:t>
      </w:r>
    </w:p>
    <w:p>
      <w:pPr>
        <w:shd w:fill="F2F5F5" w:color="auto" w:val="clear"/>
        <w:spacing w:after="0" w:line="240"/>
      </w:pPr>
      <w:r>
        <w:rPr>
          <w:rFonts w:ascii="Consolas" w:cs="Consolas" w:eastAsia="Consolas" w:hAnsi="Consolas"/>
          <w:color w:val="0E1B22"/>
          <w:sz w:val="16"/>
          <w:szCs w:val="16"/>
        </w:rPr>
        <w:t xml:space="preserve">    "https://www.trustpilot.com/review/trillet.ai"</w:t>
      </w:r>
    </w:p>
    <w:p>
      <w:pPr>
        <w:shd w:fill="F2F5F5" w:color="auto" w:val="clear"/>
        <w:spacing w:after="0" w:line="240"/>
      </w:pPr>
      <w:r>
        <w:rPr>
          <w:rFonts w:ascii="Consolas" w:cs="Consolas" w:eastAsia="Consolas" w:hAnsi="Consolas"/>
          <w:color w:val="0E1B22"/>
          <w:sz w:val="16"/>
          <w:szCs w:val="16"/>
        </w:rPr>
        <w:t xml:space="preserve">  ]</w:t>
      </w:r>
    </w:p>
    <w:p>
      <w:pPr>
        <w:shd w:fill="F2F5F5" w:color="auto" w:val="clear"/>
        <w:spacing w:after="120" w:line="240"/>
      </w:pPr>
      <w:r>
        <w:rPr>
          <w:rFonts w:ascii="Consolas" w:cs="Consolas" w:eastAsia="Consolas" w:hAnsi="Consolas"/>
          <w:color w:val="0E1B22"/>
          <w:sz w:val="16"/>
          <w:szCs w:val="16"/>
        </w:rPr>
        <w:t xml:space="preserve">}</w:t>
      </w:r>
    </w:p>
    <w:p>
      <w:pPr>
        <w:spacing w:after="120" w:line="276"/>
      </w:pPr>
      <w:r>
        <w:rPr>
          <w:b/>
          <w:bCs/>
        </w:rPr>
        <w:t xml:space="preserve">FAQPage: </w:t>
      </w:r>
      <w:r>
        <w:t xml:space="preserve">the full block is in about-trillet.html (search “\"@type\": \"FAQPage\"”). It mirrors the seven visible FAQ answers verbatim, copy it as-is.</w:t>
      </w:r>
    </w:p>
    <w:p>
      <w:pPr>
        <w:pStyle w:val="Heading1"/>
        <w:spacing w:after="140" w:before="320"/>
      </w:pPr>
      <w:r>
        <w:rPr>
          <w:color w:val="0E1B22"/>
        </w:rPr>
        <w:t xml:space="preserve">6 · SEO / GEO / AEO notes</w:t>
      </w:r>
    </w:p>
    <w:p>
      <w:pPr>
        <w:spacing w:after="120" w:line="276"/>
      </w:pPr>
      <w:r>
        <w:t xml:space="preserve">These close several items from the earlier seo-audit/ report:</w:t>
      </w:r>
    </w:p>
    <w:p>
      <w:pPr>
        <w:pStyle w:val="ListParagraph"/>
        <w:numPr>
          <w:ilvl w:val="0"/>
          <w:numId w:val="1"/>
        </w:numPr>
        <w:spacing w:after="70" w:line="264"/>
      </w:pPr>
      <w:r>
        <w:t xml:space="preserve">Canonical host, pick one host (apex vs www) site-wide; this page assumes www.trillet.ai.</w:t>
      </w:r>
    </w:p>
    <w:p>
      <w:pPr>
        <w:pStyle w:val="ListParagraph"/>
        <w:numPr>
          <w:ilvl w:val="0"/>
          <w:numId w:val="1"/>
        </w:numPr>
        <w:spacing w:after="70" w:line="264"/>
      </w:pPr>
      <w:r>
        <w:t xml:space="preserve">FAQ schema, implemented; targets “People Also Ask” and AI Overviews.</w:t>
      </w:r>
    </w:p>
    <w:p>
      <w:pPr>
        <w:pStyle w:val="ListParagraph"/>
        <w:numPr>
          <w:ilvl w:val="0"/>
          <w:numId w:val="1"/>
        </w:numPr>
        <w:spacing w:after="70" w:line="264"/>
      </w:pPr>
      <w:r>
        <w:t xml:space="preserve">Comparison table kept as real text so answer engines can lift it.</w:t>
      </w:r>
    </w:p>
    <w:p>
      <w:pPr>
        <w:pStyle w:val="ListParagraph"/>
        <w:numPr>
          <w:ilvl w:val="0"/>
          <w:numId w:val="1"/>
        </w:numPr>
        <w:spacing w:after="70" w:line="264"/>
      </w:pPr>
      <w:r>
        <w:t xml:space="preserve">Internal links (footer + industry cards) distribute link equity, make industry “Explore →” links real /industries/* URLs.</w:t>
      </w:r>
    </w:p>
    <w:p>
      <w:pPr>
        <w:pStyle w:val="ListParagraph"/>
        <w:numPr>
          <w:ilvl w:val="0"/>
          <w:numId w:val="1"/>
        </w:numPr>
        <w:spacing w:after="70" w:line="264"/>
      </w:pPr>
      <w:r>
        <w:t xml:space="preserve">One H1, clean heading tree, as built.</w:t>
      </w:r>
    </w:p>
    <w:p>
      <w:pPr>
        <w:pStyle w:val="ListParagraph"/>
        <w:numPr>
          <w:ilvl w:val="0"/>
          <w:numId w:val="1"/>
        </w:numPr>
        <w:spacing w:after="70" w:line="264"/>
      </w:pPr>
      <w:r>
        <w:t xml:space="preserve">llms.txt (recommended), add www.trillet.ai/llms.txt summarising what Trillet is, industries, differentiators, and this About URL.</w:t>
      </w:r>
    </w:p>
    <w:p>
      <w:pPr>
        <w:pStyle w:val="ListParagraph"/>
        <w:numPr>
          <w:ilvl w:val="0"/>
          <w:numId w:val="1"/>
        </w:numPr>
        <w:spacing w:after="70" w:line="264"/>
      </w:pPr>
      <w:r>
        <w:t xml:space="preserve">OG image, supply a branded 1200×630 so shared links render well.</w:t>
      </w:r>
    </w:p>
    <w:p>
      <w:pPr>
        <w:pStyle w:val="Heading1"/>
        <w:spacing w:after="140" w:before="320"/>
      </w:pPr>
      <w:r>
        <w:rPr>
          <w:color w:val="0E1B22"/>
        </w:rPr>
        <w:t xml:space="preserve">7 · Accessibility &amp; performance</w:t>
      </w:r>
    </w:p>
    <w:p>
      <w:pPr>
        <w:pStyle w:val="ListParagraph"/>
        <w:numPr>
          <w:ilvl w:val="0"/>
          <w:numId w:val="1"/>
        </w:numPr>
        <w:spacing w:after="70" w:line="264"/>
      </w:pPr>
      <w:r>
        <w:t xml:space="preserve">Colour contrast meets WCAG AA in both themes.</w:t>
      </w:r>
    </w:p>
    <w:p>
      <w:pPr>
        <w:pStyle w:val="ListParagraph"/>
        <w:numPr>
          <w:ilvl w:val="0"/>
          <w:numId w:val="1"/>
        </w:numPr>
        <w:spacing w:after="70" w:line="264"/>
      </w:pPr>
      <w:r>
        <w:t xml:space="preserve">Visible keyboard focus via :focus-visible, keep it.</w:t>
      </w:r>
    </w:p>
    <w:p>
      <w:pPr>
        <w:pStyle w:val="ListParagraph"/>
        <w:numPr>
          <w:ilvl w:val="0"/>
          <w:numId w:val="1"/>
        </w:numPr>
        <w:spacing w:after="70" w:line="264"/>
      </w:pPr>
      <w:r>
        <w:t xml:space="preserve">All motion respects prefers-reduced-motion; hero canvas and waveform mark are aria-hidden.</w:t>
      </w:r>
    </w:p>
    <w:p>
      <w:pPr>
        <w:pStyle w:val="ListParagraph"/>
        <w:numPr>
          <w:ilvl w:val="0"/>
          <w:numId w:val="1"/>
        </w:numPr>
        <w:spacing w:after="70" w:line="264"/>
      </w:pPr>
      <w:r>
        <w:t xml:space="preserve">DEV: real headshots need descriptive alt (e.g. “Rob Petreski, CEO of Trillet”); monograms stay aria-hidden.</w:t>
      </w:r>
    </w:p>
    <w:p>
      <w:pPr>
        <w:pStyle w:val="ListParagraph"/>
        <w:numPr>
          <w:ilvl w:val="0"/>
          <w:numId w:val="1"/>
        </w:numPr>
        <w:spacing w:after="70" w:line="264"/>
      </w:pPr>
      <w:r>
        <w:t xml:space="preserve">DEV: font-display:swap is set; self-host the two families to drop the third-party request and improve LCP.</w:t>
      </w:r>
    </w:p>
    <w:p>
      <w:pPr>
        <w:pStyle w:val="ListParagraph"/>
        <w:numPr>
          <w:ilvl w:val="0"/>
          <w:numId w:val="1"/>
        </w:numPr>
        <w:spacing w:after="70" w:line="264"/>
      </w:pPr>
      <w:r>
        <w:t xml:space="preserve">DEV: lazy-load headshots/logos below the fold (loading="lazy").</w:t>
      </w:r>
    </w:p>
    <w:p>
      <w:pPr>
        <w:pStyle w:val="Heading1"/>
        <w:spacing w:after="140" w:before="320"/>
      </w:pPr>
      <w:r>
        <w:rPr>
          <w:color w:val="0E1B22"/>
        </w:rPr>
        <w:t xml:space="preserve">8 · Assets required from the client</w:t>
      </w:r>
    </w:p>
    <w:tbl>
      <w:tblPr>
        <w:tblW w:type="dxa" w:w="8400"/>
        <w:tblBorders>
          <w:top w:val="single" w:color="D6E0E1" w:sz="4"/>
          <w:left w:val="single" w:color="D6E0E1" w:sz="4"/>
          <w:bottom w:val="single" w:color="D6E0E1" w:sz="4"/>
          <w:right w:val="single" w:color="D6E0E1" w:sz="4"/>
          <w:insideH w:val="single" w:color="D6E0E1" w:sz="4"/>
          <w:insideV w:val="single" w:color="D6E0E1" w:sz="4"/>
        </w:tblBorders>
      </w:tblPr>
      <w:tblGrid>
        <w:gridCol w:w="2600"/>
        <w:gridCol w:w="3400"/>
        <w:gridCol w:w="2400"/>
      </w:tblGrid>
      <w:tr>
        <w:trPr>
          <w:tblHeader/>
        </w:trPr>
        <w:tc>
          <w:tcPr>
            <w:tcW w:type="dxa" w:w="2600"/>
            <w:shd w:fill="0E1B22" w:color="auto" w:val="clear"/>
            <w:tcMar>
              <w:top w:type="dxa" w:w="60"/>
              <w:left w:type="dxa" w:w="100"/>
              <w:bottom w:type="dxa" w:w="60"/>
              <w:right w:type="dxa" w:w="100"/>
            </w:tcMar>
          </w:tcPr>
          <w:p>
            <w:r>
              <w:rPr>
                <w:b/>
                <w:bCs/>
                <w:color w:val="FFFFFF"/>
                <w:sz w:val="18"/>
                <w:szCs w:val="18"/>
              </w:rPr>
              <w:t xml:space="preserve">Asset</w:t>
            </w:r>
          </w:p>
        </w:tc>
        <w:tc>
          <w:tcPr>
            <w:tcW w:type="dxa" w:w="3400"/>
            <w:shd w:fill="0E1B22" w:color="auto" w:val="clear"/>
            <w:tcMar>
              <w:top w:type="dxa" w:w="60"/>
              <w:left w:type="dxa" w:w="100"/>
              <w:bottom w:type="dxa" w:w="60"/>
              <w:right w:type="dxa" w:w="100"/>
            </w:tcMar>
          </w:tcPr>
          <w:p>
            <w:r>
              <w:rPr>
                <w:b/>
                <w:bCs/>
                <w:color w:val="FFFFFF"/>
                <w:sz w:val="18"/>
                <w:szCs w:val="18"/>
              </w:rPr>
              <w:t xml:space="preserve">Spec</w:t>
            </w:r>
          </w:p>
        </w:tc>
        <w:tc>
          <w:tcPr>
            <w:tcW w:type="dxa" w:w="2400"/>
            <w:shd w:fill="0E1B22" w:color="auto" w:val="clear"/>
            <w:tcMar>
              <w:top w:type="dxa" w:w="60"/>
              <w:left w:type="dxa" w:w="100"/>
              <w:bottom w:type="dxa" w:w="60"/>
              <w:right w:type="dxa" w:w="100"/>
            </w:tcMar>
          </w:tcPr>
          <w:p>
            <w:r>
              <w:rPr>
                <w:b/>
                <w:bCs/>
                <w:color w:val="FFFFFF"/>
                <w:sz w:val="18"/>
                <w:szCs w:val="18"/>
              </w:rPr>
              <w:t xml:space="preserve">Used in</w:t>
            </w:r>
          </w:p>
        </w:tc>
      </w:tr>
      <w:tr>
        <w:tc>
          <w:tcPr>
            <w:tcW w:type="dxa" w:w="2600"/>
            <w:tcMar>
              <w:top w:type="dxa" w:w="50"/>
              <w:left w:type="dxa" w:w="100"/>
              <w:bottom w:type="dxa" w:w="50"/>
              <w:right w:type="dxa" w:w="100"/>
            </w:tcMar>
          </w:tcPr>
          <w:p>
            <w:r>
              <w:rPr>
                <w:sz w:val="18"/>
                <w:szCs w:val="18"/>
              </w:rPr>
              <w:t xml:space="preserve">3 founder headshots</w:t>
            </w:r>
          </w:p>
        </w:tc>
        <w:tc>
          <w:tcPr>
            <w:tcW w:type="dxa" w:w="3400"/>
            <w:tcMar>
              <w:top w:type="dxa" w:w="50"/>
              <w:left w:type="dxa" w:w="100"/>
              <w:bottom w:type="dxa" w:w="50"/>
              <w:right w:type="dxa" w:w="100"/>
            </w:tcMar>
          </w:tcPr>
          <w:p>
            <w:r>
              <w:rPr>
                <w:sz w:val="18"/>
                <w:szCs w:val="18"/>
              </w:rPr>
              <w:t xml:space="preserve">Square, ≥600×600, consistent crop/background</w:t>
            </w:r>
          </w:p>
        </w:tc>
        <w:tc>
          <w:tcPr>
            <w:tcW w:type="dxa" w:w="2400"/>
            <w:tcMar>
              <w:top w:type="dxa" w:w="50"/>
              <w:left w:type="dxa" w:w="100"/>
              <w:bottom w:type="dxa" w:w="50"/>
              <w:right w:type="dxa" w:w="100"/>
            </w:tcMar>
          </w:tcPr>
          <w:p>
            <w:r>
              <w:rPr>
                <w:sz w:val="18"/>
                <w:szCs w:val="18"/>
              </w:rPr>
              <w:t xml:space="preserve">4.11 Leadership</w:t>
            </w:r>
          </w:p>
        </w:tc>
      </w:tr>
      <w:tr>
        <w:tc>
          <w:tcPr>
            <w:tcW w:type="dxa" w:w="2600"/>
            <w:tcMar>
              <w:top w:type="dxa" w:w="50"/>
              <w:left w:type="dxa" w:w="100"/>
              <w:bottom w:type="dxa" w:w="50"/>
              <w:right w:type="dxa" w:w="100"/>
            </w:tcMar>
          </w:tcPr>
          <w:p>
            <w:r>
              <w:rPr>
                <w:sz w:val="18"/>
                <w:szCs w:val="18"/>
              </w:rPr>
              <w:t xml:space="preserve">Customer logos</w:t>
            </w:r>
          </w:p>
        </w:tc>
        <w:tc>
          <w:tcPr>
            <w:tcW w:type="dxa" w:w="3400"/>
            <w:tcMar>
              <w:top w:type="dxa" w:w="50"/>
              <w:left w:type="dxa" w:w="100"/>
              <w:bottom w:type="dxa" w:w="50"/>
              <w:right w:type="dxa" w:w="100"/>
            </w:tcMar>
          </w:tcPr>
          <w:p>
            <w:r>
              <w:rPr>
                <w:sz w:val="18"/>
                <w:szCs w:val="18"/>
              </w:rPr>
              <w:t xml:space="preserve">Mono/greyscale SVG, transparent bg</w:t>
            </w:r>
          </w:p>
        </w:tc>
        <w:tc>
          <w:tcPr>
            <w:tcW w:type="dxa" w:w="2400"/>
            <w:tcMar>
              <w:top w:type="dxa" w:w="50"/>
              <w:left w:type="dxa" w:w="100"/>
              <w:bottom w:type="dxa" w:w="50"/>
              <w:right w:type="dxa" w:w="100"/>
            </w:tcMar>
          </w:tcPr>
          <w:p>
            <w:r>
              <w:rPr>
                <w:sz w:val="18"/>
                <w:szCs w:val="18"/>
              </w:rPr>
              <w:t xml:space="preserve">4.3 Logo bar</w:t>
            </w:r>
          </w:p>
        </w:tc>
      </w:tr>
      <w:tr>
        <w:tc>
          <w:tcPr>
            <w:tcW w:type="dxa" w:w="2600"/>
            <w:tcMar>
              <w:top w:type="dxa" w:w="50"/>
              <w:left w:type="dxa" w:w="100"/>
              <w:bottom w:type="dxa" w:w="50"/>
              <w:right w:type="dxa" w:w="100"/>
            </w:tcMar>
          </w:tcPr>
          <w:p>
            <w:r>
              <w:rPr>
                <w:sz w:val="18"/>
                <w:szCs w:val="18"/>
              </w:rPr>
              <w:t xml:space="preserve">OG share image</w:t>
            </w:r>
          </w:p>
        </w:tc>
        <w:tc>
          <w:tcPr>
            <w:tcW w:type="dxa" w:w="3400"/>
            <w:tcMar>
              <w:top w:type="dxa" w:w="50"/>
              <w:left w:type="dxa" w:w="100"/>
              <w:bottom w:type="dxa" w:w="50"/>
              <w:right w:type="dxa" w:w="100"/>
            </w:tcMar>
          </w:tcPr>
          <w:p>
            <w:r>
              <w:rPr>
                <w:sz w:val="18"/>
                <w:szCs w:val="18"/>
              </w:rPr>
              <w:t xml:space="preserve">1200×630 PNG, branded</w:t>
            </w:r>
          </w:p>
        </w:tc>
        <w:tc>
          <w:tcPr>
            <w:tcW w:type="dxa" w:w="2400"/>
            <w:tcMar>
              <w:top w:type="dxa" w:w="50"/>
              <w:left w:type="dxa" w:w="100"/>
              <w:bottom w:type="dxa" w:w="50"/>
              <w:right w:type="dxa" w:w="100"/>
            </w:tcMar>
          </w:tcPr>
          <w:p>
            <w:r>
              <w:rPr>
                <w:sz w:val="18"/>
                <w:szCs w:val="18"/>
              </w:rPr>
              <w:t xml:space="preserve">2 head</w:t>
            </w:r>
          </w:p>
        </w:tc>
      </w:tr>
      <w:tr>
        <w:tc>
          <w:tcPr>
            <w:tcW w:type="dxa" w:w="2600"/>
            <w:tcMar>
              <w:top w:type="dxa" w:w="50"/>
              <w:left w:type="dxa" w:w="100"/>
              <w:bottom w:type="dxa" w:w="50"/>
              <w:right w:type="dxa" w:w="100"/>
            </w:tcMar>
          </w:tcPr>
          <w:p>
            <w:r>
              <w:rPr>
                <w:sz w:val="18"/>
                <w:szCs w:val="18"/>
              </w:rPr>
              <w:t xml:space="preserve">Favicon</w:t>
            </w:r>
          </w:p>
        </w:tc>
        <w:tc>
          <w:tcPr>
            <w:tcW w:type="dxa" w:w="3400"/>
            <w:tcMar>
              <w:top w:type="dxa" w:w="50"/>
              <w:left w:type="dxa" w:w="100"/>
              <w:bottom w:type="dxa" w:w="50"/>
              <w:right w:type="dxa" w:w="100"/>
            </w:tcMar>
          </w:tcPr>
          <w:p>
            <w:r>
              <w:rPr>
                <w:sz w:val="18"/>
                <w:szCs w:val="18"/>
              </w:rPr>
              <w:t xml:space="preserve">Existing site favicon</w:t>
            </w:r>
          </w:p>
        </w:tc>
        <w:tc>
          <w:tcPr>
            <w:tcW w:type="dxa" w:w="2400"/>
            <w:tcMar>
              <w:top w:type="dxa" w:w="50"/>
              <w:left w:type="dxa" w:w="100"/>
              <w:bottom w:type="dxa" w:w="50"/>
              <w:right w:type="dxa" w:w="100"/>
            </w:tcMar>
          </w:tcPr>
          <w:p>
            <w:r>
              <w:rPr>
                <w:sz w:val="18"/>
                <w:szCs w:val="18"/>
              </w:rPr>
              <w:t xml:space="preserve">2 head</w:t>
            </w:r>
          </w:p>
        </w:tc>
      </w:tr>
    </w:tbl>
    <w:p>
      <w:r>
        <w:br w:type="page"/>
      </w:r>
    </w:p>
    <w:p>
      <w:pPr>
        <w:pStyle w:val="Heading1"/>
        <w:spacing w:after="140" w:before="320"/>
      </w:pPr>
      <w:r>
        <w:rPr>
          <w:color w:val="0E1B22"/>
        </w:rPr>
        <w:t xml:space="preserve">9 · Pre-publish confirmation gate</w:t>
      </w:r>
    </w:p>
    <w:p>
      <w:pPr>
        <w:spacing w:after="120" w:line="276"/>
      </w:pPr>
      <w:r>
        <w:t xml:space="preserve">The page ships the moment these are cleared. None are code problems, they are facts and assets only Trillet can confirm.</w:t>
      </w:r>
    </w:p>
    <w:p>
      <w:pPr>
        <w:pStyle w:val="ListParagraph"/>
        <w:numPr>
          <w:ilvl w:val="0"/>
          <w:numId w:val="1"/>
        </w:numPr>
        <w:spacing w:after="80"/>
      </w:pPr>
      <w:r>
        <w:t xml:space="preserve">☐  Metrics, 1,200+ businesses · 7M+ calls (2025) · 85% resolution · 80% cost reduction · 99.97% uptime · 4.6 Trustpilot (20 reviews). Confirm each is current and public.</w:t>
      </w:r>
    </w:p>
    <w:p>
      <w:pPr>
        <w:pStyle w:val="ListParagraph"/>
        <w:numPr>
          <w:ilvl w:val="0"/>
          <w:numId w:val="1"/>
        </w:numPr>
        <w:spacing w:after="80"/>
      </w:pPr>
      <w:r>
        <w:t xml:space="preserve">☐  Certifications, state which of SOC 2 Type II / ISO 27001 / HIPAA / GDPR / TCPA / ACMA are held vs in progress, and adjust wording (§4.7).</w:t>
      </w:r>
    </w:p>
    <w:p>
      <w:pPr>
        <w:pStyle w:val="ListParagraph"/>
        <w:numPr>
          <w:ilvl w:val="0"/>
          <w:numId w:val="1"/>
        </w:numPr>
        <w:spacing w:after="80"/>
      </w:pPr>
      <w:r>
        <w:t xml:space="preserve">☐  Pronouns for Rob, Laurence, Ming.</w:t>
      </w:r>
    </w:p>
    <w:p>
      <w:pPr>
        <w:pStyle w:val="ListParagraph"/>
        <w:numPr>
          <w:ilvl w:val="0"/>
          <w:numId w:val="1"/>
        </w:numPr>
        <w:spacing w:after="80"/>
      </w:pPr>
      <w:r>
        <w:t xml:space="preserve">☐  Headshots supplied (§8).</w:t>
      </w:r>
    </w:p>
    <w:p>
      <w:pPr>
        <w:pStyle w:val="ListParagraph"/>
        <w:numPr>
          <w:ilvl w:val="0"/>
          <w:numId w:val="1"/>
        </w:numPr>
        <w:spacing w:after="80"/>
      </w:pPr>
      <w:r>
        <w:t xml:space="preserve">☐  Customer names/logos cleared for public display (§4.3).</w:t>
      </w:r>
    </w:p>
    <w:p>
      <w:pPr>
        <w:pStyle w:val="ListParagraph"/>
        <w:numPr>
          <w:ilvl w:val="0"/>
          <w:numId w:val="1"/>
        </w:numPr>
        <w:spacing w:after="80"/>
      </w:pPr>
      <w:r>
        <w:t xml:space="preserve">☐  Testimonials cleared / linked to Trustpilot sources (§4.6).</w:t>
      </w:r>
    </w:p>
    <w:p>
      <w:pPr>
        <w:pStyle w:val="ListParagraph"/>
        <w:numPr>
          <w:ilvl w:val="0"/>
          <w:numId w:val="1"/>
        </w:numPr>
        <w:spacing w:after="80"/>
      </w:pPr>
      <w:r>
        <w:t xml:space="preserve">☐  Real URLs wired for every placeholder # link (§10).</w:t>
      </w:r>
    </w:p>
    <w:p>
      <w:pPr>
        <w:pStyle w:val="ListParagraph"/>
        <w:numPr>
          <w:ilvl w:val="0"/>
          <w:numId w:val="1"/>
        </w:numPr>
        <w:spacing w:after="80"/>
      </w:pPr>
      <w:r>
        <w:t xml:space="preserve">☐  Press link to the September 2025 release.</w:t>
      </w:r>
    </w:p>
    <w:p>
      <w:pPr>
        <w:pStyle w:val="ListParagraph"/>
        <w:numPr>
          <w:ilvl w:val="0"/>
          <w:numId w:val="1"/>
        </w:numPr>
        <w:spacing w:after="80"/>
      </w:pPr>
      <w:r>
        <w:t xml:space="preserve">☐  Contact routes + a real contact email/booking flow.</w:t>
      </w:r>
    </w:p>
    <w:p>
      <w:pPr>
        <w:pStyle w:val="ListParagraph"/>
        <w:numPr>
          <w:ilvl w:val="0"/>
          <w:numId w:val="1"/>
        </w:numPr>
        <w:spacing w:after="80"/>
      </w:pPr>
      <w:r>
        <w:t xml:space="preserve">☐  Legal footer links (Privacy, Terms, Security/Trust).</w:t>
      </w:r>
    </w:p>
    <w:p>
      <w:pPr>
        <w:pStyle w:val="Heading1"/>
        <w:spacing w:after="140" w:before="320"/>
      </w:pPr>
      <w:r>
        <w:rPr>
          <w:color w:val="0E1B22"/>
        </w:rPr>
        <w:t xml:space="preserve">10 · Placeholder links in the reference build</w:t>
      </w:r>
    </w:p>
    <w:p>
      <w:pPr>
        <w:spacing w:after="120" w:line="276"/>
      </w:pPr>
      <w:r>
        <w:t xml:space="preserve">Every href="#" (no anchor) is a deliberate placeholder to be wired:</w:t>
      </w:r>
    </w:p>
    <w:p>
      <w:pPr>
        <w:pStyle w:val="ListParagraph"/>
        <w:numPr>
          <w:ilvl w:val="0"/>
          <w:numId w:val="1"/>
        </w:numPr>
        <w:spacing w:after="70" w:line="264"/>
      </w:pPr>
      <w:r>
        <w:t xml:space="preserve">Hero + CTA: Book a demo, Talk to our team → demo/booking flow.</w:t>
      </w:r>
    </w:p>
    <w:p>
      <w:pPr>
        <w:pStyle w:val="ListParagraph"/>
        <w:numPr>
          <w:ilvl w:val="0"/>
          <w:numId w:val="1"/>
        </w:numPr>
        <w:spacing w:after="70" w:line="264"/>
      </w:pPr>
      <w:r>
        <w:t xml:space="preserve">Industries “Explore →” (×6) → /industries/*.</w:t>
      </w:r>
    </w:p>
    <w:p>
      <w:pPr>
        <w:pStyle w:val="ListParagraph"/>
        <w:numPr>
          <w:ilvl w:val="0"/>
          <w:numId w:val="1"/>
        </w:numPr>
        <w:spacing w:after="70" w:line="264"/>
      </w:pPr>
      <w:r>
        <w:t xml:space="preserve">Press “Read the announcement →” → press release URL.</w:t>
      </w:r>
    </w:p>
    <w:p>
      <w:pPr>
        <w:pStyle w:val="ListParagraph"/>
        <w:numPr>
          <w:ilvl w:val="0"/>
          <w:numId w:val="1"/>
        </w:numPr>
        <w:spacing w:after="70" w:line="264"/>
      </w:pPr>
      <w:r>
        <w:t xml:space="preserve">Contact: Sales / Security / Partnerships / Careers → respective routes.</w:t>
      </w:r>
    </w:p>
    <w:p>
      <w:pPr>
        <w:pStyle w:val="ListParagraph"/>
        <w:numPr>
          <w:ilvl w:val="0"/>
          <w:numId w:val="1"/>
        </w:numPr>
        <w:spacing w:after="70" w:line="264"/>
      </w:pPr>
      <w:r>
        <w:t xml:space="preserve">Footer “Customers” → customers/case-studies page if one exists.</w:t>
      </w:r>
    </w:p>
    <w:p>
      <w:pPr>
        <w:spacing w:after="120" w:line="276"/>
      </w:pPr>
      <w:r>
        <w:t xml:space="preserve">In-page anchors (#how, #security, #industries, #story, #faq, #contact, #cta, #top) are functional and can stay on a single-page About, or be re-pointed if sections become separate pages.</w:t>
      </w:r>
    </w:p>
    <w:p>
      <w:pPr>
        <w:pStyle w:val="Heading1"/>
        <w:spacing w:after="140" w:before="320"/>
      </w:pPr>
      <w:r>
        <w:rPr>
          <w:color w:val="0E1B22"/>
        </w:rPr>
        <w:t xml:space="preserve">11 · Provenance</w:t>
      </w:r>
    </w:p>
    <w:p>
      <w:pPr>
        <w:spacing w:after="120" w:line="276"/>
      </w:pPr>
      <w:r>
        <w:t xml:space="preserve">Content assembled from trillet.ai (home, /enterprise, /ai-info), the Trillet Smart Voice Agents press release (September 2025), the Trillet Trustpilot profile, and the LinkedIn profiles of Rob Petreski, Laurence Latin, and Ming Xu supplied by the client. Structure informed by current best practice for enterprise/B2B SaaS About pages (origin → outcomes → trust → people). No funding/valuation figures were used (aggregator data is unreliable due to name collisions).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Bricolage Grotesque" w:cs="Bricolage Grotesque" w:eastAsia="Bricolage Grotesque" w:hAnsi="Bricolage Grotesque"/>
      <w:b/>
      <w:bCs/>
      <w:color w:val="0E1B22"/>
      <w:sz w:val="40"/>
      <w:szCs w:val="40"/>
    </w:rPr>
  </w:style>
  <w:style w:type="paragraph" w:styleId="Heading1">
    <w:name w:val="Heading 1"/>
    <w:basedOn w:val="Normal"/>
    <w:next w:val="Normal"/>
    <w:qFormat/>
    <w:rPr>
      <w:rFonts w:ascii="Bricolage Grotesque" w:cs="Bricolage Grotesque" w:eastAsia="Bricolage Grotesque" w:hAnsi="Bricolage Grotesque"/>
      <w:b/>
      <w:bCs/>
      <w:color w:val="0E1B22"/>
      <w:sz w:val="28"/>
      <w:szCs w:val="28"/>
    </w:rPr>
  </w:style>
  <w:style w:type="paragraph" w:styleId="Heading2">
    <w:name w:val="Heading 2"/>
    <w:basedOn w:val="Normal"/>
    <w:next w:val="Normal"/>
    <w:qFormat/>
    <w:rPr>
      <w:rFonts w:ascii="Bricolage Grotesque" w:cs="Bricolage Grotesque" w:eastAsia="Bricolage Grotesque" w:hAnsi="Bricolage Grotesque"/>
      <w:b/>
      <w:bCs/>
      <w:color w:val="0E1B22"/>
      <w:sz w:val="23"/>
      <w:szCs w:val="23"/>
    </w:rPr>
  </w:style>
  <w:style w:type="paragraph" w:styleId="Heading3">
    <w:name w:val="Heading 3"/>
    <w:basedOn w:val="Normal"/>
    <w:next w:val="Normal"/>
    <w:qFormat/>
    <w:rPr>
      <w:rFonts w:ascii="Bricolage Grotesque" w:cs="Bricolage Grotesque" w:eastAsia="Bricolage Grotesque" w:hAnsi="Bricolage Grotesque"/>
      <w:b/>
      <w:bCs/>
      <w:color w:val="0C857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Trillet About Page, Build &amp; Handoff</dc:title>
  <dc:creator>Trillet</dc:creator>
  <cp:lastModifiedBy>Un-named</cp:lastModifiedBy>
  <cp:revision>1</cp:revision>
  <dcterms:created xsi:type="dcterms:W3CDTF">2026-09-07T11:07:32.745Z</dcterms:created>
  <dcterms:modified xsi:type="dcterms:W3CDTF">2026-09-07T11:07:32.753Z</dcterms:modified>
</cp:coreProperties>
</file>

<file path=docProps/custom.xml><?xml version="1.0" encoding="utf-8"?>
<Properties xmlns="http://schemas.openxmlformats.org/officeDocument/2006/custom-properties" xmlns:vt="http://schemas.openxmlformats.org/officeDocument/2006/docPropsVTypes"/>
</file>