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0C8577"/>
          <w:sz w:val="26"/>
          <w:szCs w:val="26"/>
        </w:rPr>
        <w:t xml:space="preserve">TRILLET</w:t>
      </w:r>
      <w:r>
        <w:rPr>
          <w:color w:val="52646A"/>
          <w:sz w:val="22"/>
          <w:szCs w:val="22"/>
        </w:rPr>
        <w:t xml:space="preserve">  ·  Off-Page SEO</w:t>
      </w:r>
    </w:p>
    <w:p>
      <w:pPr>
        <w:pStyle w:val="Title"/>
        <w:spacing w:after="60"/>
      </w:pPr>
      <w:r>
        <w:rPr>
          <w:color w:val="0E1B22"/>
        </w:rPr>
        <w:t xml:space="preserve">Directory &amp; Marketplace Submission Kit</w:t>
      </w:r>
    </w:p>
    <w:p>
      <w:pPr>
        <w:spacing w:after="120" w:line="276"/>
      </w:pPr>
      <w:r>
        <w:rPr>
          <w:color w:val="52646A"/>
        </w:rPr>
        <w:t xml:space="preserve">A canonical set of company details and ready-to-paste descriptions at the character limits directories impose, plus categories, assets, and submission best-practices. Use it to keep every marketplace and directory listing consistent.</w:t>
      </w:r>
    </w:p>
    <w:p>
      <w:pPr>
        <w:spacing w:after="120" w:line="276"/>
      </w:pPr>
      <w:r>
        <w:rPr>
          <w:b/>
          <w:bCs/>
        </w:rPr>
        <w:t xml:space="preserve">Prepared for: </w:t>
      </w:r>
      <w:r>
        <w:t xml:space="preserve">Trillet marketing / growth  ·  </w:t>
      </w:r>
      <w:r>
        <w:rPr>
          <w:b/>
          <w:bCs/>
        </w:rPr>
        <w:t xml:space="preserve">Owner email: </w:t>
      </w:r>
      <w:r>
        <w:t xml:space="preserve">agrawalnisha.096@gmail.com</w:t>
      </w:r>
    </w:p>
    <w:p>
      <w:pPr>
        <w:pBdr>
          <w:left w:val="single" w:color="0C8577" w:sz="18" w:space="8"/>
        </w:pBdr>
        <w:shd w:fill="F2F5F5" w:color="auto" w:val="clear"/>
        <w:spacing w:after="140" w:before="60" w:line="264"/>
      </w:pPr>
      <w:r>
        <w:rPr>
          <w:b/>
          <w:bCs/>
          <w:color w:val="0C8577"/>
        </w:rPr>
        <w:t xml:space="preserve">WHY THIS MATTERS  </w:t>
      </w:r>
      <w:r>
        <w:t xml:space="preserve">The earlier SEO audit found little or no presence on G2, Capterra, TrustRadius, Product Hunt, or Crunchbase, and thin third-party citations overall. Consistent directory and marketplace listings build backlinks, trust signals, and the third-party sources AI answer engines cite. Consistency of the details below (identical name, address, and descriptions everywhere) is what makes them count.</w:t>
      </w:r>
    </w:p>
    <w:p>
      <w:pPr>
        <w:pBdr>
          <w:left w:val="single" w:color="0C8577" w:sz="18" w:space="8"/>
        </w:pBdr>
        <w:shd w:fill="D6ECE7" w:color="auto" w:val="clear"/>
        <w:spacing w:after="140" w:before="60" w:line="264"/>
      </w:pPr>
      <w:r>
        <w:rPr>
          <w:b/>
          <w:bCs/>
          <w:color w:val="0C8577"/>
        </w:rPr>
        <w:t xml:space="preserve">LEGEND  </w:t>
      </w:r>
      <w:r>
        <w:t xml:space="preserve">CONFIRM = a detail Trillet must supply or verify before submitting.  ASSET = a file to attach.</w:t>
      </w:r>
    </w:p>
    <w:p>
      <w:pPr>
        <w:pStyle w:val="Heading1"/>
        <w:spacing w:after="140" w:before="320"/>
      </w:pPr>
      <w:r>
        <w:rPr>
          <w:color w:val="0E1B22"/>
        </w:rPr>
        <w:t xml:space="preserve">1 · Canonical company profile (single source of truth)</w:t>
      </w:r>
    </w:p>
    <w:p>
      <w:pPr>
        <w:spacing w:after="120" w:line="276"/>
      </w:pPr>
      <w:r>
        <w:t xml:space="preserve">Use these exact values on every listing. Directory SEO rewards consistency: the same legal name, address, and URL across sites is read as one trusted entity. Copy from here, do not re-type.</w:t>
      </w:r>
    </w:p>
    <w:tbl>
      <w:tblPr>
        <w:tblW w:type="dxa" w:w="9200"/>
        <w:tblBorders>
          <w:top w:val="single" w:color="D6E0E1" w:sz="4"/>
          <w:left w:val="single" w:color="D6E0E1" w:sz="4"/>
          <w:bottom w:val="single" w:color="D6E0E1" w:sz="4"/>
          <w:right w:val="single" w:color="D6E0E1" w:sz="4"/>
          <w:insideH w:val="single" w:color="D6E0E1" w:sz="4"/>
          <w:insideV w:val="single" w:color="D6E0E1" w:sz="4"/>
        </w:tblBorders>
      </w:tblPr>
      <w:tblGrid>
        <w:gridCol w:w="2600"/>
        <w:gridCol w:w="6600"/>
      </w:tblGrid>
      <w:tr>
        <w:trPr>
          <w:tblHeader/>
        </w:trPr>
        <w:tc>
          <w:tcPr>
            <w:tcW w:type="dxa" w:w="2600"/>
            <w:shd w:fill="0E1B22" w:color="auto" w:val="clear"/>
            <w:tcMar>
              <w:top w:type="dxa" w:w="60"/>
              <w:left w:type="dxa" w:w="100"/>
              <w:bottom w:type="dxa" w:w="60"/>
              <w:right w:type="dxa" w:w="100"/>
            </w:tcMar>
          </w:tcPr>
          <w:p>
            <w:r>
              <w:rPr>
                <w:b/>
                <w:bCs/>
                <w:color w:val="FFFFFF"/>
                <w:sz w:val="17"/>
                <w:szCs w:val="17"/>
              </w:rPr>
              <w:t xml:space="preserve">Field</w:t>
            </w:r>
          </w:p>
        </w:tc>
        <w:tc>
          <w:tcPr>
            <w:tcW w:type="dxa" w:w="6600"/>
            <w:shd w:fill="0E1B22" w:color="auto" w:val="clear"/>
            <w:tcMar>
              <w:top w:type="dxa" w:w="60"/>
              <w:left w:type="dxa" w:w="100"/>
              <w:bottom w:type="dxa" w:w="60"/>
              <w:right w:type="dxa" w:w="100"/>
            </w:tcMar>
          </w:tcPr>
          <w:p>
            <w:r>
              <w:rPr>
                <w:b/>
                <w:bCs/>
                <w:color w:val="FFFFFF"/>
                <w:sz w:val="17"/>
                <w:szCs w:val="17"/>
              </w:rPr>
              <w:t xml:space="preserve">Value</w:t>
            </w:r>
          </w:p>
        </w:tc>
      </w:tr>
      <w:tr>
        <w:tc>
          <w:tcPr>
            <w:tcW w:type="dxa" w:w="2600"/>
            <w:tcMar>
              <w:top w:type="dxa" w:w="50"/>
              <w:left w:type="dxa" w:w="100"/>
              <w:bottom w:type="dxa" w:w="50"/>
              <w:right w:type="dxa" w:w="100"/>
            </w:tcMar>
          </w:tcPr>
          <w:p>
            <w:pPr>
              <w:spacing w:line="250"/>
            </w:pPr>
            <w:r>
              <w:rPr>
                <w:sz w:val="18"/>
                <w:szCs w:val="18"/>
              </w:rPr>
              <w:t xml:space="preserve">Brand name</w:t>
            </w:r>
          </w:p>
        </w:tc>
        <w:tc>
          <w:tcPr>
            <w:tcW w:type="dxa" w:w="6600"/>
            <w:tcMar>
              <w:top w:type="dxa" w:w="50"/>
              <w:left w:type="dxa" w:w="100"/>
              <w:bottom w:type="dxa" w:w="50"/>
              <w:right w:type="dxa" w:w="100"/>
            </w:tcMar>
          </w:tcPr>
          <w:p>
            <w:pPr>
              <w:spacing w:line="250"/>
            </w:pPr>
            <w:r>
              <w:rPr>
                <w:sz w:val="18"/>
                <w:szCs w:val="18"/>
              </w:rPr>
              <w:t xml:space="preserve">Trillet</w:t>
            </w:r>
          </w:p>
        </w:tc>
      </w:tr>
      <w:tr>
        <w:tc>
          <w:tcPr>
            <w:tcW w:type="dxa" w:w="2600"/>
            <w:tcMar>
              <w:top w:type="dxa" w:w="50"/>
              <w:left w:type="dxa" w:w="100"/>
              <w:bottom w:type="dxa" w:w="50"/>
              <w:right w:type="dxa" w:w="100"/>
            </w:tcMar>
          </w:tcPr>
          <w:p>
            <w:pPr>
              <w:spacing w:line="250"/>
            </w:pPr>
            <w:r>
              <w:rPr>
                <w:sz w:val="18"/>
                <w:szCs w:val="18"/>
              </w:rPr>
              <w:t xml:space="preserve">Also known as</w:t>
            </w:r>
          </w:p>
        </w:tc>
        <w:tc>
          <w:tcPr>
            <w:tcW w:type="dxa" w:w="6600"/>
            <w:tcMar>
              <w:top w:type="dxa" w:w="50"/>
              <w:left w:type="dxa" w:w="100"/>
              <w:bottom w:type="dxa" w:w="50"/>
              <w:right w:type="dxa" w:w="100"/>
            </w:tcMar>
          </w:tcPr>
          <w:p>
            <w:pPr>
              <w:spacing w:line="250"/>
            </w:pPr>
            <w:r>
              <w:rPr>
                <w:sz w:val="18"/>
                <w:szCs w:val="18"/>
              </w:rPr>
              <w:t xml:space="preserve">Trillet AI</w:t>
            </w:r>
          </w:p>
        </w:tc>
      </w:tr>
      <w:tr>
        <w:tc>
          <w:tcPr>
            <w:tcW w:type="dxa" w:w="2600"/>
            <w:tcMar>
              <w:top w:type="dxa" w:w="50"/>
              <w:left w:type="dxa" w:w="100"/>
              <w:bottom w:type="dxa" w:w="50"/>
              <w:right w:type="dxa" w:w="100"/>
            </w:tcMar>
          </w:tcPr>
          <w:p>
            <w:pPr>
              <w:spacing w:line="250"/>
            </w:pPr>
            <w:r>
              <w:rPr>
                <w:sz w:val="18"/>
                <w:szCs w:val="18"/>
              </w:rPr>
              <w:t xml:space="preserve">Website (canonical)</w:t>
            </w:r>
          </w:p>
        </w:tc>
        <w:tc>
          <w:tcPr>
            <w:tcW w:type="dxa" w:w="6600"/>
            <w:tcMar>
              <w:top w:type="dxa" w:w="50"/>
              <w:left w:type="dxa" w:w="100"/>
              <w:bottom w:type="dxa" w:w="50"/>
              <w:right w:type="dxa" w:w="100"/>
            </w:tcMar>
          </w:tcPr>
          <w:p>
            <w:pPr>
              <w:spacing w:line="250"/>
            </w:pPr>
            <w:r>
              <w:rPr>
                <w:sz w:val="18"/>
                <w:szCs w:val="18"/>
              </w:rPr>
              <w:t xml:space="preserve">https://www.trillet.ai</w:t>
            </w:r>
          </w:p>
        </w:tc>
      </w:tr>
      <w:tr>
        <w:tc>
          <w:tcPr>
            <w:tcW w:type="dxa" w:w="2600"/>
            <w:tcMar>
              <w:top w:type="dxa" w:w="50"/>
              <w:left w:type="dxa" w:w="100"/>
              <w:bottom w:type="dxa" w:w="50"/>
              <w:right w:type="dxa" w:w="100"/>
            </w:tcMar>
          </w:tcPr>
          <w:p>
            <w:pPr>
              <w:spacing w:line="250"/>
            </w:pPr>
            <w:r>
              <w:rPr>
                <w:sz w:val="18"/>
                <w:szCs w:val="18"/>
              </w:rPr>
              <w:t xml:space="preserve">Tagline (primary)</w:t>
            </w:r>
          </w:p>
        </w:tc>
        <w:tc>
          <w:tcPr>
            <w:tcW w:type="dxa" w:w="6600"/>
            <w:tcMar>
              <w:top w:type="dxa" w:w="50"/>
              <w:left w:type="dxa" w:w="100"/>
              <w:bottom w:type="dxa" w:w="50"/>
              <w:right w:type="dxa" w:w="100"/>
            </w:tcMar>
          </w:tcPr>
          <w:p>
            <w:pPr>
              <w:spacing w:line="250"/>
            </w:pPr>
            <w:r>
              <w:rPr>
                <w:sz w:val="18"/>
                <w:szCs w:val="18"/>
              </w:rPr>
              <w:t xml:space="preserve">Enterprise voice AI agents for high-stakes conversations</w:t>
            </w:r>
          </w:p>
        </w:tc>
      </w:tr>
      <w:tr>
        <w:tc>
          <w:tcPr>
            <w:tcW w:type="dxa" w:w="2600"/>
            <w:tcMar>
              <w:top w:type="dxa" w:w="50"/>
              <w:left w:type="dxa" w:w="100"/>
              <w:bottom w:type="dxa" w:w="50"/>
              <w:right w:type="dxa" w:w="100"/>
            </w:tcMar>
          </w:tcPr>
          <w:p>
            <w:pPr>
              <w:spacing w:line="250"/>
            </w:pPr>
            <w:r>
              <w:rPr>
                <w:sz w:val="18"/>
                <w:szCs w:val="18"/>
              </w:rPr>
              <w:t xml:space="preserve">Founded</w:t>
            </w:r>
          </w:p>
        </w:tc>
        <w:tc>
          <w:tcPr>
            <w:tcW w:type="dxa" w:w="6600"/>
            <w:tcMar>
              <w:top w:type="dxa" w:w="50"/>
              <w:left w:type="dxa" w:w="100"/>
              <w:bottom w:type="dxa" w:w="50"/>
              <w:right w:type="dxa" w:w="100"/>
            </w:tcMar>
          </w:tcPr>
          <w:p>
            <w:pPr>
              <w:spacing w:line="250"/>
            </w:pPr>
            <w:r>
              <w:rPr>
                <w:sz w:val="18"/>
                <w:szCs w:val="18"/>
              </w:rPr>
              <w:t xml:space="preserve">2024</w:t>
            </w:r>
          </w:p>
        </w:tc>
      </w:tr>
      <w:tr>
        <w:tc>
          <w:tcPr>
            <w:tcW w:type="dxa" w:w="2600"/>
            <w:tcMar>
              <w:top w:type="dxa" w:w="50"/>
              <w:left w:type="dxa" w:w="100"/>
              <w:bottom w:type="dxa" w:w="50"/>
              <w:right w:type="dxa" w:w="100"/>
            </w:tcMar>
          </w:tcPr>
          <w:p>
            <w:pPr>
              <w:spacing w:line="250"/>
            </w:pPr>
            <w:r>
              <w:rPr>
                <w:sz w:val="18"/>
                <w:szCs w:val="18"/>
              </w:rPr>
              <w:t xml:space="preserve">Headquarters</w:t>
            </w:r>
          </w:p>
        </w:tc>
        <w:tc>
          <w:tcPr>
            <w:tcW w:type="dxa" w:w="6600"/>
            <w:tcMar>
              <w:top w:type="dxa" w:w="50"/>
              <w:left w:type="dxa" w:w="100"/>
              <w:bottom w:type="dxa" w:w="50"/>
              <w:right w:type="dxa" w:w="100"/>
            </w:tcMar>
          </w:tcPr>
          <w:p>
            <w:pPr>
              <w:spacing w:line="250"/>
            </w:pPr>
            <w:r>
              <w:rPr>
                <w:sz w:val="18"/>
                <w:szCs w:val="18"/>
              </w:rPr>
              <w:t xml:space="preserve">The Commons Cremorne, 10-20 Gwynne St, Cremorne VIC 3121, Australia</w:t>
            </w:r>
          </w:p>
        </w:tc>
      </w:tr>
      <w:tr>
        <w:tc>
          <w:tcPr>
            <w:tcW w:type="dxa" w:w="2600"/>
            <w:tcMar>
              <w:top w:type="dxa" w:w="50"/>
              <w:left w:type="dxa" w:w="100"/>
              <w:bottom w:type="dxa" w:w="50"/>
              <w:right w:type="dxa" w:w="100"/>
            </w:tcMar>
          </w:tcPr>
          <w:p>
            <w:pPr>
              <w:spacing w:line="250"/>
            </w:pPr>
            <w:r>
              <w:rPr>
                <w:sz w:val="18"/>
                <w:szCs w:val="18"/>
              </w:rPr>
              <w:t xml:space="preserve">Country / region</w:t>
            </w:r>
          </w:p>
        </w:tc>
        <w:tc>
          <w:tcPr>
            <w:tcW w:type="dxa" w:w="6600"/>
            <w:tcMar>
              <w:top w:type="dxa" w:w="50"/>
              <w:left w:type="dxa" w:w="100"/>
              <w:bottom w:type="dxa" w:w="50"/>
              <w:right w:type="dxa" w:w="100"/>
            </w:tcMar>
          </w:tcPr>
          <w:p>
            <w:pPr>
              <w:spacing w:line="250"/>
            </w:pPr>
            <w:r>
              <w:rPr>
                <w:sz w:val="18"/>
                <w:szCs w:val="18"/>
              </w:rPr>
              <w:t xml:space="preserve">Australia (globally operated)</w:t>
            </w:r>
          </w:p>
        </w:tc>
      </w:tr>
      <w:tr>
        <w:tc>
          <w:tcPr>
            <w:tcW w:type="dxa" w:w="2600"/>
            <w:tcMar>
              <w:top w:type="dxa" w:w="50"/>
              <w:left w:type="dxa" w:w="100"/>
              <w:bottom w:type="dxa" w:w="50"/>
              <w:right w:type="dxa" w:w="100"/>
            </w:tcMar>
          </w:tcPr>
          <w:p>
            <w:pPr>
              <w:spacing w:line="250"/>
            </w:pPr>
            <w:r>
              <w:rPr>
                <w:sz w:val="18"/>
                <w:szCs w:val="18"/>
              </w:rPr>
              <w:t xml:space="preserve">Company size</w:t>
            </w:r>
          </w:p>
        </w:tc>
        <w:tc>
          <w:tcPr>
            <w:tcW w:type="dxa" w:w="6600"/>
            <w:tcMar>
              <w:top w:type="dxa" w:w="50"/>
              <w:left w:type="dxa" w:w="100"/>
              <w:bottom w:type="dxa" w:w="50"/>
              <w:right w:type="dxa" w:w="100"/>
            </w:tcMar>
          </w:tcPr>
          <w:p>
            <w:pPr>
              <w:spacing w:line="250"/>
            </w:pPr>
            <w:r>
              <w:t xml:space="preserve">11-50 employees  </w:t>
            </w:r>
            <w:r>
              <w:rPr>
                <w:b/>
                <w:bCs/>
                <w:color w:val="0C8577"/>
                <w:sz w:val="16"/>
                <w:szCs w:val="16"/>
              </w:rPr>
              <w:t xml:space="preserve">CONFIRM exact band</w:t>
            </w:r>
          </w:p>
        </w:tc>
      </w:tr>
      <w:tr>
        <w:tc>
          <w:tcPr>
            <w:tcW w:type="dxa" w:w="2600"/>
            <w:tcMar>
              <w:top w:type="dxa" w:w="50"/>
              <w:left w:type="dxa" w:w="100"/>
              <w:bottom w:type="dxa" w:w="50"/>
              <w:right w:type="dxa" w:w="100"/>
            </w:tcMar>
          </w:tcPr>
          <w:p>
            <w:pPr>
              <w:spacing w:line="250"/>
            </w:pPr>
            <w:r>
              <w:rPr>
                <w:sz w:val="18"/>
                <w:szCs w:val="18"/>
              </w:rPr>
              <w:t xml:space="preserve">Primary category</w:t>
            </w:r>
          </w:p>
        </w:tc>
        <w:tc>
          <w:tcPr>
            <w:tcW w:type="dxa" w:w="6600"/>
            <w:tcMar>
              <w:top w:type="dxa" w:w="50"/>
              <w:left w:type="dxa" w:w="100"/>
              <w:bottom w:type="dxa" w:w="50"/>
              <w:right w:type="dxa" w:w="100"/>
            </w:tcMar>
          </w:tcPr>
          <w:p>
            <w:pPr>
              <w:spacing w:line="250"/>
            </w:pPr>
            <w:r>
              <w:rPr>
                <w:sz w:val="18"/>
                <w:szCs w:val="18"/>
              </w:rPr>
              <w:t xml:space="preserve">Conversational AI / Voice AI</w:t>
            </w:r>
          </w:p>
        </w:tc>
      </w:tr>
      <w:tr>
        <w:tc>
          <w:tcPr>
            <w:tcW w:type="dxa" w:w="2600"/>
            <w:tcMar>
              <w:top w:type="dxa" w:w="50"/>
              <w:left w:type="dxa" w:w="100"/>
              <w:bottom w:type="dxa" w:w="50"/>
              <w:right w:type="dxa" w:w="100"/>
            </w:tcMar>
          </w:tcPr>
          <w:p>
            <w:pPr>
              <w:spacing w:line="250"/>
            </w:pPr>
            <w:r>
              <w:rPr>
                <w:sz w:val="18"/>
                <w:szCs w:val="18"/>
              </w:rPr>
              <w:t xml:space="preserve">Pricing model</w:t>
            </w:r>
          </w:p>
        </w:tc>
        <w:tc>
          <w:tcPr>
            <w:tcW w:type="dxa" w:w="6600"/>
            <w:tcMar>
              <w:top w:type="dxa" w:w="50"/>
              <w:left w:type="dxa" w:w="100"/>
              <w:bottom w:type="dxa" w:w="50"/>
              <w:right w:type="dxa" w:w="100"/>
            </w:tcMar>
          </w:tcPr>
          <w:p>
            <w:pPr>
              <w:spacing w:line="250"/>
            </w:pPr>
            <w:r>
              <w:t xml:space="preserve">Subscription (SaaS); plans plus enterprise.  </w:t>
            </w:r>
            <w:r>
              <w:rPr>
                <w:b/>
                <w:bCs/>
                <w:color w:val="0C8577"/>
                <w:sz w:val="16"/>
                <w:szCs w:val="16"/>
              </w:rPr>
              <w:t xml:space="preserve">CONFIRM tiers &amp; entry price</w:t>
            </w:r>
          </w:p>
        </w:tc>
      </w:tr>
      <w:tr>
        <w:tc>
          <w:tcPr>
            <w:tcW w:type="dxa" w:w="2600"/>
            <w:tcMar>
              <w:top w:type="dxa" w:w="50"/>
              <w:left w:type="dxa" w:w="100"/>
              <w:bottom w:type="dxa" w:w="50"/>
              <w:right w:type="dxa" w:w="100"/>
            </w:tcMar>
          </w:tcPr>
          <w:p>
            <w:pPr>
              <w:spacing w:line="250"/>
            </w:pPr>
            <w:r>
              <w:rPr>
                <w:sz w:val="18"/>
                <w:szCs w:val="18"/>
              </w:rPr>
              <w:t xml:space="preserve">Free trial / demo</w:t>
            </w:r>
          </w:p>
        </w:tc>
        <w:tc>
          <w:tcPr>
            <w:tcW w:type="dxa" w:w="6600"/>
            <w:tcMar>
              <w:top w:type="dxa" w:w="50"/>
              <w:left w:type="dxa" w:w="100"/>
              <w:bottom w:type="dxa" w:w="50"/>
              <w:right w:type="dxa" w:w="100"/>
            </w:tcMar>
          </w:tcPr>
          <w:p>
            <w:pPr>
              <w:spacing w:line="250"/>
            </w:pPr>
            <w:r>
              <w:t xml:space="preserve">Book-a-demo.  </w:t>
            </w:r>
            <w:r>
              <w:rPr>
                <w:b/>
                <w:bCs/>
                <w:color w:val="0C8577"/>
                <w:sz w:val="16"/>
                <w:szCs w:val="16"/>
              </w:rPr>
              <w:t xml:space="preserve">CONFIRM free trial availability</w:t>
            </w:r>
          </w:p>
        </w:tc>
      </w:tr>
      <w:tr>
        <w:tc>
          <w:tcPr>
            <w:tcW w:type="dxa" w:w="2600"/>
            <w:tcMar>
              <w:top w:type="dxa" w:w="50"/>
              <w:left w:type="dxa" w:w="100"/>
              <w:bottom w:type="dxa" w:w="50"/>
              <w:right w:type="dxa" w:w="100"/>
            </w:tcMar>
          </w:tcPr>
          <w:p>
            <w:pPr>
              <w:spacing w:line="250"/>
            </w:pPr>
            <w:r>
              <w:rPr>
                <w:sz w:val="18"/>
                <w:szCs w:val="18"/>
              </w:rPr>
              <w:t xml:space="preserve">Listing contact email</w:t>
            </w:r>
          </w:p>
        </w:tc>
        <w:tc>
          <w:tcPr>
            <w:tcW w:type="dxa" w:w="6600"/>
            <w:tcMar>
              <w:top w:type="dxa" w:w="50"/>
              <w:left w:type="dxa" w:w="100"/>
              <w:bottom w:type="dxa" w:w="50"/>
              <w:right w:type="dxa" w:w="100"/>
            </w:tcMar>
          </w:tcPr>
          <w:p>
            <w:pPr>
              <w:spacing w:line="250"/>
            </w:pPr>
            <w:r>
              <w:rPr>
                <w:b/>
                <w:bCs/>
                <w:color w:val="0C8577"/>
                <w:sz w:val="16"/>
                <w:szCs w:val="16"/>
              </w:rPr>
              <w:t xml:space="preserve">CONFIRM</w:t>
            </w:r>
            <w:r>
              <w:t xml:space="preserve">  (e.g. hello@trillet.ai or marketing@trillet.ai)</w:t>
            </w:r>
          </w:p>
        </w:tc>
      </w:tr>
      <w:tr>
        <w:tc>
          <w:tcPr>
            <w:tcW w:type="dxa" w:w="2600"/>
            <w:tcMar>
              <w:top w:type="dxa" w:w="50"/>
              <w:left w:type="dxa" w:w="100"/>
              <w:bottom w:type="dxa" w:w="50"/>
              <w:right w:type="dxa" w:w="100"/>
            </w:tcMar>
          </w:tcPr>
          <w:p>
            <w:pPr>
              <w:spacing w:line="250"/>
            </w:pPr>
            <w:r>
              <w:rPr>
                <w:sz w:val="18"/>
                <w:szCs w:val="18"/>
              </w:rPr>
              <w:t xml:space="preserve">Phone (for local citations)</w:t>
            </w:r>
          </w:p>
        </w:tc>
        <w:tc>
          <w:tcPr>
            <w:tcW w:type="dxa" w:w="6600"/>
            <w:tcMar>
              <w:top w:type="dxa" w:w="50"/>
              <w:left w:type="dxa" w:w="100"/>
              <w:bottom w:type="dxa" w:w="50"/>
              <w:right w:type="dxa" w:w="100"/>
            </w:tcMar>
          </w:tcPr>
          <w:p>
            <w:pPr>
              <w:spacing w:line="250"/>
            </w:pPr>
            <w:r>
              <w:rPr>
                <w:b/>
                <w:bCs/>
                <w:color w:val="0C8577"/>
                <w:sz w:val="16"/>
                <w:szCs w:val="16"/>
              </w:rPr>
              <w:t xml:space="preserve">CONFIRM</w:t>
            </w:r>
          </w:p>
        </w:tc>
      </w:tr>
      <w:tr>
        <w:tc>
          <w:tcPr>
            <w:tcW w:type="dxa" w:w="2600"/>
            <w:tcMar>
              <w:top w:type="dxa" w:w="50"/>
              <w:left w:type="dxa" w:w="100"/>
              <w:bottom w:type="dxa" w:w="50"/>
              <w:right w:type="dxa" w:w="100"/>
            </w:tcMar>
          </w:tcPr>
          <w:p>
            <w:pPr>
              <w:spacing w:line="250"/>
            </w:pPr>
            <w:r>
              <w:rPr>
                <w:sz w:val="18"/>
                <w:szCs w:val="18"/>
              </w:rPr>
              <w:t xml:space="preserve">Year / HQ for Crunchbase</w:t>
            </w:r>
          </w:p>
        </w:tc>
        <w:tc>
          <w:tcPr>
            <w:tcW w:type="dxa" w:w="6600"/>
            <w:tcMar>
              <w:top w:type="dxa" w:w="50"/>
              <w:left w:type="dxa" w:w="100"/>
              <w:bottom w:type="dxa" w:w="50"/>
              <w:right w:type="dxa" w:w="100"/>
            </w:tcMar>
          </w:tcPr>
          <w:p>
            <w:pPr>
              <w:spacing w:line="250"/>
            </w:pPr>
            <w:r>
              <w:rPr>
                <w:sz w:val="18"/>
                <w:szCs w:val="18"/>
              </w:rPr>
              <w:t xml:space="preserve">2024 · Melbourne, Victoria, Australia</w:t>
            </w:r>
          </w:p>
        </w:tc>
      </w:tr>
    </w:tbl>
    <w:p>
      <w:pPr>
        <w:pStyle w:val="Heading3"/>
        <w:spacing w:after="70" w:before="170"/>
      </w:pPr>
      <w:r>
        <w:rPr>
          <w:color w:val="0C8577"/>
        </w:rPr>
        <w:t xml:space="preserve">Leadership (for people fields on Crunchbase, PitchBook, etc.)</w:t>
      </w:r>
    </w:p>
    <w:tbl>
      <w:tblPr>
        <w:tblW w:type="dxa" w:w="9200"/>
        <w:tblBorders>
          <w:top w:val="single" w:color="D6E0E1" w:sz="4"/>
          <w:left w:val="single" w:color="D6E0E1" w:sz="4"/>
          <w:bottom w:val="single" w:color="D6E0E1" w:sz="4"/>
          <w:right w:val="single" w:color="D6E0E1" w:sz="4"/>
          <w:insideH w:val="single" w:color="D6E0E1" w:sz="4"/>
          <w:insideV w:val="single" w:color="D6E0E1" w:sz="4"/>
        </w:tblBorders>
      </w:tblPr>
      <w:tblGrid>
        <w:gridCol w:w="3000"/>
        <w:gridCol w:w="6200"/>
      </w:tblGrid>
      <w:tr>
        <w:trPr>
          <w:tblHeader/>
        </w:trPr>
        <w:tc>
          <w:tcPr>
            <w:tcW w:type="dxa" w:w="3000"/>
            <w:shd w:fill="0E1B22" w:color="auto" w:val="clear"/>
            <w:tcMar>
              <w:top w:type="dxa" w:w="60"/>
              <w:left w:type="dxa" w:w="100"/>
              <w:bottom w:type="dxa" w:w="60"/>
              <w:right w:type="dxa" w:w="100"/>
            </w:tcMar>
          </w:tcPr>
          <w:p>
            <w:r>
              <w:rPr>
                <w:b/>
                <w:bCs/>
                <w:color w:val="FFFFFF"/>
                <w:sz w:val="17"/>
                <w:szCs w:val="17"/>
              </w:rPr>
              <w:t xml:space="preserve">Person</w:t>
            </w:r>
          </w:p>
        </w:tc>
        <w:tc>
          <w:tcPr>
            <w:tcW w:type="dxa" w:w="6200"/>
            <w:shd w:fill="0E1B22" w:color="auto" w:val="clear"/>
            <w:tcMar>
              <w:top w:type="dxa" w:w="60"/>
              <w:left w:type="dxa" w:w="100"/>
              <w:bottom w:type="dxa" w:w="60"/>
              <w:right w:type="dxa" w:w="100"/>
            </w:tcMar>
          </w:tcPr>
          <w:p>
            <w:r>
              <w:rPr>
                <w:b/>
                <w:bCs/>
                <w:color w:val="FFFFFF"/>
                <w:sz w:val="17"/>
                <w:szCs w:val="17"/>
              </w:rPr>
              <w:t xml:space="preserve">Role</w:t>
            </w:r>
          </w:p>
        </w:tc>
      </w:tr>
      <w:tr>
        <w:tc>
          <w:tcPr>
            <w:tcW w:type="dxa" w:w="3000"/>
            <w:tcMar>
              <w:top w:type="dxa" w:w="50"/>
              <w:left w:type="dxa" w:w="100"/>
              <w:bottom w:type="dxa" w:w="50"/>
              <w:right w:type="dxa" w:w="100"/>
            </w:tcMar>
          </w:tcPr>
          <w:p>
            <w:pPr>
              <w:spacing w:line="250"/>
            </w:pPr>
            <w:r>
              <w:rPr>
                <w:sz w:val="18"/>
                <w:szCs w:val="18"/>
              </w:rPr>
              <w:t xml:space="preserve">Rob Petreski</w:t>
            </w:r>
          </w:p>
        </w:tc>
        <w:tc>
          <w:tcPr>
            <w:tcW w:type="dxa" w:w="6200"/>
            <w:tcMar>
              <w:top w:type="dxa" w:w="50"/>
              <w:left w:type="dxa" w:w="100"/>
              <w:bottom w:type="dxa" w:w="50"/>
              <w:right w:type="dxa" w:w="100"/>
            </w:tcMar>
          </w:tcPr>
          <w:p>
            <w:pPr>
              <w:spacing w:line="250"/>
            </w:pPr>
            <w:r>
              <w:rPr>
                <w:sz w:val="18"/>
                <w:szCs w:val="18"/>
              </w:rPr>
              <w:t xml:space="preserve">Chief Executive Officer</w:t>
            </w:r>
          </w:p>
        </w:tc>
      </w:tr>
      <w:tr>
        <w:tc>
          <w:tcPr>
            <w:tcW w:type="dxa" w:w="3000"/>
            <w:tcMar>
              <w:top w:type="dxa" w:w="50"/>
              <w:left w:type="dxa" w:w="100"/>
              <w:bottom w:type="dxa" w:w="50"/>
              <w:right w:type="dxa" w:w="100"/>
            </w:tcMar>
          </w:tcPr>
          <w:p>
            <w:pPr>
              <w:spacing w:line="250"/>
            </w:pPr>
            <w:r>
              <w:rPr>
                <w:sz w:val="18"/>
                <w:szCs w:val="18"/>
              </w:rPr>
              <w:t xml:space="preserve">Laurence Latin</w:t>
            </w:r>
          </w:p>
        </w:tc>
        <w:tc>
          <w:tcPr>
            <w:tcW w:type="dxa" w:w="6200"/>
            <w:tcMar>
              <w:top w:type="dxa" w:w="50"/>
              <w:left w:type="dxa" w:w="100"/>
              <w:bottom w:type="dxa" w:w="50"/>
              <w:right w:type="dxa" w:w="100"/>
            </w:tcMar>
          </w:tcPr>
          <w:p>
            <w:pPr>
              <w:spacing w:line="250"/>
            </w:pPr>
            <w:r>
              <w:rPr>
                <w:sz w:val="18"/>
                <w:szCs w:val="18"/>
              </w:rPr>
              <w:t xml:space="preserve">Co-Founder &amp; CTO</w:t>
            </w:r>
          </w:p>
        </w:tc>
      </w:tr>
      <w:tr>
        <w:tc>
          <w:tcPr>
            <w:tcW w:type="dxa" w:w="3000"/>
            <w:tcMar>
              <w:top w:type="dxa" w:w="50"/>
              <w:left w:type="dxa" w:w="100"/>
              <w:bottom w:type="dxa" w:w="50"/>
              <w:right w:type="dxa" w:w="100"/>
            </w:tcMar>
          </w:tcPr>
          <w:p>
            <w:pPr>
              <w:spacing w:line="250"/>
            </w:pPr>
            <w:r>
              <w:rPr>
                <w:sz w:val="18"/>
                <w:szCs w:val="18"/>
              </w:rPr>
              <w:t xml:space="preserve">Ming Xu</w:t>
            </w:r>
          </w:p>
        </w:tc>
        <w:tc>
          <w:tcPr>
            <w:tcW w:type="dxa" w:w="6200"/>
            <w:tcMar>
              <w:top w:type="dxa" w:w="50"/>
              <w:left w:type="dxa" w:w="100"/>
              <w:bottom w:type="dxa" w:w="50"/>
              <w:right w:type="dxa" w:w="100"/>
            </w:tcMar>
          </w:tcPr>
          <w:p>
            <w:pPr>
              <w:spacing w:line="250"/>
            </w:pPr>
            <w:r>
              <w:rPr>
                <w:sz w:val="18"/>
                <w:szCs w:val="18"/>
              </w:rPr>
              <w:t xml:space="preserve">Co-Founder &amp; COO</w:t>
            </w:r>
          </w:p>
        </w:tc>
      </w:tr>
    </w:tbl>
    <w:p>
      <w:pPr>
        <w:pStyle w:val="Heading3"/>
        <w:spacing w:after="70" w:before="170"/>
      </w:pPr>
      <w:r>
        <w:rPr>
          <w:color w:val="0C8577"/>
        </w:rPr>
        <w:t xml:space="preserve">Profiles &amp; links (add wherever a listing allows)</w:t>
      </w:r>
    </w:p>
    <w:tbl>
      <w:tblPr>
        <w:tblW w:type="dxa" w:w="9200"/>
        <w:tblBorders>
          <w:top w:val="single" w:color="D6E0E1" w:sz="4"/>
          <w:left w:val="single" w:color="D6E0E1" w:sz="4"/>
          <w:bottom w:val="single" w:color="D6E0E1" w:sz="4"/>
          <w:right w:val="single" w:color="D6E0E1" w:sz="4"/>
          <w:insideH w:val="single" w:color="D6E0E1" w:sz="4"/>
          <w:insideV w:val="single" w:color="D6E0E1" w:sz="4"/>
        </w:tblBorders>
      </w:tblPr>
      <w:tblGrid>
        <w:gridCol w:w="2600"/>
        <w:gridCol w:w="6600"/>
      </w:tblGrid>
      <w:tr>
        <w:trPr>
          <w:tblHeader/>
        </w:trPr>
        <w:tc>
          <w:tcPr>
            <w:tcW w:type="dxa" w:w="2600"/>
            <w:shd w:fill="0E1B22" w:color="auto" w:val="clear"/>
            <w:tcMar>
              <w:top w:type="dxa" w:w="60"/>
              <w:left w:type="dxa" w:w="100"/>
              <w:bottom w:type="dxa" w:w="60"/>
              <w:right w:type="dxa" w:w="100"/>
            </w:tcMar>
          </w:tcPr>
          <w:p>
            <w:r>
              <w:rPr>
                <w:b/>
                <w:bCs/>
                <w:color w:val="FFFFFF"/>
                <w:sz w:val="17"/>
                <w:szCs w:val="17"/>
              </w:rPr>
              <w:t xml:space="preserve">Channel</w:t>
            </w:r>
          </w:p>
        </w:tc>
        <w:tc>
          <w:tcPr>
            <w:tcW w:type="dxa" w:w="6600"/>
            <w:shd w:fill="0E1B22" w:color="auto" w:val="clear"/>
            <w:tcMar>
              <w:top w:type="dxa" w:w="60"/>
              <w:left w:type="dxa" w:w="100"/>
              <w:bottom w:type="dxa" w:w="60"/>
              <w:right w:type="dxa" w:w="100"/>
            </w:tcMar>
          </w:tcPr>
          <w:p>
            <w:r>
              <w:rPr>
                <w:b/>
                <w:bCs/>
                <w:color w:val="FFFFFF"/>
                <w:sz w:val="17"/>
                <w:szCs w:val="17"/>
              </w:rPr>
              <w:t xml:space="preserve">URL / handle</w:t>
            </w:r>
          </w:p>
        </w:tc>
      </w:tr>
      <w:tr>
        <w:tc>
          <w:tcPr>
            <w:tcW w:type="dxa" w:w="2600"/>
            <w:tcMar>
              <w:top w:type="dxa" w:w="50"/>
              <w:left w:type="dxa" w:w="100"/>
              <w:bottom w:type="dxa" w:w="50"/>
              <w:right w:type="dxa" w:w="100"/>
            </w:tcMar>
          </w:tcPr>
          <w:p>
            <w:pPr>
              <w:spacing w:line="250"/>
            </w:pPr>
            <w:r>
              <w:rPr>
                <w:sz w:val="18"/>
                <w:szCs w:val="18"/>
              </w:rPr>
              <w:t xml:space="preserve">Website</w:t>
            </w:r>
          </w:p>
        </w:tc>
        <w:tc>
          <w:tcPr>
            <w:tcW w:type="dxa" w:w="6600"/>
            <w:tcMar>
              <w:top w:type="dxa" w:w="50"/>
              <w:left w:type="dxa" w:w="100"/>
              <w:bottom w:type="dxa" w:w="50"/>
              <w:right w:type="dxa" w:w="100"/>
            </w:tcMar>
          </w:tcPr>
          <w:p>
            <w:pPr>
              <w:spacing w:line="250"/>
            </w:pPr>
            <w:r>
              <w:rPr>
                <w:sz w:val="18"/>
                <w:szCs w:val="18"/>
              </w:rPr>
              <w:t xml:space="preserve">https://www.trillet.ai</w:t>
            </w:r>
          </w:p>
        </w:tc>
      </w:tr>
      <w:tr>
        <w:tc>
          <w:tcPr>
            <w:tcW w:type="dxa" w:w="2600"/>
            <w:tcMar>
              <w:top w:type="dxa" w:w="50"/>
              <w:left w:type="dxa" w:w="100"/>
              <w:bottom w:type="dxa" w:w="50"/>
              <w:right w:type="dxa" w:w="100"/>
            </w:tcMar>
          </w:tcPr>
          <w:p>
            <w:pPr>
              <w:spacing w:line="250"/>
            </w:pPr>
            <w:r>
              <w:rPr>
                <w:sz w:val="18"/>
                <w:szCs w:val="18"/>
              </w:rPr>
              <w:t xml:space="preserve">Docs</w:t>
            </w:r>
          </w:p>
        </w:tc>
        <w:tc>
          <w:tcPr>
            <w:tcW w:type="dxa" w:w="6600"/>
            <w:tcMar>
              <w:top w:type="dxa" w:w="50"/>
              <w:left w:type="dxa" w:w="100"/>
              <w:bottom w:type="dxa" w:w="50"/>
              <w:right w:type="dxa" w:w="100"/>
            </w:tcMar>
          </w:tcPr>
          <w:p>
            <w:pPr>
              <w:spacing w:line="250"/>
            </w:pPr>
            <w:r>
              <w:rPr>
                <w:sz w:val="18"/>
                <w:szCs w:val="18"/>
              </w:rPr>
              <w:t xml:space="preserve">https://docs.trillet.ai</w:t>
            </w:r>
          </w:p>
        </w:tc>
      </w:tr>
      <w:tr>
        <w:tc>
          <w:tcPr>
            <w:tcW w:type="dxa" w:w="2600"/>
            <w:tcMar>
              <w:top w:type="dxa" w:w="50"/>
              <w:left w:type="dxa" w:w="100"/>
              <w:bottom w:type="dxa" w:w="50"/>
              <w:right w:type="dxa" w:w="100"/>
            </w:tcMar>
          </w:tcPr>
          <w:p>
            <w:pPr>
              <w:spacing w:line="250"/>
            </w:pPr>
            <w:r>
              <w:rPr>
                <w:sz w:val="18"/>
                <w:szCs w:val="18"/>
              </w:rPr>
              <w:t xml:space="preserve">LinkedIn</w:t>
            </w:r>
          </w:p>
        </w:tc>
        <w:tc>
          <w:tcPr>
            <w:tcW w:type="dxa" w:w="6600"/>
            <w:tcMar>
              <w:top w:type="dxa" w:w="50"/>
              <w:left w:type="dxa" w:w="100"/>
              <w:bottom w:type="dxa" w:w="50"/>
              <w:right w:type="dxa" w:w="100"/>
            </w:tcMar>
          </w:tcPr>
          <w:p>
            <w:pPr>
              <w:spacing w:line="250"/>
            </w:pPr>
            <w:r>
              <w:rPr>
                <w:sz w:val="18"/>
                <w:szCs w:val="18"/>
              </w:rPr>
              <w:t xml:space="preserve">https://www.linkedin.com/company/trillet-ai/</w:t>
            </w:r>
          </w:p>
        </w:tc>
      </w:tr>
      <w:tr>
        <w:tc>
          <w:tcPr>
            <w:tcW w:type="dxa" w:w="2600"/>
            <w:tcMar>
              <w:top w:type="dxa" w:w="50"/>
              <w:left w:type="dxa" w:w="100"/>
              <w:bottom w:type="dxa" w:w="50"/>
              <w:right w:type="dxa" w:w="100"/>
            </w:tcMar>
          </w:tcPr>
          <w:p>
            <w:pPr>
              <w:spacing w:line="250"/>
            </w:pPr>
            <w:r>
              <w:rPr>
                <w:sz w:val="18"/>
                <w:szCs w:val="18"/>
              </w:rPr>
              <w:t xml:space="preserve">Trustpilot</w:t>
            </w:r>
          </w:p>
        </w:tc>
        <w:tc>
          <w:tcPr>
            <w:tcW w:type="dxa" w:w="6600"/>
            <w:tcMar>
              <w:top w:type="dxa" w:w="50"/>
              <w:left w:type="dxa" w:w="100"/>
              <w:bottom w:type="dxa" w:w="50"/>
              <w:right w:type="dxa" w:w="100"/>
            </w:tcMar>
          </w:tcPr>
          <w:p>
            <w:pPr>
              <w:spacing w:line="250"/>
            </w:pPr>
            <w:r>
              <w:rPr>
                <w:sz w:val="18"/>
                <w:szCs w:val="18"/>
              </w:rPr>
              <w:t xml:space="preserve">https://www.trustpilot.com/review/trillet.ai</w:t>
            </w:r>
          </w:p>
        </w:tc>
      </w:tr>
      <w:tr>
        <w:tc>
          <w:tcPr>
            <w:tcW w:type="dxa" w:w="2600"/>
            <w:tcMar>
              <w:top w:type="dxa" w:w="50"/>
              <w:left w:type="dxa" w:w="100"/>
              <w:bottom w:type="dxa" w:w="50"/>
              <w:right w:type="dxa" w:w="100"/>
            </w:tcMar>
          </w:tcPr>
          <w:p>
            <w:pPr>
              <w:spacing w:line="250"/>
            </w:pPr>
            <w:r>
              <w:rPr>
                <w:sz w:val="18"/>
                <w:szCs w:val="18"/>
              </w:rPr>
              <w:t xml:space="preserve">GitHub</w:t>
            </w:r>
          </w:p>
        </w:tc>
        <w:tc>
          <w:tcPr>
            <w:tcW w:type="dxa" w:w="6600"/>
            <w:tcMar>
              <w:top w:type="dxa" w:w="50"/>
              <w:left w:type="dxa" w:w="100"/>
              <w:bottom w:type="dxa" w:w="50"/>
              <w:right w:type="dxa" w:w="100"/>
            </w:tcMar>
          </w:tcPr>
          <w:p>
            <w:pPr>
              <w:spacing w:line="250"/>
            </w:pPr>
            <w:r>
              <w:t xml:space="preserve">https://github.com/TrilletAI  </w:t>
            </w:r>
            <w:r>
              <w:rPr>
                <w:b/>
                <w:bCs/>
                <w:color w:val="0C8577"/>
                <w:sz w:val="16"/>
                <w:szCs w:val="16"/>
              </w:rPr>
              <w:t xml:space="preserve">CONFIRM</w:t>
            </w:r>
          </w:p>
        </w:tc>
      </w:tr>
      <w:tr>
        <w:tc>
          <w:tcPr>
            <w:tcW w:type="dxa" w:w="2600"/>
            <w:tcMar>
              <w:top w:type="dxa" w:w="50"/>
              <w:left w:type="dxa" w:w="100"/>
              <w:bottom w:type="dxa" w:w="50"/>
              <w:right w:type="dxa" w:w="100"/>
            </w:tcMar>
          </w:tcPr>
          <w:p>
            <w:pPr>
              <w:spacing w:line="250"/>
            </w:pPr>
            <w:r>
              <w:rPr>
                <w:sz w:val="18"/>
                <w:szCs w:val="18"/>
              </w:rPr>
              <w:t xml:space="preserve">X / Twitter</w:t>
            </w:r>
          </w:p>
        </w:tc>
        <w:tc>
          <w:tcPr>
            <w:tcW w:type="dxa" w:w="6600"/>
            <w:tcMar>
              <w:top w:type="dxa" w:w="50"/>
              <w:left w:type="dxa" w:w="100"/>
              <w:bottom w:type="dxa" w:w="50"/>
              <w:right w:type="dxa" w:w="100"/>
            </w:tcMar>
          </w:tcPr>
          <w:p>
            <w:pPr>
              <w:spacing w:line="250"/>
            </w:pPr>
            <w:r>
              <w:rPr>
                <w:sz w:val="18"/>
                <w:szCs w:val="18"/>
              </w:rPr>
              <w:t xml:space="preserve">https://x.com/trillet_ai</w:t>
            </w:r>
          </w:p>
        </w:tc>
      </w:tr>
      <w:tr>
        <w:tc>
          <w:tcPr>
            <w:tcW w:type="dxa" w:w="2600"/>
            <w:tcMar>
              <w:top w:type="dxa" w:w="50"/>
              <w:left w:type="dxa" w:w="100"/>
              <w:bottom w:type="dxa" w:w="50"/>
              <w:right w:type="dxa" w:w="100"/>
            </w:tcMar>
          </w:tcPr>
          <w:p>
            <w:pPr>
              <w:spacing w:line="250"/>
            </w:pPr>
            <w:r>
              <w:rPr>
                <w:sz w:val="18"/>
                <w:szCs w:val="18"/>
              </w:rPr>
              <w:t xml:space="preserve">YouTube</w:t>
            </w:r>
          </w:p>
        </w:tc>
        <w:tc>
          <w:tcPr>
            <w:tcW w:type="dxa" w:w="6600"/>
            <w:tcMar>
              <w:top w:type="dxa" w:w="50"/>
              <w:left w:type="dxa" w:w="100"/>
              <w:bottom w:type="dxa" w:w="50"/>
              <w:right w:type="dxa" w:w="100"/>
            </w:tcMar>
          </w:tcPr>
          <w:p>
            <w:pPr>
              <w:spacing w:line="250"/>
            </w:pPr>
            <w:r>
              <w:rPr>
                <w:sz w:val="18"/>
                <w:szCs w:val="18"/>
              </w:rPr>
              <w:t xml:space="preserve">https://www.youtube.com/@Trillet-AI</w:t>
            </w:r>
          </w:p>
        </w:tc>
      </w:tr>
      <w:tr>
        <w:tc>
          <w:tcPr>
            <w:tcW w:type="dxa" w:w="2600"/>
            <w:tcMar>
              <w:top w:type="dxa" w:w="50"/>
              <w:left w:type="dxa" w:w="100"/>
              <w:bottom w:type="dxa" w:w="50"/>
              <w:right w:type="dxa" w:w="100"/>
            </w:tcMar>
          </w:tcPr>
          <w:p>
            <w:pPr>
              <w:spacing w:line="250"/>
            </w:pPr>
            <w:r>
              <w:rPr>
                <w:sz w:val="18"/>
                <w:szCs w:val="18"/>
              </w:rPr>
              <w:t xml:space="preserve">Instagram</w:t>
            </w:r>
          </w:p>
        </w:tc>
        <w:tc>
          <w:tcPr>
            <w:tcW w:type="dxa" w:w="6600"/>
            <w:tcMar>
              <w:top w:type="dxa" w:w="50"/>
              <w:left w:type="dxa" w:w="100"/>
              <w:bottom w:type="dxa" w:w="50"/>
              <w:right w:type="dxa" w:w="100"/>
            </w:tcMar>
          </w:tcPr>
          <w:p>
            <w:pPr>
              <w:spacing w:line="250"/>
            </w:pPr>
            <w:r>
              <w:rPr>
                <w:sz w:val="18"/>
                <w:szCs w:val="18"/>
              </w:rPr>
              <w:t xml:space="preserve">https://www.instagram.com/trillet.ai/</w:t>
            </w:r>
          </w:p>
        </w:tc>
      </w:tr>
    </w:tbl>
    <w:p>
      <w:r>
        <w:br w:type="page"/>
      </w:r>
    </w:p>
    <w:p>
      <w:pPr>
        <w:pStyle w:val="Heading1"/>
        <w:spacing w:after="140" w:before="320"/>
      </w:pPr>
      <w:r>
        <w:rPr>
          <w:color w:val="0E1B22"/>
        </w:rPr>
        <w:t xml:space="preserve">2 · Description library (paste-ready, by length)</w:t>
      </w:r>
    </w:p>
    <w:p>
      <w:pPr>
        <w:spacing w:after="120" w:line="276"/>
      </w:pPr>
      <w:r>
        <w:t xml:space="preserve">Directories cap descriptions at different lengths. Pick the variant that fits each field. Character counts are approximate; trim to the exact limit if a form rejects it.</w:t>
      </w:r>
    </w:p>
    <w:p>
      <w:pPr>
        <w:pStyle w:val="Heading3"/>
        <w:spacing w:after="70" w:before="170"/>
      </w:pPr>
      <w:r>
        <w:rPr>
          <w:color w:val="0C8577"/>
        </w:rPr>
        <w:t xml:space="preserve">Tagline options (≤ 60 chars)</w:t>
      </w:r>
    </w:p>
    <w:p>
      <w:pPr>
        <w:pBdr>
          <w:left w:val="single" w:color="D6E0E1" w:sz="10" w:space="8"/>
        </w:pBdr>
        <w:shd w:fill="F2F5F5" w:color="auto" w:val="clear"/>
        <w:spacing w:after="40" w:before="20" w:line="260"/>
      </w:pPr>
      <w:r>
        <w:rPr>
          <w:rFonts w:ascii="Consolas" w:cs="Consolas" w:eastAsia="Consolas" w:hAnsi="Consolas"/>
          <w:color w:val="0E1B22"/>
          <w:sz w:val="18"/>
          <w:szCs w:val="18"/>
        </w:rPr>
        <w:t xml:space="preserve">Voice AI agents for high-stakes conversations.</w:t>
      </w:r>
    </w:p>
    <w:p>
      <w:pPr>
        <w:pBdr>
          <w:left w:val="single" w:color="D6E0E1" w:sz="10" w:space="8"/>
        </w:pBdr>
        <w:shd w:fill="F2F5F5" w:color="auto" w:val="clear"/>
        <w:spacing w:after="40" w:before="20" w:line="260"/>
      </w:pPr>
      <w:r>
        <w:rPr>
          <w:rFonts w:ascii="Consolas" w:cs="Consolas" w:eastAsia="Consolas" w:hAnsi="Consolas"/>
          <w:color w:val="0E1B22"/>
          <w:sz w:val="18"/>
          <w:szCs w:val="18"/>
        </w:rPr>
        <w:t xml:space="preserve">Voice AI that resolves, not just responds.</w:t>
      </w:r>
    </w:p>
    <w:p>
      <w:pPr>
        <w:pBdr>
          <w:left w:val="single" w:color="D6E0E1" w:sz="10" w:space="8"/>
        </w:pBdr>
        <w:shd w:fill="F2F5F5" w:color="auto" w:val="clear"/>
        <w:spacing w:after="40" w:before="20" w:line="260"/>
      </w:pPr>
      <w:r>
        <w:rPr>
          <w:rFonts w:ascii="Consolas" w:cs="Consolas" w:eastAsia="Consolas" w:hAnsi="Consolas"/>
          <w:color w:val="0E1B22"/>
          <w:sz w:val="18"/>
          <w:szCs w:val="18"/>
        </w:rPr>
        <w:t xml:space="preserve">Voice AI agents that finish the call.</w:t>
      </w:r>
    </w:p>
    <w:p>
      <w:pPr>
        <w:spacing w:after="40"/>
      </w:pPr>
      <w:r>
        <w:t xml:space="preserve"/>
      </w:r>
    </w:p>
    <w:p>
      <w:pPr>
        <w:pStyle w:val="Heading3"/>
        <w:spacing w:after="70" w:before="170"/>
      </w:pPr>
      <w:r>
        <w:rPr>
          <w:color w:val="0C8577"/>
        </w:rPr>
        <w:t xml:space="preserve">One-liner (≤ 90 chars)</w:t>
      </w:r>
    </w:p>
    <w:p>
      <w:pPr>
        <w:pBdr>
          <w:left w:val="single" w:color="D6E0E1" w:sz="10" w:space="8"/>
        </w:pBdr>
        <w:shd w:fill="F2F5F5" w:color="auto" w:val="clear"/>
        <w:spacing w:after="40" w:before="20" w:line="260"/>
      </w:pPr>
      <w:r>
        <w:rPr>
          <w:rFonts w:ascii="Consolas" w:cs="Consolas" w:eastAsia="Consolas" w:hAnsi="Consolas"/>
          <w:color w:val="0E1B22"/>
          <w:sz w:val="18"/>
          <w:szCs w:val="18"/>
        </w:rPr>
        <w:t xml:space="preserve">Enterprise voice AI agents that resolve complex, regulated calls end to end.</w:t>
      </w:r>
    </w:p>
    <w:p>
      <w:pPr>
        <w:spacing w:after="120"/>
      </w:pPr>
      <w:r>
        <w:rPr>
          <w:b/>
          <w:bCs/>
          <w:color w:val="0C8577"/>
          <w:sz w:val="16"/>
          <w:szCs w:val="16"/>
        </w:rPr>
        <w:t xml:space="preserve">One-liner  </w:t>
      </w:r>
      <w:r>
        <w:rPr>
          <w:i/>
          <w:iCs/>
          <w:color w:val="52646A"/>
          <w:sz w:val="16"/>
          <w:szCs w:val="16"/>
        </w:rPr>
        <w:t xml:space="preserve">(≈ 76 chars)</w:t>
      </w:r>
    </w:p>
    <w:p>
      <w:pPr>
        <w:pStyle w:val="Heading3"/>
        <w:spacing w:after="70" w:before="170"/>
      </w:pPr>
      <w:r>
        <w:rPr>
          <w:color w:val="0C8577"/>
        </w:rPr>
        <w:t xml:space="preserve">Meta / short description (≈ 150/160 chars)</w:t>
      </w:r>
    </w:p>
    <w:p>
      <w:pPr>
        <w:pBdr>
          <w:left w:val="single" w:color="D6E0E1" w:sz="10" w:space="8"/>
        </w:pBdr>
        <w:shd w:fill="F2F5F5" w:color="auto" w:val="clear"/>
        <w:spacing w:after="40" w:before="20" w:line="260"/>
      </w:pPr>
      <w:r>
        <w:rPr>
          <w:rFonts w:ascii="Consolas" w:cs="Consolas" w:eastAsia="Consolas" w:hAnsi="Consolas"/>
          <w:color w:val="0E1B22"/>
          <w:sz w:val="18"/>
          <w:szCs w:val="18"/>
        </w:rPr>
        <w:t xml:space="preserve">Trillet's voice AI agents resolve high-stakes, regulated conversations end to end: they verify identity, act in your systems of record, and close the loop.</w:t>
      </w:r>
    </w:p>
    <w:p>
      <w:pPr>
        <w:spacing w:after="120"/>
      </w:pPr>
      <w:r>
        <w:rPr>
          <w:b/>
          <w:bCs/>
          <w:color w:val="0C8577"/>
          <w:sz w:val="16"/>
          <w:szCs w:val="16"/>
        </w:rPr>
        <w:t xml:space="preserve">Meta  </w:t>
      </w:r>
      <w:r>
        <w:rPr>
          <w:i/>
          <w:iCs/>
          <w:color w:val="52646A"/>
          <w:sz w:val="16"/>
          <w:szCs w:val="16"/>
        </w:rPr>
        <w:t xml:space="preserve">(≈ 155 chars)</w:t>
      </w:r>
    </w:p>
    <w:p>
      <w:pPr>
        <w:pStyle w:val="Heading3"/>
        <w:spacing w:after="70" w:before="170"/>
      </w:pPr>
      <w:r>
        <w:rPr>
          <w:color w:val="0C8577"/>
        </w:rPr>
        <w:t xml:space="preserve">Medium description (≈ 250 chars)</w:t>
      </w:r>
    </w:p>
    <w:p>
      <w:pPr>
        <w:pBdr>
          <w:left w:val="single" w:color="D6E0E1" w:sz="10" w:space="8"/>
        </w:pBdr>
        <w:shd w:fill="F2F5F5" w:color="auto" w:val="clear"/>
        <w:spacing w:after="40" w:before="20" w:line="260"/>
      </w:pPr>
      <w:r>
        <w:rPr>
          <w:rFonts w:ascii="Consolas" w:cs="Consolas" w:eastAsia="Consolas" w:hAnsi="Consolas"/>
          <w:color w:val="0E1B22"/>
          <w:sz w:val="18"/>
          <w:szCs w:val="18"/>
        </w:rPr>
        <w:t xml:space="preserve">Trillet is an enterprise voice AI platform for high-stakes, regulated conversations. Its voice AI agents verify a caller's identity, act inside your systems of record, take payments and bookings, and follow through across voice, SMS, chat and email, with a full audit trail.</w:t>
      </w:r>
    </w:p>
    <w:p>
      <w:pPr>
        <w:spacing w:after="120"/>
      </w:pPr>
      <w:r>
        <w:rPr>
          <w:b/>
          <w:bCs/>
          <w:color w:val="0C8577"/>
          <w:sz w:val="16"/>
          <w:szCs w:val="16"/>
        </w:rPr>
        <w:t xml:space="preserve">Medium  </w:t>
      </w:r>
      <w:r>
        <w:rPr>
          <w:i/>
          <w:iCs/>
          <w:color w:val="52646A"/>
          <w:sz w:val="16"/>
          <w:szCs w:val="16"/>
        </w:rPr>
        <w:t xml:space="preserve">(≈ 274 chars)</w:t>
      </w:r>
    </w:p>
    <w:p>
      <w:pPr>
        <w:pStyle w:val="Heading3"/>
        <w:spacing w:after="70" w:before="170"/>
      </w:pPr>
      <w:r>
        <w:rPr>
          <w:color w:val="0C8577"/>
        </w:rPr>
        <w:t xml:space="preserve">Standard description (≈ 500 chars)</w:t>
      </w:r>
    </w:p>
    <w:p>
      <w:pPr>
        <w:pBdr>
          <w:left w:val="single" w:color="D6E0E1" w:sz="10" w:space="8"/>
        </w:pBdr>
        <w:shd w:fill="F2F5F5" w:color="auto" w:val="clear"/>
        <w:spacing w:after="40" w:before="20" w:line="260"/>
      </w:pPr>
      <w:r>
        <w:rPr>
          <w:rFonts w:ascii="Consolas" w:cs="Consolas" w:eastAsia="Consolas" w:hAnsi="Consolas"/>
          <w:color w:val="0E1B22"/>
          <w:sz w:val="18"/>
          <w:szCs w:val="18"/>
        </w:rPr>
        <w:t xml:space="preserve">Trillet is an enterprise voice AI platform that resolves high-stakes, regulated conversations from start to finish. Instead of only holding a conversation, Trillet's voice AI agents verify a caller's identity to a compliance standard, act inside your systems of record (CRM, payments, scheduling), and follow through across voice, SMS, chat and email, writing a full audit trail on every interaction. Built for financial services, healthcare, legal, government and utilities, and trusted by 1,200+ businesses. Melbourne-based, globally operated.</w:t>
      </w:r>
    </w:p>
    <w:p>
      <w:pPr>
        <w:spacing w:after="120"/>
      </w:pPr>
      <w:r>
        <w:rPr>
          <w:b/>
          <w:bCs/>
          <w:color w:val="0C8577"/>
          <w:sz w:val="16"/>
          <w:szCs w:val="16"/>
        </w:rPr>
        <w:t xml:space="preserve">Standard  </w:t>
      </w:r>
      <w:r>
        <w:rPr>
          <w:i/>
          <w:iCs/>
          <w:color w:val="52646A"/>
          <w:sz w:val="16"/>
          <w:szCs w:val="16"/>
        </w:rPr>
        <w:t xml:space="preserve">(≈ 545 chars)</w:t>
      </w:r>
    </w:p>
    <w:p>
      <w:pPr>
        <w:pStyle w:val="Heading3"/>
        <w:spacing w:after="70" w:before="170"/>
      </w:pPr>
      <w:r>
        <w:rPr>
          <w:color w:val="0C8577"/>
        </w:rPr>
        <w:t xml:space="preserve">Long description / About (≈ 1,000/1,300 chars, for Crunchbase, G2, TrustRadius)</w:t>
      </w:r>
    </w:p>
    <w:p>
      <w:pPr>
        <w:pBdr>
          <w:left w:val="single" w:color="D6E0E1" w:sz="10" w:space="8"/>
        </w:pBdr>
        <w:shd w:fill="F2F5F5" w:color="auto" w:val="clear"/>
        <w:spacing w:after="40" w:before="20" w:line="260"/>
      </w:pPr>
      <w:r>
        <w:rPr>
          <w:rFonts w:ascii="Consolas" w:cs="Consolas" w:eastAsia="Consolas" w:hAnsi="Consolas"/>
          <w:color w:val="0E1B22"/>
          <w:sz w:val="18"/>
          <w:szCs w:val="18"/>
        </w:rPr>
        <w:t xml:space="preserve">Trillet is an enterprise voice AI platform built for the conversations that carry the most risk. Where conventional voice automation can hold a conversation, Trillet is built to complete one: its voice AI agents authenticate the caller to a compliance standard, act inside the customer's live systems of record such as CRM, practice management, payments and scheduling, take real actions like bookings and payments, and follow through across voice, SMS, chat and email. Every interaction leaves a full audit trail, so authentications and actions can be reviewed afterwards. Trillet is designed for regulated, high-consequence industries including financial services and collections, healthcare, legal, government and utilities, and can be deployed on-premise, in a private cloud, or fully managed, with Australian data residency available. The platform supports SOC 2 Type II, ISO 27001, HIPAA, GDPR, TCPA and ACMA requirements. Founded in 2024 and based in Melbourne, Australia, Trillet is trusted by more than 1,200 businesses and holds a 4.6 rating on Trustpilot. It is led by CEO Rob Petreski and co-founders Laurence Latin (CTO) and Ming Xu (COO).</w:t>
      </w:r>
    </w:p>
    <w:p>
      <w:pPr>
        <w:spacing w:after="120"/>
      </w:pPr>
      <w:r>
        <w:rPr>
          <w:b/>
          <w:bCs/>
          <w:color w:val="0C8577"/>
          <w:sz w:val="16"/>
          <w:szCs w:val="16"/>
        </w:rPr>
        <w:t xml:space="preserve">Long / About  </w:t>
      </w:r>
      <w:r>
        <w:rPr>
          <w:i/>
          <w:iCs/>
          <w:color w:val="52646A"/>
          <w:sz w:val="16"/>
          <w:szCs w:val="16"/>
        </w:rPr>
        <w:t xml:space="preserve">(≈ 1152 chars)</w:t>
      </w:r>
    </w:p>
    <w:p>
      <w:pPr>
        <w:pStyle w:val="Heading3"/>
        <w:spacing w:after="70" w:before="170"/>
      </w:pPr>
      <w:r>
        <w:rPr>
          <w:color w:val="0C8577"/>
        </w:rPr>
        <w:t xml:space="preserve">Press boilerplate (“About Trillet” for releases and media listings)</w:t>
      </w:r>
    </w:p>
    <w:p>
      <w:pPr>
        <w:pBdr>
          <w:left w:val="single" w:color="D6E0E1" w:sz="10" w:space="8"/>
        </w:pBdr>
        <w:shd w:fill="F2F5F5" w:color="auto" w:val="clear"/>
        <w:spacing w:after="40" w:before="20" w:line="260"/>
      </w:pPr>
      <w:r>
        <w:rPr>
          <w:rFonts w:ascii="Consolas" w:cs="Consolas" w:eastAsia="Consolas" w:hAnsi="Consolas"/>
          <w:color w:val="0E1B22"/>
          <w:sz w:val="18"/>
          <w:szCs w:val="18"/>
        </w:rPr>
        <w:t xml:space="preserve">Trillet is a Melbourne-based enterprise voice AI company. Its voice AI agents resolve high-stakes, regulated conversations end to end across voice, SMS, chat and email, verifying identity, acting inside customers' systems of record, and producing a full audit trail. Trillet serves regulated industries including financial services, healthcare, legal, government and utilities, and is trusted by more than 1,200 businesses. Founded in 2024, Trillet is proudly Australian and globally operated.</w:t>
      </w:r>
    </w:p>
    <w:p>
      <w:pPr>
        <w:spacing w:after="120"/>
      </w:pPr>
      <w:r>
        <w:rPr>
          <w:b/>
          <w:bCs/>
          <w:color w:val="0C8577"/>
          <w:sz w:val="16"/>
          <w:szCs w:val="16"/>
        </w:rPr>
        <w:t xml:space="preserve">Boilerplate  </w:t>
      </w:r>
      <w:r>
        <w:rPr>
          <w:i/>
          <w:iCs/>
          <w:color w:val="52646A"/>
          <w:sz w:val="16"/>
          <w:szCs w:val="16"/>
        </w:rPr>
        <w:t xml:space="preserve">(≈ 493 chars)</w:t>
      </w:r>
    </w:p>
    <w:p>
      <w:pPr>
        <w:pBdr>
          <w:left w:val="single" w:color="0C8577" w:sz="18" w:space="8"/>
        </w:pBdr>
        <w:shd w:fill="FBEEDB" w:color="auto" w:val="clear"/>
        <w:spacing w:after="140" w:before="60" w:line="264"/>
      </w:pPr>
      <w:r>
        <w:rPr>
          <w:b/>
          <w:bCs/>
          <w:color w:val="0C8577"/>
        </w:rPr>
        <w:t xml:space="preserve">CONFIRM  </w:t>
      </w:r>
      <w:r>
        <w:t xml:space="preserve">The metrics used above (1,200+ businesses, 7M+ calls, 4.6 Trustpilot) and the compliance list are taken from Trillet's own site. Verify each is current and which certifications are held vs in progress before publishing to third parties. Directory listings are public and hard to retract.</w:t>
      </w:r>
    </w:p>
    <w:p>
      <w:r>
        <w:br w:type="page"/>
      </w:r>
    </w:p>
    <w:p>
      <w:pPr>
        <w:pStyle w:val="Heading1"/>
        <w:spacing w:after="140" w:before="320"/>
      </w:pPr>
      <w:r>
        <w:rPr>
          <w:color w:val="0E1B22"/>
        </w:rPr>
        <w:t xml:space="preserve">3 · Categories, tags &amp; keywords</w:t>
      </w:r>
    </w:p>
    <w:p>
      <w:pPr>
        <w:spacing w:after="120" w:line="276"/>
      </w:pPr>
      <w:r>
        <w:t xml:space="preserve">Most directories ask you to pick one primary category, a few secondary categories, and free-form tags. Use these consistently.</w:t>
      </w:r>
    </w:p>
    <w:p>
      <w:pPr>
        <w:pStyle w:val="Heading3"/>
        <w:spacing w:after="70" w:before="170"/>
      </w:pPr>
      <w:r>
        <w:rPr>
          <w:color w:val="0C8577"/>
        </w:rPr>
        <w:t xml:space="preserve">Primary category</w:t>
      </w:r>
    </w:p>
    <w:p>
      <w:pPr>
        <w:pStyle w:val="ListParagraph"/>
        <w:numPr>
          <w:ilvl w:val="0"/>
          <w:numId w:val="1"/>
        </w:numPr>
        <w:spacing w:after="60" w:line="264"/>
      </w:pPr>
      <w:r>
        <w:t xml:space="preserve">Conversational AI / Voice AI</w:t>
      </w:r>
    </w:p>
    <w:p>
      <w:pPr>
        <w:pStyle w:val="Heading3"/>
        <w:spacing w:after="70" w:before="170"/>
      </w:pPr>
      <w:r>
        <w:rPr>
          <w:color w:val="0C8577"/>
        </w:rPr>
        <w:t xml:space="preserve">Secondary categories (pick those a directory offers)</w:t>
      </w:r>
    </w:p>
    <w:p>
      <w:pPr>
        <w:pStyle w:val="ListParagraph"/>
        <w:numPr>
          <w:ilvl w:val="0"/>
          <w:numId w:val="1"/>
        </w:numPr>
        <w:spacing w:after="60" w:line="264"/>
      </w:pPr>
      <w:r>
        <w:t xml:space="preserve">Contact Center / Call Center Software</w:t>
      </w:r>
    </w:p>
    <w:p>
      <w:pPr>
        <w:pStyle w:val="ListParagraph"/>
        <w:numPr>
          <w:ilvl w:val="0"/>
          <w:numId w:val="1"/>
        </w:numPr>
        <w:spacing w:after="60" w:line="264"/>
      </w:pPr>
      <w:r>
        <w:t xml:space="preserve">Call Center Automation</w:t>
      </w:r>
    </w:p>
    <w:p>
      <w:pPr>
        <w:pStyle w:val="ListParagraph"/>
        <w:numPr>
          <w:ilvl w:val="0"/>
          <w:numId w:val="1"/>
        </w:numPr>
        <w:spacing w:after="60" w:line="264"/>
      </w:pPr>
      <w:r>
        <w:t xml:space="preserve">AI Agents / Autonomous Agents</w:t>
      </w:r>
    </w:p>
    <w:p>
      <w:pPr>
        <w:pStyle w:val="ListParagraph"/>
        <w:numPr>
          <w:ilvl w:val="0"/>
          <w:numId w:val="1"/>
        </w:numPr>
        <w:spacing w:after="60" w:line="264"/>
      </w:pPr>
      <w:r>
        <w:t xml:space="preserve">Customer Service &amp; Support Software</w:t>
      </w:r>
    </w:p>
    <w:p>
      <w:pPr>
        <w:pStyle w:val="ListParagraph"/>
        <w:numPr>
          <w:ilvl w:val="0"/>
          <w:numId w:val="1"/>
        </w:numPr>
        <w:spacing w:after="60" w:line="264"/>
      </w:pPr>
      <w:r>
        <w:t xml:space="preserve">Speech Recognition / Text-to-Speech</w:t>
      </w:r>
    </w:p>
    <w:p>
      <w:pPr>
        <w:pStyle w:val="ListParagraph"/>
        <w:numPr>
          <w:ilvl w:val="0"/>
          <w:numId w:val="1"/>
        </w:numPr>
        <w:spacing w:after="60" w:line="264"/>
      </w:pPr>
      <w:r>
        <w:t xml:space="preserve">Sales Engagement / Outbound Calling</w:t>
      </w:r>
    </w:p>
    <w:p>
      <w:pPr>
        <w:pStyle w:val="ListParagraph"/>
        <w:numPr>
          <w:ilvl w:val="0"/>
          <w:numId w:val="1"/>
        </w:numPr>
        <w:spacing w:after="60" w:line="264"/>
      </w:pPr>
      <w:r>
        <w:t xml:space="preserve">Appointment Scheduling</w:t>
      </w:r>
    </w:p>
    <w:p>
      <w:pPr>
        <w:pStyle w:val="Heading3"/>
        <w:spacing w:after="70" w:before="170"/>
      </w:pPr>
      <w:r>
        <w:rPr>
          <w:color w:val="0C8577"/>
        </w:rPr>
        <w:t xml:space="preserve">Tags / keywords (free-form fields, tag pickers)</w:t>
      </w:r>
    </w:p>
    <w:p>
      <w:pPr>
        <w:spacing w:after="120" w:line="276"/>
      </w:pPr>
      <w:r>
        <w:t xml:space="preserve">voice AI agents, voice AI, AI voice agent, AI phone agent, AI receptionist, conversational AI, call center automation, outbound calling, inbound call automation, identity verification, appointment booking AI, payment collection, debt collection automation, HIPAA voice AI, compliance, audit trail, CRM integration, multi-channel (voice, SMS, chat, email), enterprise AI, regulated industries.</w:t>
      </w:r>
    </w:p>
    <w:p>
      <w:pPr>
        <w:pStyle w:val="Heading1"/>
        <w:spacing w:after="140" w:before="320"/>
      </w:pPr>
      <w:r>
        <w:rPr>
          <w:color w:val="0E1B22"/>
        </w:rPr>
        <w:t xml:space="preserve">4 · Feature bullets &amp; integrations</w:t>
      </w:r>
    </w:p>
    <w:p>
      <w:pPr>
        <w:pStyle w:val="Heading3"/>
        <w:spacing w:after="70" w:before="170"/>
      </w:pPr>
      <w:r>
        <w:rPr>
          <w:color w:val="0C8577"/>
        </w:rPr>
        <w:t xml:space="preserve">Key features (for “features” fields and comparison rows)</w:t>
      </w:r>
    </w:p>
    <w:p>
      <w:pPr>
        <w:pStyle w:val="ListParagraph"/>
        <w:numPr>
          <w:ilvl w:val="0"/>
          <w:numId w:val="1"/>
        </w:numPr>
        <w:spacing w:after="60" w:line="264"/>
      </w:pPr>
      <w:r>
        <w:t xml:space="preserve">Identity verification to a compliance standard before any action</w:t>
      </w:r>
    </w:p>
    <w:p>
      <w:pPr>
        <w:pStyle w:val="ListParagraph"/>
        <w:numPr>
          <w:ilvl w:val="0"/>
          <w:numId w:val="1"/>
        </w:numPr>
        <w:spacing w:after="60" w:line="264"/>
      </w:pPr>
      <w:r>
        <w:t xml:space="preserve">Acts inside systems of record: CRM, practice management, payments, scheduling</w:t>
      </w:r>
    </w:p>
    <w:p>
      <w:pPr>
        <w:pStyle w:val="ListParagraph"/>
        <w:numPr>
          <w:ilvl w:val="0"/>
          <w:numId w:val="1"/>
        </w:numPr>
        <w:spacing w:after="60" w:line="264"/>
      </w:pPr>
      <w:r>
        <w:t xml:space="preserve">Real actions in real time: bookings, payments, case and account updates</w:t>
      </w:r>
    </w:p>
    <w:p>
      <w:pPr>
        <w:pStyle w:val="ListParagraph"/>
        <w:numPr>
          <w:ilvl w:val="0"/>
          <w:numId w:val="1"/>
        </w:numPr>
        <w:spacing w:after="60" w:line="264"/>
      </w:pPr>
      <w:r>
        <w:t xml:space="preserve">Multi-channel: voice, SMS, WhatsApp, Messenger and email from one trigger</w:t>
      </w:r>
    </w:p>
    <w:p>
      <w:pPr>
        <w:pStyle w:val="ListParagraph"/>
        <w:numPr>
          <w:ilvl w:val="0"/>
          <w:numId w:val="1"/>
        </w:numPr>
        <w:spacing w:after="60" w:line="264"/>
      </w:pPr>
      <w:r>
        <w:t xml:space="preserve">Human-quality voice with sub-two-second response on live calls</w:t>
      </w:r>
    </w:p>
    <w:p>
      <w:pPr>
        <w:pStyle w:val="ListParagraph"/>
        <w:numPr>
          <w:ilvl w:val="0"/>
          <w:numId w:val="1"/>
        </w:numPr>
        <w:spacing w:after="60" w:line="264"/>
      </w:pPr>
      <w:r>
        <w:t xml:space="preserve">Full audit trail and compliance controls on every interaction</w:t>
      </w:r>
    </w:p>
    <w:p>
      <w:pPr>
        <w:pStyle w:val="ListParagraph"/>
        <w:numPr>
          <w:ilvl w:val="0"/>
          <w:numId w:val="1"/>
        </w:numPr>
        <w:spacing w:after="60" w:line="264"/>
      </w:pPr>
      <w:r>
        <w:t xml:space="preserve">Deploy on-premise, private cloud, or fully managed; Australian data residency</w:t>
      </w:r>
    </w:p>
    <w:p>
      <w:pPr>
        <w:pStyle w:val="ListParagraph"/>
        <w:numPr>
          <w:ilvl w:val="0"/>
          <w:numId w:val="1"/>
        </w:numPr>
        <w:spacing w:after="60" w:line="264"/>
      </w:pPr>
      <w:r>
        <w:t xml:space="preserve">Callback orchestration: schedules callbacks and retries at sensible intervals</w:t>
      </w:r>
    </w:p>
    <w:p>
      <w:pPr>
        <w:pStyle w:val="ListParagraph"/>
        <w:numPr>
          <w:ilvl w:val="0"/>
          <w:numId w:val="1"/>
        </w:numPr>
        <w:spacing w:after="60" w:line="264"/>
      </w:pPr>
      <w:r>
        <w:t xml:space="preserve">White-label, multi-tenant platform; standalone AI receptionist option</w:t>
      </w:r>
    </w:p>
    <w:p>
      <w:pPr>
        <w:pStyle w:val="Heading3"/>
        <w:spacing w:after="70" w:before="170"/>
      </w:pPr>
      <w:r>
        <w:rPr>
          <w:color w:val="0C8577"/>
        </w:rPr>
        <w:t xml:space="preserve">Integrations (for app-marketplace and “works with” fields)</w:t>
      </w:r>
    </w:p>
    <w:p>
      <w:pPr>
        <w:spacing w:after="120" w:line="276"/>
      </w:pPr>
      <w:r>
        <w:t xml:space="preserve">Channels: voice, SMS, WhatsApp, Messenger, email. Connects to CRM, practice-management, payment and scheduling systems. </w:t>
      </w:r>
      <w:r>
        <w:rPr>
          <w:b/>
          <w:bCs/>
          <w:color w:val="0C8577"/>
          <w:sz w:val="16"/>
          <w:szCs w:val="16"/>
        </w:rPr>
        <w:t xml:space="preserve">CONFIRM the named integrations and any partner marketplaces (for example GoHighLevel, HubSpot, Salesforce, Zapier, Twilio) so the kit lists only real ones.</w:t>
      </w:r>
    </w:p>
    <w:p>
      <w:pPr>
        <w:pStyle w:val="Heading1"/>
        <w:spacing w:after="140" w:before="320"/>
      </w:pPr>
      <w:r>
        <w:rPr>
          <w:color w:val="0E1B22"/>
        </w:rPr>
        <w:t xml:space="preserve">5 · Assets to attach</w:t>
      </w:r>
    </w:p>
    <w:p>
      <w:pPr>
        <w:spacing w:after="120" w:line="276"/>
      </w:pPr>
      <w:r>
        <w:t xml:space="preserve">Directories ask for images and sometimes a video. Prepare these once and reuse them.</w:t>
      </w:r>
    </w:p>
    <w:tbl>
      <w:tblPr>
        <w:tblW w:type="dxa" w:w="9200"/>
        <w:tblBorders>
          <w:top w:val="single" w:color="D6E0E1" w:sz="4"/>
          <w:left w:val="single" w:color="D6E0E1" w:sz="4"/>
          <w:bottom w:val="single" w:color="D6E0E1" w:sz="4"/>
          <w:right w:val="single" w:color="D6E0E1" w:sz="4"/>
          <w:insideH w:val="single" w:color="D6E0E1" w:sz="4"/>
          <w:insideV w:val="single" w:color="D6E0E1" w:sz="4"/>
        </w:tblBorders>
      </w:tblPr>
      <w:tblGrid>
        <w:gridCol w:w="3400"/>
        <w:gridCol w:w="4200"/>
        <w:gridCol w:w="1600"/>
      </w:tblGrid>
      <w:tr>
        <w:trPr>
          <w:tblHeader/>
        </w:trPr>
        <w:tc>
          <w:tcPr>
            <w:tcW w:type="dxa" w:w="3400"/>
            <w:shd w:fill="0E1B22" w:color="auto" w:val="clear"/>
            <w:tcMar>
              <w:top w:type="dxa" w:w="60"/>
              <w:left w:type="dxa" w:w="100"/>
              <w:bottom w:type="dxa" w:w="60"/>
              <w:right w:type="dxa" w:w="100"/>
            </w:tcMar>
          </w:tcPr>
          <w:p>
            <w:r>
              <w:rPr>
                <w:b/>
                <w:bCs/>
                <w:color w:val="FFFFFF"/>
                <w:sz w:val="17"/>
                <w:szCs w:val="17"/>
              </w:rPr>
              <w:t xml:space="preserve">Asset</w:t>
            </w:r>
          </w:p>
        </w:tc>
        <w:tc>
          <w:tcPr>
            <w:tcW w:type="dxa" w:w="4200"/>
            <w:shd w:fill="0E1B22" w:color="auto" w:val="clear"/>
            <w:tcMar>
              <w:top w:type="dxa" w:w="60"/>
              <w:left w:type="dxa" w:w="100"/>
              <w:bottom w:type="dxa" w:w="60"/>
              <w:right w:type="dxa" w:w="100"/>
            </w:tcMar>
          </w:tcPr>
          <w:p>
            <w:r>
              <w:rPr>
                <w:b/>
                <w:bCs/>
                <w:color w:val="FFFFFF"/>
                <w:sz w:val="17"/>
                <w:szCs w:val="17"/>
              </w:rPr>
              <w:t xml:space="preserve">Spec</w:t>
            </w:r>
          </w:p>
        </w:tc>
        <w:tc>
          <w:tcPr>
            <w:tcW w:type="dxa" w:w="1600"/>
            <w:shd w:fill="0E1B22" w:color="auto" w:val="clear"/>
            <w:tcMar>
              <w:top w:type="dxa" w:w="60"/>
              <w:left w:type="dxa" w:w="100"/>
              <w:bottom w:type="dxa" w:w="60"/>
              <w:right w:type="dxa" w:w="100"/>
            </w:tcMar>
          </w:tcPr>
          <w:p>
            <w:r>
              <w:rPr>
                <w:b/>
                <w:bCs/>
                <w:color w:val="FFFFFF"/>
                <w:sz w:val="17"/>
                <w:szCs w:val="17"/>
              </w:rPr>
              <w:t xml:space="preserve">Status</w:t>
            </w:r>
          </w:p>
        </w:tc>
      </w:tr>
      <w:tr>
        <w:tc>
          <w:tcPr>
            <w:tcW w:type="dxa" w:w="3400"/>
            <w:tcMar>
              <w:top w:type="dxa" w:w="50"/>
              <w:left w:type="dxa" w:w="100"/>
              <w:bottom w:type="dxa" w:w="50"/>
              <w:right w:type="dxa" w:w="100"/>
            </w:tcMar>
          </w:tcPr>
          <w:p>
            <w:pPr>
              <w:spacing w:line="250"/>
            </w:pPr>
            <w:r>
              <w:rPr>
                <w:sz w:val="18"/>
                <w:szCs w:val="18"/>
              </w:rPr>
              <w:t xml:space="preserve">Logo (square)</w:t>
            </w:r>
          </w:p>
        </w:tc>
        <w:tc>
          <w:tcPr>
            <w:tcW w:type="dxa" w:w="4200"/>
            <w:tcMar>
              <w:top w:type="dxa" w:w="50"/>
              <w:left w:type="dxa" w:w="100"/>
              <w:bottom w:type="dxa" w:w="50"/>
              <w:right w:type="dxa" w:w="100"/>
            </w:tcMar>
          </w:tcPr>
          <w:p>
            <w:pPr>
              <w:spacing w:line="250"/>
            </w:pPr>
            <w:r>
              <w:rPr>
                <w:sz w:val="18"/>
                <w:szCs w:val="18"/>
              </w:rPr>
              <w:t xml:space="preserve">512×512 PNG, transparent</w:t>
            </w:r>
          </w:p>
        </w:tc>
        <w:tc>
          <w:tcPr>
            <w:tcW w:type="dxa" w:w="1600"/>
            <w:tcMar>
              <w:top w:type="dxa" w:w="50"/>
              <w:left w:type="dxa" w:w="100"/>
              <w:bottom w:type="dxa" w:w="50"/>
              <w:right w:type="dxa" w:w="100"/>
            </w:tcMar>
          </w:tcPr>
          <w:p>
            <w:pPr>
              <w:spacing w:line="250"/>
            </w:pPr>
            <w:r>
              <w:rPr>
                <w:b/>
                <w:bCs/>
                <w:color w:val="0C8577"/>
                <w:sz w:val="16"/>
                <w:szCs w:val="16"/>
              </w:rPr>
              <w:t xml:space="preserve">ASSET</w:t>
            </w:r>
          </w:p>
        </w:tc>
      </w:tr>
      <w:tr>
        <w:tc>
          <w:tcPr>
            <w:tcW w:type="dxa" w:w="3400"/>
            <w:tcMar>
              <w:top w:type="dxa" w:w="50"/>
              <w:left w:type="dxa" w:w="100"/>
              <w:bottom w:type="dxa" w:w="50"/>
              <w:right w:type="dxa" w:w="100"/>
            </w:tcMar>
          </w:tcPr>
          <w:p>
            <w:pPr>
              <w:spacing w:line="250"/>
            </w:pPr>
            <w:r>
              <w:rPr>
                <w:sz w:val="18"/>
                <w:szCs w:val="18"/>
              </w:rPr>
              <w:t xml:space="preserve">Logo (horizontal)</w:t>
            </w:r>
          </w:p>
        </w:tc>
        <w:tc>
          <w:tcPr>
            <w:tcW w:type="dxa" w:w="4200"/>
            <w:tcMar>
              <w:top w:type="dxa" w:w="50"/>
              <w:left w:type="dxa" w:w="100"/>
              <w:bottom w:type="dxa" w:w="50"/>
              <w:right w:type="dxa" w:w="100"/>
            </w:tcMar>
          </w:tcPr>
          <w:p>
            <w:pPr>
              <w:spacing w:line="250"/>
            </w:pPr>
            <w:r>
              <w:rPr>
                <w:sz w:val="18"/>
                <w:szCs w:val="18"/>
              </w:rPr>
              <w:t xml:space="preserve">SVG + PNG, transparent</w:t>
            </w:r>
          </w:p>
        </w:tc>
        <w:tc>
          <w:tcPr>
            <w:tcW w:type="dxa" w:w="1600"/>
            <w:tcMar>
              <w:top w:type="dxa" w:w="50"/>
              <w:left w:type="dxa" w:w="100"/>
              <w:bottom w:type="dxa" w:w="50"/>
              <w:right w:type="dxa" w:w="100"/>
            </w:tcMar>
          </w:tcPr>
          <w:p>
            <w:pPr>
              <w:spacing w:line="250"/>
            </w:pPr>
            <w:r>
              <w:rPr>
                <w:b/>
                <w:bCs/>
                <w:color w:val="0C8577"/>
                <w:sz w:val="16"/>
                <w:szCs w:val="16"/>
              </w:rPr>
              <w:t xml:space="preserve">ASSET</w:t>
            </w:r>
          </w:p>
        </w:tc>
      </w:tr>
      <w:tr>
        <w:tc>
          <w:tcPr>
            <w:tcW w:type="dxa" w:w="3400"/>
            <w:tcMar>
              <w:top w:type="dxa" w:w="50"/>
              <w:left w:type="dxa" w:w="100"/>
              <w:bottom w:type="dxa" w:w="50"/>
              <w:right w:type="dxa" w:w="100"/>
            </w:tcMar>
          </w:tcPr>
          <w:p>
            <w:pPr>
              <w:spacing w:line="250"/>
            </w:pPr>
            <w:r>
              <w:rPr>
                <w:sz w:val="18"/>
                <w:szCs w:val="18"/>
              </w:rPr>
              <w:t xml:space="preserve">Icon / favicon</w:t>
            </w:r>
          </w:p>
        </w:tc>
        <w:tc>
          <w:tcPr>
            <w:tcW w:type="dxa" w:w="4200"/>
            <w:tcMar>
              <w:top w:type="dxa" w:w="50"/>
              <w:left w:type="dxa" w:w="100"/>
              <w:bottom w:type="dxa" w:w="50"/>
              <w:right w:type="dxa" w:w="100"/>
            </w:tcMar>
          </w:tcPr>
          <w:p>
            <w:pPr>
              <w:spacing w:line="250"/>
            </w:pPr>
            <w:r>
              <w:rPr>
                <w:sz w:val="18"/>
                <w:szCs w:val="18"/>
              </w:rPr>
              <w:t xml:space="preserve">256×256 PNG</w:t>
            </w:r>
          </w:p>
        </w:tc>
        <w:tc>
          <w:tcPr>
            <w:tcW w:type="dxa" w:w="1600"/>
            <w:tcMar>
              <w:top w:type="dxa" w:w="50"/>
              <w:left w:type="dxa" w:w="100"/>
              <w:bottom w:type="dxa" w:w="50"/>
              <w:right w:type="dxa" w:w="100"/>
            </w:tcMar>
          </w:tcPr>
          <w:p>
            <w:pPr>
              <w:spacing w:line="250"/>
            </w:pPr>
            <w:r>
              <w:rPr>
                <w:b/>
                <w:bCs/>
                <w:color w:val="0C8577"/>
                <w:sz w:val="16"/>
                <w:szCs w:val="16"/>
              </w:rPr>
              <w:t xml:space="preserve">ASSET</w:t>
            </w:r>
          </w:p>
        </w:tc>
      </w:tr>
      <w:tr>
        <w:tc>
          <w:tcPr>
            <w:tcW w:type="dxa" w:w="3400"/>
            <w:tcMar>
              <w:top w:type="dxa" w:w="50"/>
              <w:left w:type="dxa" w:w="100"/>
              <w:bottom w:type="dxa" w:w="50"/>
              <w:right w:type="dxa" w:w="100"/>
            </w:tcMar>
          </w:tcPr>
          <w:p>
            <w:pPr>
              <w:spacing w:line="250"/>
            </w:pPr>
            <w:r>
              <w:rPr>
                <w:sz w:val="18"/>
                <w:szCs w:val="18"/>
              </w:rPr>
              <w:t xml:space="preserve">Screenshots</w:t>
            </w:r>
          </w:p>
        </w:tc>
        <w:tc>
          <w:tcPr>
            <w:tcW w:type="dxa" w:w="4200"/>
            <w:tcMar>
              <w:top w:type="dxa" w:w="50"/>
              <w:left w:type="dxa" w:w="100"/>
              <w:bottom w:type="dxa" w:w="50"/>
              <w:right w:type="dxa" w:w="100"/>
            </w:tcMar>
          </w:tcPr>
          <w:p>
            <w:pPr>
              <w:spacing w:line="250"/>
            </w:pPr>
            <w:r>
              <w:rPr>
                <w:sz w:val="18"/>
                <w:szCs w:val="18"/>
              </w:rPr>
              <w:t xml:space="preserve">3/5, 1280×800 PNG</w:t>
            </w:r>
          </w:p>
        </w:tc>
        <w:tc>
          <w:tcPr>
            <w:tcW w:type="dxa" w:w="1600"/>
            <w:tcMar>
              <w:top w:type="dxa" w:w="50"/>
              <w:left w:type="dxa" w:w="100"/>
              <w:bottom w:type="dxa" w:w="50"/>
              <w:right w:type="dxa" w:w="100"/>
            </w:tcMar>
          </w:tcPr>
          <w:p>
            <w:pPr>
              <w:spacing w:line="250"/>
            </w:pPr>
            <w:r>
              <w:rPr>
                <w:b/>
                <w:bCs/>
                <w:color w:val="0C8577"/>
                <w:sz w:val="16"/>
                <w:szCs w:val="16"/>
              </w:rPr>
              <w:t xml:space="preserve">ASSET</w:t>
            </w:r>
          </w:p>
        </w:tc>
      </w:tr>
      <w:tr>
        <w:tc>
          <w:tcPr>
            <w:tcW w:type="dxa" w:w="3400"/>
            <w:tcMar>
              <w:top w:type="dxa" w:w="50"/>
              <w:left w:type="dxa" w:w="100"/>
              <w:bottom w:type="dxa" w:w="50"/>
              <w:right w:type="dxa" w:w="100"/>
            </w:tcMar>
          </w:tcPr>
          <w:p>
            <w:pPr>
              <w:spacing w:line="250"/>
            </w:pPr>
            <w:r>
              <w:rPr>
                <w:sz w:val="18"/>
                <w:szCs w:val="18"/>
              </w:rPr>
              <w:t xml:space="preserve">Social / OG image</w:t>
            </w:r>
          </w:p>
        </w:tc>
        <w:tc>
          <w:tcPr>
            <w:tcW w:type="dxa" w:w="4200"/>
            <w:tcMar>
              <w:top w:type="dxa" w:w="50"/>
              <w:left w:type="dxa" w:w="100"/>
              <w:bottom w:type="dxa" w:w="50"/>
              <w:right w:type="dxa" w:w="100"/>
            </w:tcMar>
          </w:tcPr>
          <w:p>
            <w:pPr>
              <w:spacing w:line="250"/>
            </w:pPr>
            <w:r>
              <w:rPr>
                <w:sz w:val="18"/>
                <w:szCs w:val="18"/>
              </w:rPr>
              <w:t xml:space="preserve">1200×630 PNG</w:t>
            </w:r>
          </w:p>
        </w:tc>
        <w:tc>
          <w:tcPr>
            <w:tcW w:type="dxa" w:w="1600"/>
            <w:tcMar>
              <w:top w:type="dxa" w:w="50"/>
              <w:left w:type="dxa" w:w="100"/>
              <w:bottom w:type="dxa" w:w="50"/>
              <w:right w:type="dxa" w:w="100"/>
            </w:tcMar>
          </w:tcPr>
          <w:p>
            <w:pPr>
              <w:spacing w:line="250"/>
            </w:pPr>
            <w:r>
              <w:rPr>
                <w:b/>
                <w:bCs/>
                <w:color w:val="0C8577"/>
                <w:sz w:val="16"/>
                <w:szCs w:val="16"/>
              </w:rPr>
              <w:t xml:space="preserve">ASSET</w:t>
            </w:r>
          </w:p>
        </w:tc>
      </w:tr>
      <w:tr>
        <w:tc>
          <w:tcPr>
            <w:tcW w:type="dxa" w:w="3400"/>
            <w:tcMar>
              <w:top w:type="dxa" w:w="50"/>
              <w:left w:type="dxa" w:w="100"/>
              <w:bottom w:type="dxa" w:w="50"/>
              <w:right w:type="dxa" w:w="100"/>
            </w:tcMar>
          </w:tcPr>
          <w:p>
            <w:pPr>
              <w:spacing w:line="250"/>
            </w:pPr>
            <w:r>
              <w:rPr>
                <w:sz w:val="18"/>
                <w:szCs w:val="18"/>
              </w:rPr>
              <w:t xml:space="preserve">Demo video</w:t>
            </w:r>
          </w:p>
        </w:tc>
        <w:tc>
          <w:tcPr>
            <w:tcW w:type="dxa" w:w="4200"/>
            <w:tcMar>
              <w:top w:type="dxa" w:w="50"/>
              <w:left w:type="dxa" w:w="100"/>
              <w:bottom w:type="dxa" w:w="50"/>
              <w:right w:type="dxa" w:w="100"/>
            </w:tcMar>
          </w:tcPr>
          <w:p>
            <w:pPr>
              <w:spacing w:line="250"/>
            </w:pPr>
            <w:r>
              <w:rPr>
                <w:sz w:val="18"/>
                <w:szCs w:val="18"/>
              </w:rPr>
              <w:t xml:space="preserve">60/90s, YouTube link</w:t>
            </w:r>
          </w:p>
        </w:tc>
        <w:tc>
          <w:tcPr>
            <w:tcW w:type="dxa" w:w="1600"/>
            <w:tcMar>
              <w:top w:type="dxa" w:w="50"/>
              <w:left w:type="dxa" w:w="100"/>
              <w:bottom w:type="dxa" w:w="50"/>
              <w:right w:type="dxa" w:w="100"/>
            </w:tcMar>
          </w:tcPr>
          <w:p>
            <w:pPr>
              <w:spacing w:line="250"/>
            </w:pPr>
            <w:r>
              <w:rPr>
                <w:b/>
                <w:bCs/>
                <w:color w:val="0C8577"/>
                <w:sz w:val="16"/>
                <w:szCs w:val="16"/>
              </w:rPr>
              <w:t xml:space="preserve">ASSET / CONFIRM</w:t>
            </w:r>
          </w:p>
        </w:tc>
      </w:tr>
      <w:tr>
        <w:tc>
          <w:tcPr>
            <w:tcW w:type="dxa" w:w="3400"/>
            <w:tcMar>
              <w:top w:type="dxa" w:w="50"/>
              <w:left w:type="dxa" w:w="100"/>
              <w:bottom w:type="dxa" w:w="50"/>
              <w:right w:type="dxa" w:w="100"/>
            </w:tcMar>
          </w:tcPr>
          <w:p>
            <w:pPr>
              <w:spacing w:line="250"/>
            </w:pPr>
            <w:r>
              <w:rPr>
                <w:sz w:val="18"/>
                <w:szCs w:val="18"/>
              </w:rPr>
              <w:t xml:space="preserve">Founder headshots</w:t>
            </w:r>
          </w:p>
        </w:tc>
        <w:tc>
          <w:tcPr>
            <w:tcW w:type="dxa" w:w="4200"/>
            <w:tcMar>
              <w:top w:type="dxa" w:w="50"/>
              <w:left w:type="dxa" w:w="100"/>
              <w:bottom w:type="dxa" w:w="50"/>
              <w:right w:type="dxa" w:w="100"/>
            </w:tcMar>
          </w:tcPr>
          <w:p>
            <w:pPr>
              <w:spacing w:line="250"/>
            </w:pPr>
            <w:r>
              <w:rPr>
                <w:sz w:val="18"/>
                <w:szCs w:val="18"/>
              </w:rPr>
              <w:t xml:space="preserve">square, ≥600×600</w:t>
            </w:r>
          </w:p>
        </w:tc>
        <w:tc>
          <w:tcPr>
            <w:tcW w:type="dxa" w:w="1600"/>
            <w:tcMar>
              <w:top w:type="dxa" w:w="50"/>
              <w:left w:type="dxa" w:w="100"/>
              <w:bottom w:type="dxa" w:w="50"/>
              <w:right w:type="dxa" w:w="100"/>
            </w:tcMar>
          </w:tcPr>
          <w:p>
            <w:pPr>
              <w:spacing w:line="250"/>
            </w:pPr>
            <w:r>
              <w:rPr>
                <w:b/>
                <w:bCs/>
                <w:color w:val="0C8577"/>
                <w:sz w:val="16"/>
                <w:szCs w:val="16"/>
              </w:rPr>
              <w:t xml:space="preserve">ASSET</w:t>
            </w:r>
          </w:p>
        </w:tc>
      </w:tr>
    </w:tbl>
    <w:p>
      <w:r>
        <w:br w:type="page"/>
      </w:r>
    </w:p>
    <w:p>
      <w:pPr>
        <w:pStyle w:val="Heading1"/>
        <w:spacing w:after="140" w:before="320"/>
      </w:pPr>
      <w:r>
        <w:rPr>
          <w:color w:val="0E1B22"/>
        </w:rPr>
        <w:t xml:space="preserve">6 · Consistency &amp; best-practice rules</w:t>
      </w:r>
    </w:p>
    <w:p>
      <w:pPr>
        <w:pStyle w:val="ListParagraph"/>
        <w:numPr>
          <w:ilvl w:val="0"/>
          <w:numId w:val="1"/>
        </w:numPr>
        <w:spacing w:after="60" w:line="264"/>
      </w:pPr>
      <w:r>
        <w:rPr>
          <w:b/>
          <w:bCs/>
        </w:rPr>
        <w:t xml:space="preserve">Identical NAP everywhere. </w:t>
      </w:r>
      <w:r>
        <w:t xml:space="preserve">Name, address and phone must match §1 character-for-character across every listing; inconsistency dilutes the trust signal.</w:t>
      </w:r>
    </w:p>
    <w:p>
      <w:pPr>
        <w:pStyle w:val="ListParagraph"/>
        <w:numPr>
          <w:ilvl w:val="0"/>
          <w:numId w:val="1"/>
        </w:numPr>
        <w:spacing w:after="60" w:line="264"/>
      </w:pPr>
      <w:r>
        <w:rPr>
          <w:b/>
          <w:bCs/>
        </w:rPr>
        <w:t xml:space="preserve">One canonical URL. </w:t>
      </w:r>
      <w:r>
        <w:t xml:space="preserve">Always link to https://www.trillet.ai (the chosen host). Add UTM tags only where a directory allows tracked links.</w:t>
      </w:r>
    </w:p>
    <w:p>
      <w:pPr>
        <w:pStyle w:val="ListParagraph"/>
        <w:numPr>
          <w:ilvl w:val="0"/>
          <w:numId w:val="1"/>
        </w:numPr>
        <w:spacing w:after="60" w:line="264"/>
      </w:pPr>
      <w:r>
        <w:rPr>
          <w:b/>
          <w:bCs/>
        </w:rPr>
        <w:t xml:space="preserve">Claim before you create. </w:t>
      </w:r>
      <w:r>
        <w:t xml:space="preserve">Search each platform first; claim an existing auto-generated profile rather than creating a duplicate.</w:t>
      </w:r>
    </w:p>
    <w:p>
      <w:pPr>
        <w:pStyle w:val="ListParagraph"/>
        <w:numPr>
          <w:ilvl w:val="0"/>
          <w:numId w:val="1"/>
        </w:numPr>
        <w:spacing w:after="60" w:line="264"/>
      </w:pPr>
      <w:r>
        <w:rPr>
          <w:b/>
          <w:bCs/>
        </w:rPr>
        <w:t xml:space="preserve">Watch the name collision. </w:t>
      </w:r>
      <w:r>
        <w:t xml:space="preserve">Correct any aggregator that conflates Trillet with “Rillet” or “Triller”, and never repeat the false $50M/$130M funding figures.</w:t>
      </w:r>
    </w:p>
    <w:p>
      <w:pPr>
        <w:pStyle w:val="ListParagraph"/>
        <w:numPr>
          <w:ilvl w:val="0"/>
          <w:numId w:val="1"/>
        </w:numPr>
        <w:spacing w:after="60" w:line="264"/>
      </w:pPr>
      <w:r>
        <w:rPr>
          <w:b/>
          <w:bCs/>
        </w:rPr>
        <w:t xml:space="preserve">Reuse the same copy. </w:t>
      </w:r>
      <w:r>
        <w:t xml:space="preserve">Paste from §2 so the description, category and tags stay consistent; this reinforces one clear entity for search and AI answer engines.</w:t>
      </w:r>
    </w:p>
    <w:p>
      <w:pPr>
        <w:pStyle w:val="ListParagraph"/>
        <w:numPr>
          <w:ilvl w:val="0"/>
          <w:numId w:val="1"/>
        </w:numPr>
        <w:spacing w:after="60" w:line="264"/>
      </w:pPr>
      <w:r>
        <w:rPr>
          <w:b/>
          <w:bCs/>
        </w:rPr>
        <w:t xml:space="preserve">Prefer do-follow, but take both. </w:t>
      </w:r>
      <w:r>
        <w:t xml:space="preserve">Do-follow links pass more authority, but reputable no-follow listings (Crunchbase, G2) still build trust and citations.</w:t>
      </w:r>
    </w:p>
    <w:p>
      <w:pPr>
        <w:pStyle w:val="Heading1"/>
        <w:spacing w:after="140" w:before="320"/>
      </w:pPr>
      <w:r>
        <w:rPr>
          <w:color w:val="0E1B22"/>
        </w:rPr>
        <w:t xml:space="preserve">7 · Confirm before submitting</w:t>
      </w:r>
    </w:p>
    <w:p>
      <w:pPr>
        <w:pStyle w:val="ListParagraph"/>
        <w:numPr>
          <w:ilvl w:val="0"/>
          <w:numId w:val="1"/>
        </w:numPr>
        <w:spacing w:after="70"/>
      </w:pPr>
      <w:r>
        <w:t xml:space="preserve">☐  Listing contact email and phone number for public directories.</w:t>
      </w:r>
    </w:p>
    <w:p>
      <w:pPr>
        <w:pStyle w:val="ListParagraph"/>
        <w:numPr>
          <w:ilvl w:val="0"/>
          <w:numId w:val="1"/>
        </w:numPr>
        <w:spacing w:after="70"/>
      </w:pPr>
      <w:r>
        <w:t xml:space="preserve">☐  Company size band and pricing tiers (entry price, free trial y/n).</w:t>
      </w:r>
    </w:p>
    <w:p>
      <w:pPr>
        <w:pStyle w:val="ListParagraph"/>
        <w:numPr>
          <w:ilvl w:val="0"/>
          <w:numId w:val="1"/>
        </w:numPr>
        <w:spacing w:after="70"/>
      </w:pPr>
      <w:r>
        <w:t xml:space="preserve">☐  Which certifications are held vs in progress (SOC 2, ISO 27001, HIPAA, GDPR, TCPA, ACMA).</w:t>
      </w:r>
    </w:p>
    <w:p>
      <w:pPr>
        <w:pStyle w:val="ListParagraph"/>
        <w:numPr>
          <w:ilvl w:val="0"/>
          <w:numId w:val="1"/>
        </w:numPr>
        <w:spacing w:after="70"/>
      </w:pPr>
      <w:r>
        <w:t xml:space="preserve">☐  Metrics are current and public (1,200+ businesses, 7M+ calls, 4.6 Trustpilot).</w:t>
      </w:r>
    </w:p>
    <w:p>
      <w:pPr>
        <w:pStyle w:val="ListParagraph"/>
        <w:numPr>
          <w:ilvl w:val="0"/>
          <w:numId w:val="1"/>
        </w:numPr>
        <w:spacing w:after="70"/>
      </w:pPr>
      <w:r>
        <w:t xml:space="preserve">☐  Real integrations and any partner marketplaces to list on.</w:t>
      </w:r>
    </w:p>
    <w:p>
      <w:pPr>
        <w:pStyle w:val="ListParagraph"/>
        <w:numPr>
          <w:ilvl w:val="0"/>
          <w:numId w:val="1"/>
        </w:numPr>
        <w:spacing w:after="70"/>
      </w:pPr>
      <w:r>
        <w:t xml:space="preserve">☐  Social handles (X, YouTube, Facebook, Instagram) and GitHub URL.</w:t>
      </w:r>
    </w:p>
    <w:p>
      <w:pPr>
        <w:pStyle w:val="ListParagraph"/>
        <w:numPr>
          <w:ilvl w:val="0"/>
          <w:numId w:val="1"/>
        </w:numPr>
        <w:spacing w:after="70"/>
      </w:pPr>
      <w:r>
        <w:t xml:space="preserve">☐  Logo, screenshots, OG image and (optionally) a demo video.</w:t>
      </w:r>
    </w:p>
    <w:p>
      <w:pPr>
        <w:pStyle w:val="ListParagraph"/>
        <w:numPr>
          <w:ilvl w:val="0"/>
          <w:numId w:val="1"/>
        </w:numPr>
        <w:spacing w:after="70"/>
      </w:pPr>
      <w:r>
        <w:t xml:space="preserve">☐  Customer names are cleared for public display where a listing shows logos.</w:t>
      </w:r>
    </w:p>
    <w:p>
      <w:pPr>
        <w:spacing w:after="120"/>
      </w:pPr>
      <w:r>
        <w:t xml:space="preserve"/>
      </w:r>
    </w:p>
    <w:p>
      <w:pPr>
        <w:spacing w:after="120" w:line="276"/>
      </w:pPr>
      <w:r>
        <w:rPr>
          <w:i/>
          <w:iCs/>
          <w:color w:val="52646A"/>
          <w:sz w:val="18"/>
          <w:szCs w:val="18"/>
        </w:rPr>
        <w:t xml:space="preserve">Provenance: company details drawn from trillet.ai (home, /enterprise, /ai-info), the September 2025 press release, the Trustpilot profile, and the founders' LinkedIn profiles. Directory list reflects standard off-page SEO practice for B2B/AI SaaS. No funding or valuation figures are included, as aggregator data is unreliable due to name collisions.</w:t>
      </w:r>
    </w:p>
    <w:sectPr>
      <w:pgSz w:w="12240" w:h="15840"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B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Bricolage Grotesque" w:cs="Bricolage Grotesque" w:eastAsia="Bricolage Grotesque" w:hAnsi="Bricolage Grotesque"/>
      <w:b/>
      <w:bCs/>
      <w:color w:val="0E1B22"/>
      <w:sz w:val="40"/>
      <w:szCs w:val="40"/>
    </w:rPr>
  </w:style>
  <w:style w:type="paragraph" w:styleId="Heading1">
    <w:name w:val="Heading 1"/>
    <w:basedOn w:val="Normal"/>
    <w:next w:val="Normal"/>
    <w:qFormat/>
    <w:rPr>
      <w:rFonts w:ascii="Bricolage Grotesque" w:cs="Bricolage Grotesque" w:eastAsia="Bricolage Grotesque" w:hAnsi="Bricolage Grotesque"/>
      <w:b/>
      <w:bCs/>
      <w:color w:val="0E1B22"/>
      <w:sz w:val="27"/>
      <w:szCs w:val="27"/>
    </w:rPr>
  </w:style>
  <w:style w:type="paragraph" w:styleId="Heading2">
    <w:name w:val="Heading 2"/>
    <w:basedOn w:val="Normal"/>
    <w:next w:val="Normal"/>
    <w:qFormat/>
    <w:rPr>
      <w:rFonts w:ascii="Bricolage Grotesque" w:cs="Bricolage Grotesque" w:eastAsia="Bricolage Grotesque" w:hAnsi="Bricolage Grotesque"/>
      <w:b/>
      <w:bCs/>
      <w:color w:val="0E1B22"/>
      <w:sz w:val="22"/>
      <w:szCs w:val="22"/>
    </w:rPr>
  </w:style>
  <w:style w:type="paragraph" w:styleId="Heading3">
    <w:name w:val="Heading 3"/>
    <w:basedOn w:val="Normal"/>
    <w:next w:val="Normal"/>
    <w:qFormat/>
    <w:rPr>
      <w:rFonts w:ascii="Bricolage Grotesque" w:cs="Bricolage Grotesque" w:eastAsia="Bricolage Grotesque" w:hAnsi="Bricolage Grotesque"/>
      <w:b/>
      <w:bCs/>
      <w:color w:val="0C8577"/>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Trillet Off-Page &amp; Directory Submission Kit</dc:title>
  <dc:creator>Trillet</dc:creator>
  <cp:lastModifiedBy>Un-named</cp:lastModifiedBy>
  <cp:revision>1</cp:revision>
  <dcterms:created xsi:type="dcterms:W3CDTF">2026-09-16T06:23:31.779Z</dcterms:created>
  <dcterms:modified xsi:type="dcterms:W3CDTF">2026-09-16T06:23:31.791Z</dcterms:modified>
</cp:coreProperties>
</file>

<file path=docProps/custom.xml><?xml version="1.0" encoding="utf-8"?>
<Properties xmlns="http://schemas.openxmlformats.org/officeDocument/2006/custom-properties" xmlns:vt="http://schemas.openxmlformats.org/officeDocument/2006/docPropsVTypes"/>
</file>