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9A6B3F"/>
          <w:spacing w:val="18"/>
          <w:sz w:val="15"/>
          <w:szCs w:val="15"/>
        </w:rPr>
        <w:t xml:space="preserve">TRILLET · FULL-SITE SEO ARCHITECTURE</w:t>
      </w:r>
    </w:p>
    <w:p>
      <w:pPr>
        <w:spacing w:after="70"/>
      </w:pPr>
      <w:r>
        <w:rPr>
          <w:rFonts w:ascii="Georgia" w:cs="Georgia" w:eastAsia="Georgia" w:hAnsi="Georgia"/>
          <w:b/>
          <w:bCs/>
          <w:color w:val="16223C"/>
          <w:sz w:val="35"/>
          <w:szCs w:val="35"/>
        </w:rPr>
        <w:t xml:space="preserve">Sitewide Topical Cluster &amp; Micro-Cluster Map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The whole site, not just white-label. 488 URLs across three product funnels and the content pillars that support them, grouped into clusters and micro-clusters, scored for completeness against intent and competitors. The earlier map covered only the white-label pillar (B below); this places it in context.</w:t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Scope and scoring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24303F"/>
          <w:sz w:val="20"/>
          <w:szCs w:val="20"/>
        </w:rPr>
        <w:t xml:space="preserve">Built from the live sitemap (488 URLs, 422 blog posts) cross-referenced with the 16-month Search Console clusters. Completeness: ● strong · ◐ adequate · ○ thin · ✗ missing. Note upfront: robots.txt now explicitly allows AI crawlers (GPTBot, Claude, Perplexity, Google-Extended), so the earlier GEO-access flag is resolved.</w:t>
      </w: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18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8"/>
                <w:szCs w:val="28"/>
              </w:rPr>
              <w:t xml:space="preserve">488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2"/>
                <w:szCs w:val="12"/>
              </w:rPr>
              <w:t xml:space="preserve">URLs</w:t>
            </w:r>
          </w:p>
        </w:tc>
        <w:tc>
          <w:tcPr>
            <w:tcW w:type="dxa" w:w="1872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18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8"/>
                <w:szCs w:val="28"/>
              </w:rPr>
              <w:t xml:space="preserve">422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2"/>
                <w:szCs w:val="12"/>
              </w:rPr>
              <w:t xml:space="preserve">blog posts</w:t>
            </w:r>
          </w:p>
        </w:tc>
        <w:tc>
          <w:tcPr>
            <w:tcW w:type="dxa" w:w="1872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18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2"/>
                <w:szCs w:val="12"/>
              </w:rPr>
              <w:t xml:space="preserve">product funnels</w:t>
            </w:r>
          </w:p>
        </w:tc>
        <w:tc>
          <w:tcPr>
            <w:tcW w:type="dxa" w:w="1872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18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8"/>
                <w:szCs w:val="28"/>
              </w:rPr>
              <w:t xml:space="preserve">41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2"/>
                <w:szCs w:val="12"/>
              </w:rPr>
              <w:t xml:space="preserve">SMB vertical pages</w:t>
            </w:r>
          </w:p>
        </w:tc>
        <w:tc>
          <w:tcPr>
            <w:tcW w:type="dxa" w:w="1872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7F8FA" w:color="auto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18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8"/>
                <w:szCs w:val="2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6675"/>
                <w:sz w:val="12"/>
                <w:szCs w:val="12"/>
              </w:rPr>
              <w:t xml:space="preserve">content pillars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The correction: this is three businesses, not one</w:t>
      </w:r>
    </w:p>
    <w:tbl>
      <w:tblPr>
        <w:tblW w:type="dxa" w:w="9360"/>
        <w:tblBorders>
          <w:top w:val="single" w:color="9A6B3F" w:sz="4"/>
          <w:left w:val="single" w:color="9A6B3F" w:sz="4"/>
          <w:bottom w:val="single" w:color="9A6B3F" w:sz="4"/>
          <w:right w:val="single" w:color="9A6B3F" w:sz="4"/>
          <w:insideH w:val="single" w:color="9A6B3F" w:sz="4"/>
          <w:insideV w:val="single" w:color="9A6B3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B3F" w:sz="4"/>
              <w:left w:val="single" w:color="9A6B3F" w:sz="4"/>
              <w:bottom w:val="single" w:color="9A6B3F" w:sz="4"/>
              <w:right w:val="single" w:color="9A6B3F" w:sz="4"/>
            </w:tcBorders>
            <w:shd w:fill="F1ECE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1"/>
                <w:szCs w:val="21"/>
              </w:rPr>
              <w:t xml:space="preserve">White-label is the smallest of three funnels, and it had most of the attention.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9"/>
                <w:szCs w:val="19"/>
              </w:rPr>
              <w:t xml:space="preserve">The site serves three distinct audiences: SMBs buying an AI receptionist, agencies reselling white-label, and enterprises buying a compliant platform. By search demand the SMB receptionist funnel is the giant (~127k+ answering/receptionist impressions and a 41-page vertical engine); white-label is ~16k. Enterprise is high-value but thinly built.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9"/>
                <w:szCs w:val="19"/>
              </w:rPr>
              <w:t xml:space="preserve">Each funnel needs its own hub-and-spoke. Today they read as one large blog with a few product pages bolted on, and they barely link to each other.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The eight pillars at a glance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550"/>
        <w:gridCol w:w="900"/>
        <w:gridCol w:w="1350"/>
        <w:gridCol w:w="4560"/>
      </w:tblGrid>
      <w:tr>
        <w:trPr>
          <w:tblHeader/>
        </w:trP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Pillar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Pages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Hub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Verdict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A · AI Receptionist (SMB)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~150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● /receptionist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Biggest funnel. 41 vertical pages + ~107 blogs. Structure exists; head terms rank pos 30-45 with near-zero CTR.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B · White-Label / Agency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~185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 /whitelabel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Deep spokes, weak hub (pos ~27). Overbuilt Compare, cannibalisation. (Detailed in the white-label map.)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 · Enterprise &amp; Solutions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~25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 /enterprise 308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Under-built for its deal value. 6 vertical solution pages + thin blog support; no real hub.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 · Platform capabilities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~10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 /platform/*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Voice/messaging/email/workflows pages exist; little supporting content.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 · Answering-service education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~25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SMB top-of-funnel (cost, call-forwarding). Huge traffic, ~0.2% CTR - the core CTR failure.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F · Compare / competitor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~70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 /compare 404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Cross-audience. No hub; overbuilt and cannibalised.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G · Compliance, security &amp; regulation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~20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 /security 404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The core differentiator, orphaned. 0 clicks on compliance queries. No hub page at all.</w:t>
            </w:r>
          </w:p>
        </w:tc>
      </w:tr>
      <w:tr>
        <w:tc>
          <w:tcPr>
            <w:tcW w:type="dxa" w:w="2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 · Sales enablement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~10</w:t>
            </w:r>
          </w:p>
        </w:tc>
        <w:tc>
          <w:tcPr>
            <w:tcW w:type="dxa" w:w="13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</w:t>
            </w:r>
          </w:p>
        </w:tc>
        <w:tc>
          <w:tcPr>
            <w:tcW w:type="dxa" w:w="4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Discovery/objection/demo/pilot. Agency-facing; belongs under a resource hub.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Pillar detail: micro-clusters, completeness, gaps</w:t>
      </w:r>
    </w:p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A · AI Receptionist (SMB core)  —  ● structure / ○ conversion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50"/>
        <w:gridCol w:w="900"/>
        <w:gridCol w:w="5410"/>
      </w:tblGrid>
      <w:tr>
        <w:trPr>
          <w:tblHeader/>
        </w:trP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Hub /receptionist + /receptionist/pricing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●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Live.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Vertical pages /receptionist/industries/* (41)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●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Broad programmatic engine (trades, health, professional). Depth/uniqueness likely thin - doorway-page risk.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Answering-service-for-[vertical] blogs (~50)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Overlaps the 41 vertical pages; potential cannibalisation between /receptionist/industries/X and /blogs/...-for-X.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Receptionist use-case / value blogs (~57)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'is it worth it', small-business, pilot. Adequate.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Head terms ('ai answering service', 'ai receptionist')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Rank pos 30-45; not winnable yet without hub authority + links.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Missing: banking, salon/spa, e-commerce, education verticals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Gaps vs demand.</w:t>
            </w:r>
          </w:p>
        </w:tc>
      </w:tr>
    </w:tbl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B · White-Label / Agency  —  ● spokes / ◐ hub  (see white-label map)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178 blogs across Platform, Agency Academy, Industry, Compare, Pricing, Integrations, Partnerships. Strong depth, one weak hub, overbuilt+cannibalised Compare, six missing sub-hubs. Fully detailed in the separate white-label cluster map.</w:t>
      </w:r>
    </w:p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C · Enterprise &amp; Solutions  —  ○ under-built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50"/>
        <w:gridCol w:w="900"/>
        <w:gridCol w:w="5410"/>
      </w:tblGrid>
      <w:tr>
        <w:trPr>
          <w:tblHeader/>
        </w:trP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Vertical solution pages (/health, /legal, /financial-services, /government, /utilities, /automotive)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Six exist. Are they deep, or thin landing pages? Verify.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Enterprise hub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/enterprise 308-redirects; no canonical hub. enterprise-guide is a blog, not a hub.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Enterprise ops blogs (rollout, QA, vendor eval, security audit, ROI)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6 posts. Real but thin for enterprise buyers.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Deployment (on-premise, Docker, hybrid, cloud)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Scattered in 'misc'; a genuine differentiator with no cluster of its own.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Telephony / PBX integration (Avaya, Cisco CUCM)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One-offs; no enterprise-integration cluster.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Contact-centre / managed services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A few posts, no hub.</w:t>
            </w:r>
          </w:p>
        </w:tc>
      </w:tr>
    </w:tbl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D · Platform capabilities  —  ◐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50"/>
        <w:gridCol w:w="900"/>
        <w:gridCol w:w="5410"/>
      </w:tblGrid>
      <w:tr>
        <w:trPr>
          <w:tblHeader/>
        </w:trP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/platform/voice, messaging, email, workflows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Four capability pages exist.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Supporting content (human-like voice, multi-channel, outbound, orchestration)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Scattered; not tied to the capability pages.</w:t>
            </w:r>
          </w:p>
        </w:tc>
      </w:tr>
    </w:tbl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E · Answering-service education (SMB TOFU)  —  ◐ content / ✗ CTR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50"/>
        <w:gridCol w:w="900"/>
        <w:gridCol w:w="5410"/>
      </w:tblGrid>
      <w:tr>
        <w:trPr>
          <w:tblHeader/>
        </w:trP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Cost / pricing / value (~20: answering-service cost, missed-call cost, ROI)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Bottom-funnel demand; ranks page-1 but ~0.09% CTR - snippet failure.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Call forwarding / carrier (Telstra/Optus, porting, conditional)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●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2nd-highest-traffic content on the site; weak bridge to the product.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How answering services work / what-is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Adequate.</w:t>
            </w:r>
          </w:p>
        </w:tc>
      </w:tr>
    </w:tbl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F · Compare / competitor  —  ● (overbuilt) / ✗ hub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Competitor head-to-head, alternatives (cannibalised - some competitors 2-3×), category comparisons (voice-vs-text near-duplicates). /compare returns 404: no hub organising any of it. Detailed in the white-label map.</w:t>
      </w:r>
    </w:p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G · Compliance, security &amp; regulation  —  ○ orphaned (highest-value gap)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50"/>
        <w:gridCol w:w="900"/>
        <w:gridCol w:w="5410"/>
      </w:tblGrid>
      <w:tr>
        <w:trPr>
          <w:tblHeader/>
        </w:trP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Micro-cluster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Score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State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/security hub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✗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404. The core differentiator has no home page.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Compliance explainers (HIPAA, SOC 2, GDPR, TCPA, standards)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~13 posts, spread across pillars; strong content, 0 clicks on the queries.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Data residency by country / on-premise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◐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Genuine differentiator; buried in a long explainer per the content brief.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Regulation (FCC, FTC, DNC / do-not-call)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○</w:t>
            </w:r>
          </w:p>
        </w:tc>
        <w:tc>
          <w:tcPr>
            <w:tcW w:type="dxa" w:w="54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Topical, timely, unclustered.</w:t>
            </w:r>
          </w:p>
        </w:tc>
      </w:tr>
    </w:tbl>
    <w:p>
      <w:pPr>
        <w:spacing w:after="14" w:before="90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H · Sales enablement  —  ○ (audience check)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Discovery calls, objection handling, demo best-practices, pilot checklists (~7-10). Useful, but agency/internal-facing - fold under the Agency Academy hub or a dedicated resources hub rather than competing in the main blog.</w:t>
      </w:r>
    </w:p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What's missing across the site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650"/>
        <w:gridCol w:w="1150"/>
        <w:gridCol w:w="5560"/>
      </w:tblGrid>
      <w:tr>
        <w:trPr>
          <w:tblHeader/>
        </w:trP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Gap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Why it matters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/security hub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hub (404)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Compliance is the stated differentiator and earns 0 clicks. No page owns it. Highest-value structural gap.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/compare hub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hub (404)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Nothing organises 70+ comparison pages; cannibalisation runs unchecked.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Real /enterprise hub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hub (308)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High-value funnel with no anchor. Solution pages float unconnected.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Per-funnel hubs (receptionist sub-hubs, whitelabel sub-hubs)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structure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Each funnel needs its own hub-and-spoke; today they are flat lists.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Deployment cluster (on-prem / Docker / hybrid)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micro-cluster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A defensible enterprise differentiator with no cluster or hub.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Enterprise integrations (PBX/CCaaS: Avaya, Cisco, Genesys, Five9)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spokes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Enterprise buyers search these; only one-offs exist.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Cross-funnel internal linking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structure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SMB, agency and enterprise barely link to each other; authority does not flow.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Missing verticals (banking, salon/spa, e-commerce, education)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spokes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Demand exists across both SMB and white-label.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Educational / AEO concepts (AI employee, customer-service automation, AI phone system)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micro-cluster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Top-of-funnel reach across all funnels; Insighto owns these.</w:t>
            </w:r>
          </w:p>
        </w:tc>
      </w:tr>
      <w:tr>
        <w:tc>
          <w:tcPr>
            <w:tcW w:type="dxa" w:w="26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Case studies / proof</w:t>
            </w:r>
          </w:p>
        </w:tc>
        <w:tc>
          <w:tcPr>
            <w:tcW w:type="dxa" w:w="1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micro-cluster</w:t>
            </w:r>
          </w:p>
        </w:tc>
        <w:tc>
          <w:tcPr>
            <w:tcW w:type="dxa" w:w="5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2"/>
              <w:left w:type="dxa" w:w="90"/>
              <w:bottom w:type="dxa" w:w="52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Zero on the site. E-E-A-T and conversion gap across every funnel.</w:t>
            </w:r>
          </w:p>
        </w:tc>
      </w:tr>
    </w:tbl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Target sitewide architecture</w:t>
      </w:r>
    </w:p>
    <w:p>
      <w:pPr>
        <w:spacing w:after="90" w:line="274"/>
      </w:pPr>
      <w:r>
        <w:rPr>
          <w:rFonts w:ascii="Calibri" w:cs="Calibri" w:eastAsia="Calibri" w:hAnsi="Calibri"/>
          <w:i w:val="false"/>
          <w:iCs w:val="false"/>
          <w:color w:val="24303F"/>
          <w:sz w:val="20"/>
          <w:szCs w:val="20"/>
        </w:rPr>
        <w:t xml:space="preserve">Three product hubs, each with its own spoke system, plus cross-cutting hubs that serve all three. Every spoke links up to its hub and across to the relevant funnel.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/receptionist  (SMB product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pricing · 41 vertical pages (deepen, de-duplicate vs blogs) · answering-service education · value/ROI. Fix head-term CTR.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/whitelabel  (Agency product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the six white-label sub-hubs (academy, industries, compare, pricing, integrations, partners). Consolidate + build.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/enterprise  (Enterprise hub)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vertical solutions (health/legal/finance/gov/utilities/auto) · deployment (on-prem/Docker/hybrid) · enterprise integrations · ops.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/security  (Compliance hub, cross-cutting)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HIPAA · SOC 2 · GDPR/TCPA/ACMA · data residency · regulation. Consolidate the orphaned compliance content; own the 0-click queries.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/compare  (Comparison hub, cross-cutting)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competitor head-to-head · one alternative page per competitor · category comparisons. Consolidate 70+.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/platform  (Capabilities, cross-cutting)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voice · messaging · email · workflows, each with supporting content.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16223C"/>
          <w:sz w:val="19"/>
          <w:szCs w:val="19"/>
        </w:rPr>
        <w:t xml:space="preserve">Resources / Academy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agency academy + sales enablement + educational/AEO concepts + case studies.</w:t>
      </w:r>
    </w:p>
    <w:p>
      <w:pPr>
        <w:pBdr>
          <w:bottom w:val="single" w:color="D9DEE8" w:sz="6"/>
        </w:pBdr>
        <w:spacing w:after="110" w:before="110"/>
      </w:pPr>
      <w:r>
        <w:t xml:space="preserve"/>
      </w:r>
    </w:p>
    <w:p>
      <w:pPr>
        <w:spacing w:after="50" w:before="14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Priority order (sitewide)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1. Build /security and /compare hubs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Both are 404s today. /security owns the differentiator that earns 0 clicks; /compare ends the cannibalisation. Fastest structural wins.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2. Fix the SMB receptionist funnel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It is the biggest demand and the worst CTR. Snippet + hub-authority work here outweighs everything in white-label by volume.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3. Establish a real /enterprise hub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Anchor the solution pages; cluster deployment + enterprise integrations. High deal value, low current coverage.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4. White-label consolidation + sub-hubs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As already planned in the white-label map.</w:t>
      </w:r>
    </w:p>
    <w:p>
      <w:pPr>
        <w:spacing w:after="56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5. Cross-funnel linking + gaps — </w:t>
      </w:r>
      <w:r>
        <w:rPr>
          <w:rFonts w:ascii="Calibri" w:cs="Calibri" w:eastAsia="Calibri" w:hAnsi="Calibri"/>
          <w:color w:val="5A6675"/>
          <w:sz w:val="19"/>
          <w:szCs w:val="19"/>
        </w:rPr>
        <w:t xml:space="preserve">Wire the three funnels together; fill verticals, integrations, educational concepts, case studies.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2026-09-15T18:17:03.978Z</dcterms:created>
  <dcterms:modified xsi:type="dcterms:W3CDTF">2026-09-15T18:17:03.983Z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