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3A5F"/>
          <w:sz w:val="60"/>
          <w:szCs w:val="60"/>
        </w:rPr>
        <w:t xml:space="preserve">TRILLET</w:t>
      </w:r>
    </w:p>
    <w:p>
      <w:pPr>
        <w:spacing w:after="40"/>
      </w:pPr>
      <w:r>
        <w:rPr>
          <w:color w:val="2E6B8A"/>
          <w:sz w:val="40"/>
          <w:szCs w:val="40"/>
        </w:rPr>
        <w:t xml:space="preserve">Voice-AI SEO &amp; GEO Strategy</w:t>
      </w:r>
    </w:p>
    <w:p>
      <w:pPr>
        <w:spacing w:after="400"/>
      </w:pPr>
      <w:r>
        <w:rPr>
          <w:i/>
          <w:iCs/>
          <w:color w:val="6B7683"/>
          <w:sz w:val="26"/>
          <w:szCs w:val="26"/>
        </w:rPr>
        <w:t xml:space="preserve">Search &amp; AI-Answer Visibility — Findings, Targets, and Roadmap</w:t>
      </w:r>
    </w:p>
    <w:p>
      <w:pPr>
        <w:pBdr>
          <w:top w:val="single" w:color="1F3A5F" w:sz="12"/>
        </w:pBdr>
        <w:spacing w:after="200"/>
      </w:pPr>
      <w:r>
        <w:t xml:space="preserve"/>
      </w:r>
    </w:p>
    <w:p>
      <w:pPr>
        <w:spacing w:after="60"/>
      </w:pPr>
      <w:r>
        <w:rPr>
          <w:color w:val="222222"/>
          <w:sz w:val="24"/>
          <w:szCs w:val="24"/>
        </w:rPr>
        <w:t xml:space="preserve">Prepared for: Management review</w:t>
      </w:r>
    </w:p>
    <w:p>
      <w:pPr>
        <w:spacing w:after="60"/>
      </w:pPr>
      <w:r>
        <w:rPr>
          <w:color w:val="222222"/>
          <w:sz w:val="24"/>
          <w:szCs w:val="24"/>
        </w:rPr>
        <w:t xml:space="preserve">Scope: White-label · Enterprise · AI answering / receptionist</w:t>
      </w:r>
    </w:p>
    <w:p>
      <w:pPr>
        <w:spacing w:after="60"/>
      </w:pPr>
      <w:r>
        <w:rPr>
          <w:color w:val="222222"/>
          <w:sz w:val="24"/>
          <w:szCs w:val="24"/>
        </w:rPr>
        <w:t xml:space="preserve">Data source: DataForSEO — SERP, Labs, LLM (ChatGPT / Perplexity / Gemini / Claude), Backlinks</w:t>
      </w:r>
    </w:p>
    <w:p>
      <w:pPr>
        <w:spacing w:after="60"/>
      </w:pPr>
      <w:r>
        <w:rPr>
          <w:color w:val="222222"/>
          <w:sz w:val="24"/>
          <w:szCs w:val="24"/>
        </w:rPr>
        <w:t xml:space="preserve">Date: 20 September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40" w:line="288"/>
      </w:pPr>
      <w:r>
        <w:t xml:space="preserve">This audit maps where Trillet appears — and does not appear — across Google search results and AI-assistant answers (ChatGPT, Perplexity, Gemini, Claude) for 20 buyer keywords and 14 buyer questions spanning our three priority clusters: white-label/agency, enterprise, and AI answering/receptionist.</w:t>
      </w:r>
    </w:p>
    <w:p>
      <w:pPr>
        <w:spacing w:after="120" w:line="276"/>
      </w:pPr>
      <w:r>
        <w:rPr>
          <w:b/>
          <w:bCs/>
        </w:rPr>
        <w:t xml:space="preserve">The central finding: </w:t>
      </w:r>
      <w:r>
        <w:rPr>
          <w:b/>
          <w:bCs/>
          <w:color w:val="1F3A5F"/>
        </w:rPr>
        <w:t xml:space="preserve">Trillet is winning the AI-answer game and losing the Google-organic game. </w:t>
      </w:r>
      <w:r>
        <w:t xml:space="preserve">Trillet is the single most-cited source in AI answers for white-label queries, yet is largely absent from Google’s organic results, where third-party "parasite" sites (Reddit, YouTube) dominate. The strategic response is to lead with GEO — Generative Engine Optimization, i.e. getting Trillet cited inside AI answers — and to treat the organic/parasite problem as a separate, secondary track.</w:t>
      </w:r>
    </w:p>
    <w:p>
      <w:pPr>
        <w:pStyle w:val="Heading2"/>
        <w:spacing w:after="120" w:before="240"/>
      </w:pPr>
      <w:r>
        <w:t xml:space="preserve">Five decisions this document supports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Reallocate effort toward GEO. 83% of AI citations point to third-party pages, not vendor homepages — so visibility is won by getting Trillet onto trusted third-party pages, not by optimising trillet.ai.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Run an AI-tool directory saturation sweep now. It is free, fast, and is demonstrably how a smaller competitor (autocalls.ai) reached citation parity with the category leader.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Defend and extend white-label — our proven strength (named in 9 of 16 AI answers).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Attack enterprise and receptionist — our two whitespaces (named in 0 of 6 answers each) — via specific capability and vertical angles, not head-to-head with incumbents.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Stand up a modest newswire PR cadence — AI assistants cite syndicated press releases, and competitors are already exploiting this.</w:t>
      </w:r>
    </w:p>
    <w:p>
      <w:pPr>
        <w:spacing w:after="120" w:line="276"/>
      </w:pPr>
      <w:r>
        <w:rPr>
          <w:b/>
          <w:bCs/>
        </w:rPr>
        <w:t xml:space="preserve">Audit cost: </w:t>
      </w:r>
      <w:r>
        <w:t xml:space="preserve">approximately $0.76 of a $1.00 DataForSEO credit. All underlying data is delivered as CSV files alongside this document.</w:t>
      </w:r>
    </w:p>
    <w:p>
      <w:pPr>
        <w:pStyle w:val="Heading1"/>
        <w:spacing w:after="160" w:before="320"/>
      </w:pPr>
      <w:r>
        <w:t xml:space="preserve">2. Methodology &amp; data scope</w:t>
      </w:r>
    </w:p>
    <w:p>
      <w:pPr>
        <w:spacing w:after="140" w:line="288"/>
      </w:pPr>
      <w:r>
        <w:t xml:space="preserve">Data was collected programmatically via the DataForSEO API across five endpoint families. Costs were metered against the live "cost" field returned on each response and hard-capped to stay within a $1 budget.</w:t>
      </w:r>
    </w:p>
    <w:tbl>
      <w:tblPr>
        <w:tblW w:type="dxa" w:w="9360"/>
        <w:tblBorders>
          <w:top w:val="single" w:color="C9D3DB" w:sz="4"/>
          <w:left w:val="single" w:color="C9D3DB" w:sz="4"/>
          <w:bottom w:val="single" w:color="C9D3DB" w:sz="4"/>
          <w:right w:val="single" w:color="C9D3DB" w:sz="4"/>
          <w:insideH w:val="single" w:color="C9D3DB" w:sz="4"/>
          <w:insideV w:val="single" w:color="C9D3DB" w:sz="4"/>
        </w:tblBorders>
      </w:tblPr>
      <w:tblGrid>
        <w:gridCol w:w="3400"/>
        <w:gridCol w:w="3960"/>
        <w:gridCol w:w="2000"/>
      </w:tblGrid>
      <w:tr>
        <w:trPr>
          <w:tblHeader/>
        </w:trP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layer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SERP (Google organic + AI Overview)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Who ranks in the top 20, and what Google’s AI Overview cites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 keywords</w:t>
            </w:r>
          </w:p>
        </w:tc>
      </w:tr>
      <w:tr>
        <w:tc>
          <w:tcPr>
            <w:tcW w:type="dxa" w:w="34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Labs (ranked keywords)</w:t>
            </w:r>
          </w:p>
        </w:tc>
        <w:tc>
          <w:tcPr>
            <w:tcW w:type="dxa" w:w="39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Keyword footprint per domain, search volumes</w:t>
            </w:r>
          </w:p>
        </w:tc>
        <w:tc>
          <w:tcPr>
            <w:tcW w:type="dxa" w:w="20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Trillet + 3 rivals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LLM responses</w:t>
            </w:r>
          </w:p>
        </w:tc>
        <w:tc>
          <w:tcPr>
            <w:tcW w:type="dxa" w:w="3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Whether Trillet is named and which domains are cited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 prompts × up to 4 engines</w:t>
            </w:r>
          </w:p>
        </w:tc>
      </w:tr>
      <w:tr>
        <w:tc>
          <w:tcPr>
            <w:tcW w:type="dxa" w:w="34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Backlinks</w:t>
            </w:r>
          </w:p>
        </w:tc>
        <w:tc>
          <w:tcPr>
            <w:tcW w:type="dxa" w:w="39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Where a competitor earns its third-party placements</w:t>
            </w:r>
          </w:p>
        </w:tc>
        <w:tc>
          <w:tcPr>
            <w:tcW w:type="dxa" w:w="20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autocalls.ai (671 ref. domains)</w:t>
            </w:r>
          </w:p>
        </w:tc>
      </w:tr>
    </w:tbl>
    <w:p>
      <w:pPr>
        <w:pStyle w:val="Heading2"/>
        <w:spacing w:after="120" w:before="240"/>
      </w:pPr>
      <w:r>
        <w:t xml:space="preserve">Caveats management should weigh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LLM-citation sample (~28 answers) is directionally reliable but small; individual domain counts should be read as signal, not precise share.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ChatGPT returned almost no citations (1 of 10 answers); usable AI-citation signal is mostly Perplexity, Gemini, and Claude.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Gemini and Claude were sampled on the white-label cluster only; enterprise and receptionist LLM data is from ChatGPT + Perplexity.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AI-assistant model coverage and citations change frequently; treat this as a point-in-time baseline to be re-run quarterly.</w:t>
      </w:r>
    </w:p>
    <w:p>
      <w:pPr>
        <w:pStyle w:val="Heading1"/>
        <w:spacing w:after="160" w:before="320"/>
      </w:pPr>
      <w:r>
        <w:t xml:space="preserve">3. Strategic thesis: organic vs. AI answers</w:t>
      </w:r>
    </w:p>
    <w:p>
      <w:pPr>
        <w:spacing w:after="140" w:line="288"/>
      </w:pPr>
      <w:r>
        <w:t xml:space="preserve">Trillet’s visibility diverges sharply by channel. This divergence is the most important strategic fact in the audit.</w:t>
      </w:r>
    </w:p>
    <w:tbl>
      <w:tblPr>
        <w:tblW w:type="dxa" w:w="9360"/>
        <w:tblBorders>
          <w:top w:val="single" w:color="C9D3DB" w:sz="4"/>
          <w:left w:val="single" w:color="C9D3DB" w:sz="4"/>
          <w:bottom w:val="single" w:color="C9D3DB" w:sz="4"/>
          <w:right w:val="single" w:color="C9D3DB" w:sz="4"/>
          <w:insideH w:val="single" w:color="C9D3DB" w:sz="4"/>
          <w:insideV w:val="single" w:color="C9D3DB" w:sz="4"/>
        </w:tblBorders>
      </w:tblPr>
      <w:tblGrid>
        <w:gridCol w:w="2700"/>
        <w:gridCol w:w="3660"/>
        <w:gridCol w:w="3000"/>
      </w:tblGrid>
      <w:tr>
        <w:trPr>
          <w:tblHeader/>
        </w:trP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Trillet’s position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 wins instead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Google organic (top-20)</w:t>
            </w:r>
          </w:p>
        </w:tc>
        <w:tc>
          <w:tcPr>
            <w:tcW w:type="dxa" w:w="3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Weak — 7 listings across 20 keywords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Reddit &amp; YouTube (parasites)</w:t>
            </w:r>
          </w:p>
        </w:tc>
      </w:tr>
      <w:tr>
        <w:tc>
          <w:tcPr>
            <w:tcW w:type="dxa" w:w="27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AI-answer citations (256 total)</w:t>
            </w:r>
          </w:p>
        </w:tc>
        <w:tc>
          <w:tcPr>
            <w:tcW w:type="dxa" w:w="36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Strong in white-label — #1 cited domain</w:t>
            </w:r>
          </w:p>
        </w:tc>
        <w:tc>
          <w:tcPr>
            <w:tcW w:type="dxa" w:w="30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Third-party sites (83% of citations)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Google AI Overview</w:t>
            </w:r>
          </w:p>
        </w:tc>
        <w:tc>
          <w:tcPr>
            <w:tcW w:type="dxa" w:w="36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Cited once; fires mainly for receptionist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smith.ai, getAira, RingCentral</w:t>
            </w:r>
          </w:p>
        </w:tc>
      </w:tr>
    </w:tbl>
    <w:p>
      <w:pPr>
        <w:spacing w:after="120" w:line="276"/>
      </w:pPr>
      <w:r>
        <w:t xml:space="preserve">Citation ownership across all four AI engines (256 citations): </w:t>
      </w:r>
      <w:r>
        <w:rPr>
          <w:b/>
          <w:bCs/>
        </w:rPr>
        <w:t xml:space="preserve">third-party sites 83%, competitors 11%, Trillet 5%, parasites 1%. </w:t>
      </w:r>
      <w:r>
        <w:t xml:space="preserve">The takeaway is that AI visibility is a placement game played on other people’s pages.</w:t>
      </w:r>
    </w:p>
    <w:p>
      <w:pPr>
        <w:pStyle w:val="Heading1"/>
        <w:spacing w:after="160" w:before="320"/>
      </w:pPr>
      <w:r>
        <w:t xml:space="preserve">4. Cluster strategy &amp; placement targets</w:t>
      </w:r>
    </w:p>
    <w:p>
      <w:pPr>
        <w:spacing w:after="140" w:line="288"/>
      </w:pPr>
      <w:r>
        <w:t xml:space="preserve">Each cluster has a distinct competitive structure and therefore a distinct placement playbook. Full target lists (97 enterprise, 96 receptionist, 132 directory targets) accompany this document as CSV files; the tables below show the highest-value entries.</w:t>
      </w:r>
    </w:p>
    <w:p>
      <w:pPr>
        <w:pStyle w:val="Heading2"/>
        <w:spacing w:after="120" w:before="240"/>
      </w:pPr>
      <w:r>
        <w:t xml:space="preserve">4.1 White-label / agency — DEFEND &amp; EXTEND (our strength)</w:t>
      </w:r>
    </w:p>
    <w:p>
      <w:pPr>
        <w:spacing w:after="120" w:line="276"/>
      </w:pPr>
      <w:r>
        <w:t xml:space="preserve">AI answers name Trillet in </w:t>
      </w:r>
      <w:r>
        <w:rPr>
          <w:b/>
          <w:bCs/>
        </w:rPr>
        <w:t xml:space="preserve">9 of 16</w:t>
      </w:r>
      <w:r>
        <w:t xml:space="preserve"> white-label prompts, and trillet.ai is the most-cited domain. The reproducible tactic, reverse-engineered from autocalls.ai, is </w:t>
      </w:r>
      <w:r>
        <w:rPr>
          <w:b/>
          <w:bCs/>
        </w:rPr>
        <w:t xml:space="preserve">AI-tool directory saturation</w:t>
      </w:r>
      <w:r>
        <w:t xml:space="preserve"> — 130+ self-serve directory listings that AI assistants ingest heavily.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Immediate, free action: submit Trillet to the directories in Appendix 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Editorial listicles to pursue: botpenguin.com, convocore.ai, dvaarik.com ("best white-label AI voice platform" posts).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Risk if ignored: this is our only current AI-visibility moat — competitors are actively submitting to the same directories.</w:t>
      </w:r>
    </w:p>
    <w:p>
      <w:pPr>
        <w:pStyle w:val="Heading2"/>
        <w:spacing w:after="120" w:before="240"/>
      </w:pPr>
      <w:r>
        <w:t xml:space="preserve">4.2 Enterprise — WHITESPACE via capability angles</w:t>
      </w:r>
    </w:p>
    <w:p>
      <w:pPr>
        <w:spacing w:after="120" w:line="276"/>
      </w:pPr>
      <w:r>
        <w:t xml:space="preserve">Trillet is named in </w:t>
      </w:r>
      <w:r>
        <w:rPr>
          <w:b/>
          <w:bCs/>
        </w:rPr>
        <w:t xml:space="preserve">0 of 6</w:t>
      </w:r>
      <w:r>
        <w:t xml:space="preserve"> enterprise answers and has zero organic listings. Direct competition (Salesforce, Genesys, NICE, Aircall) is not winnable head-to-head. The citations instead cluster around two capability lanes where the field is thin: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HIPAA / healthcare compliance — a wide-open lane (getprosper.ai, usehello.ai, coval.ai, murf.ai, parloa.com, voiceai.guide/hipaa). Requires a HIPAA/BAA story.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CRM integration — "voice AI + CRM" content and placements (monday.com, justcall.io, twig.so, respond.io).</w:t>
      </w:r>
    </w:p>
    <w:p>
      <w:pPr>
        <w:spacing w:after="140" w:line="288"/>
      </w:pPr>
      <w:r>
        <w:t xml:space="preserve">Highest-value enterprise placement targets (appearing in Google and/or AI answers):</w:t>
      </w:r>
    </w:p>
    <w:tbl>
      <w:tblPr>
        <w:tblW w:type="dxa" w:w="9360"/>
        <w:tblBorders>
          <w:top w:val="single" w:color="C9D3DB" w:sz="4"/>
          <w:left w:val="single" w:color="C9D3DB" w:sz="4"/>
          <w:bottom w:val="single" w:color="C9D3DB" w:sz="4"/>
          <w:right w:val="single" w:color="C9D3DB" w:sz="4"/>
          <w:insideH w:val="single" w:color="C9D3DB" w:sz="4"/>
          <w:insideV w:val="single" w:color="C9D3DB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Placement target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Google rank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cites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 page to get listed on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deepgram.com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deepgram.com/learn/best-voice-ai-platforms-enterprise-compar…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lumay.ai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www.lumay.ai/blogs/best-enterprise-ai-voice-agent-platforms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bignewsnetwork.com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www.bignewsnetwork.com/news/279311289/hipaa-ai-and-voice-wha…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usatoday.com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www.usatoday.com/press-release/story/43390/retell-ai-white-l…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cxtoday.com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www.cxtoday.com/customer-engagement-journey-orchestration/pl…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cloudtalk.io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www.cloudtalk.io/blog/best-ai-voice-agents-for-healthcare/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aircall.io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aircall.io/products/ai/voice-agent/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monday.com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monday.com/blog/crm-and-sales/ai-voice-agent-platform/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unleashx.ai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unleashx.ai/feeds/blog/ai-voice-assistant-crm-integration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getprosper.ai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www.getprosper.ai/blog/hipaa-compliant-voice-ai-providers-he…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inworld.ai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inworld.ai/resources/best-voice-ai-for-enterprise-voice-agents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futurumgroup.com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futurumgroup.com/insights/zendesks-ai-native-voice-push-pres…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rasa.com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rasa.com/blog/best-ai-voice-agents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11x.ai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www.11x.ai/guides/enterprise-ai-voice-agents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cekura.ai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www.cekura.ai/blogs/top-conversational-ai-platforms-with-voi…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elevenlabs.io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elevenlabs.io/enterprise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assemblyai.com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www.assemblyai.com/blog/best-platforms-enterprise-voice-agents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chatbase.co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www.chatbase.co/blog/best-ai-voice-agents-customer-support</w:t>
            </w:r>
          </w:p>
        </w:tc>
      </w:tr>
    </w:tbl>
    <w:p>
      <w:pPr>
        <w:pStyle w:val="Heading2"/>
        <w:spacing w:after="120" w:before="240"/>
      </w:pPr>
      <w:r>
        <w:t xml:space="preserve">4.3 AI answering / receptionist — WHITESPACE, GEO-critical</w:t>
      </w:r>
    </w:p>
    <w:p>
      <w:pPr>
        <w:spacing w:after="120" w:line="276"/>
      </w:pPr>
      <w:r>
        <w:t xml:space="preserve">Trillet is named in </w:t>
      </w:r>
      <w:r>
        <w:rPr>
          <w:b/>
          <w:bCs/>
        </w:rPr>
        <w:t xml:space="preserve">0 of 6</w:t>
      </w:r>
      <w:r>
        <w:t xml:space="preserve"> receptionist answers, but this cluster is the </w:t>
      </w:r>
      <w:r>
        <w:rPr>
          <w:b/>
          <w:bCs/>
        </w:rPr>
        <w:t xml:space="preserve">only one where Google’s AI Overview fires heavily</w:t>
      </w:r>
      <w:r>
        <w:t xml:space="preserve"> — so AI-Overview optimisation matters most here. Crucially, the voice-AI competitors barely rank; the field is receptionist specialists (smith.ai, goodcall, heyrosie) plus parasites.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Beatable listicle targets: smith.ai, getnextphone.com, withallo.com, dapta.ai, vellum.ai, cloudtalk.io, getvoip.com, upfirst.ai.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Vertical niche lane: dental &amp; HVAC listicles (dentalintel.com, dentistryiq.com) — low-competition entry via "AI receptionist for dental office / HVAC".</w:t>
      </w:r>
    </w:p>
    <w:p>
      <w:pPr>
        <w:spacing w:after="140" w:line="288"/>
      </w:pPr>
      <w:r>
        <w:t xml:space="preserve">Highest-value receptionist placement targets:</w:t>
      </w:r>
    </w:p>
    <w:tbl>
      <w:tblPr>
        <w:tblW w:type="dxa" w:w="9360"/>
        <w:tblBorders>
          <w:top w:val="single" w:color="C9D3DB" w:sz="4"/>
          <w:left w:val="single" w:color="C9D3DB" w:sz="4"/>
          <w:bottom w:val="single" w:color="C9D3DB" w:sz="4"/>
          <w:right w:val="single" w:color="C9D3DB" w:sz="4"/>
          <w:insideH w:val="single" w:color="C9D3DB" w:sz="4"/>
          <w:insideV w:val="single" w:color="C9D3DB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Placement target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Google rank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cites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 page to get listed on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smith.ai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(+3 AIO)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smith.ai/features/appointment-scheduling-service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getnextphone.com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(+1 AIO)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www.getnextphone.com/blog/best-ai-receptionist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withallo.com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www.withallo.com/blog/ai-receptionist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ringcentral.com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 (+2 AIO)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dapta.ai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dapta.ai/blog-posts/best-ai-receptionist-small-business/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vellum.ai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(+1 AIO)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www.vellum.ai/blog/best-ai-receptionist-for-small-business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cloudtalk.io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www.cloudtalk.io/blog/top-ai-virtual-receptionist-voice/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voksha.com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(+1 AIO)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voksha.com/guide/best-ai-receptionists-2026/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marblism.com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(+1 AIO)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www.marblism.com/blog/best-ai-receptionist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getvoip.com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getvoip.com/ai-receptionists/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upfirst.ai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upfirst.ai/blog/best-ai-answering-services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dentina.ai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 (+1 AIO)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smash.vc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smash.vc/best-ai-answering-services/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elevenlabs.io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 (+1 AIO)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heyrosie.com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 (+1 AIO)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lunacal.ai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lunacal.ai/blogs/ai-phone-answering-service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technologyadvice.com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technologyadvice.com/blog/voip/best-ai-answering-service/</w:t>
            </w:r>
          </w:p>
        </w:tc>
      </w:tr>
      <w:tr>
        <w:tc>
          <w:tcPr>
            <w:tcW w:type="dxa" w:w="2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dialzara.com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t xml:space="preserve">5. The parasite problem (Google-organic only)</w:t>
      </w:r>
    </w:p>
    <w:p>
      <w:pPr>
        <w:spacing w:after="140" w:line="288"/>
      </w:pPr>
      <w:r>
        <w:t xml:space="preserve">Third-party "parasite" hosts dominate Trillet’s organic search landscape — but barely register in AI answers (2 of 256 citations). This confirms the parasite issue is a Google-organic problem, not an AI-answer problem, and should be resourced accordingly.</w:t>
      </w:r>
    </w:p>
    <w:tbl>
      <w:tblPr>
        <w:tblW w:type="dxa" w:w="9360"/>
        <w:tblBorders>
          <w:top w:val="single" w:color="C9D3DB" w:sz="4"/>
          <w:left w:val="single" w:color="C9D3DB" w:sz="4"/>
          <w:bottom w:val="single" w:color="C9D3DB" w:sz="4"/>
          <w:right w:val="single" w:color="C9D3DB" w:sz="4"/>
          <w:insideH w:val="single" w:color="C9D3DB" w:sz="4"/>
          <w:insideV w:val="single" w:color="C9D3DB" w:sz="4"/>
        </w:tblBorders>
      </w:tblPr>
      <w:tblGrid>
        <w:gridCol w:w="2300"/>
        <w:gridCol w:w="1700"/>
        <w:gridCol w:w="1500"/>
        <w:gridCol w:w="1400"/>
        <w:gridCol w:w="2460"/>
      </w:tblGrid>
      <w:tr>
        <w:trPr>
          <w:tblHeader/>
        </w:trP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Parasite host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Top-20 listings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Keywords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top 10</w:t>
            </w:r>
          </w:p>
        </w:tc>
        <w:tc>
          <w:tcPr>
            <w:tcW w:type="dxa" w:w="2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reddit.com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2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Highest-impact — ranks where buyers click</w:t>
            </w:r>
          </w:p>
        </w:tc>
      </w:tr>
      <w:tr>
        <w:tc>
          <w:tcPr>
            <w:tcW w:type="dxa" w:w="23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youtube.com</w:t>
            </w:r>
          </w:p>
        </w:tc>
        <w:tc>
          <w:tcPr>
            <w:tcW w:type="dxa" w:w="17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39</w:t>
            </w:r>
          </w:p>
        </w:tc>
        <w:tc>
          <w:tcPr>
            <w:tcW w:type="dxa" w:w="15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4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Highest volume, lower positions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medium.com / quora.com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4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Minor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t xml:space="preserve">Parasite density is worst in the receptionist cluster (YouTube 20, Reddit 7 listings).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If pursued, focus parasite tactics (targeted Reddit threads, YouTube content) on receptionist keywords only.</w:t>
      </w:r>
    </w:p>
    <w:p>
      <w:pPr>
        <w:pStyle w:val="Heading1"/>
        <w:spacing w:after="160" w:before="320"/>
      </w:pPr>
      <w:r>
        <w:t xml:space="preserve">6. How competitors earn AI citations (reproducible mechanics)</w:t>
      </w:r>
    </w:p>
    <w:p>
      <w:pPr>
        <w:spacing w:after="140" w:line="288"/>
      </w:pPr>
      <w:r>
        <w:t xml:space="preserve">The audit identified three distinct, copyable channels that feed AI-answer citations, in ascending order of effort and authority.</w:t>
      </w:r>
    </w:p>
    <w:tbl>
      <w:tblPr>
        <w:tblW w:type="dxa" w:w="9360"/>
        <w:tblBorders>
          <w:top w:val="single" w:color="C9D3DB" w:sz="4"/>
          <w:left w:val="single" w:color="C9D3DB" w:sz="4"/>
          <w:bottom w:val="single" w:color="C9D3DB" w:sz="4"/>
          <w:right w:val="single" w:color="C9D3DB" w:sz="4"/>
          <w:insideH w:val="single" w:color="C9D3DB" w:sz="4"/>
          <w:insideV w:val="single" w:color="C9D3DB" w:sz="4"/>
        </w:tblBorders>
      </w:tblPr>
      <w:tblGrid>
        <w:gridCol w:w="2300"/>
        <w:gridCol w:w="4160"/>
        <w:gridCol w:w="1600"/>
        <w:gridCol w:w="1300"/>
      </w:tblGrid>
      <w:tr>
        <w:trPr>
          <w:tblHeader/>
        </w:trP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 / cost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AI-tool directories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Self-serve submissions; AI assistants ingest them at scale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 / free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 first</w:t>
            </w:r>
          </w:p>
        </w:tc>
      </w:tr>
      <w:tr>
        <w:tc>
          <w:tcPr>
            <w:tcW w:type="dxa" w:w="23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Newswire PR</w:t>
            </w:r>
          </w:p>
        </w:tc>
        <w:tc>
          <w:tcPr>
            <w:tcW w:type="dxa" w:w="41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 assistants cite syndicated press releases (USA Today, Digital Journal, EIN, Business Wire, Cision)</w:t>
            </w:r>
          </w:p>
        </w:tc>
        <w:tc>
          <w:tcPr>
            <w:tcW w:type="dxa" w:w="16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Medium / paid</w:t>
            </w:r>
          </w:p>
        </w:tc>
        <w:tc>
          <w:tcPr>
            <w:tcW w:type="dxa" w:w="13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 next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Editorial "best-of" listicles</w:t>
            </w:r>
          </w:p>
        </w:tc>
        <w:tc>
          <w:tcPr>
            <w:tcW w:type="dxa" w:w="4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Outreach to be added to roundups (Rasa, Chatbase, Deepgram, AssemblyAI)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Medium / high effort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Note on link quality: </w:t>
      </w:r>
      <w:r>
        <w:t xml:space="preserve">most competitor backlinks are nofollow. This is fine for AI citations (assistants read the page regardless of link attribute) but contributes little to Google ranking — a further reason to treat GEO and classic SEO as separate tracks.</w:t>
      </w:r>
    </w:p>
    <w:p>
      <w:pPr>
        <w:pStyle w:val="Heading1"/>
        <w:spacing w:after="160" w:before="320"/>
      </w:pPr>
      <w:r>
        <w:t xml:space="preserve">7. Prioritised roadmap</w:t>
      </w:r>
    </w:p>
    <w:p>
      <w:pPr>
        <w:spacing w:after="140" w:line="288"/>
      </w:pPr>
      <w:r>
        <w:t xml:space="preserve">The plan sequences free, fast wins first, then compounding investments. "GEO" = getting cited in AI answers; "SEO" = classic Google ranking.</w:t>
      </w:r>
    </w:p>
    <w:tbl>
      <w:tblPr>
        <w:tblW w:type="dxa" w:w="9360"/>
        <w:tblBorders>
          <w:top w:val="single" w:color="C9D3DB" w:sz="4"/>
          <w:left w:val="single" w:color="C9D3DB" w:sz="4"/>
          <w:bottom w:val="single" w:color="C9D3DB" w:sz="4"/>
          <w:right w:val="single" w:color="C9D3DB" w:sz="4"/>
          <w:insideH w:val="single" w:color="C9D3DB" w:sz="4"/>
          <w:insideV w:val="single" w:color="C9D3DB" w:sz="4"/>
        </w:tblBorders>
      </w:tblPr>
      <w:tblGrid>
        <w:gridCol w:w="500"/>
        <w:gridCol w:w="3560"/>
        <w:gridCol w:w="1500"/>
        <w:gridCol w:w="900"/>
        <w:gridCol w:w="900"/>
        <w:gridCol w:w="2000"/>
      </w:tblGrid>
      <w:tr>
        <w:trPr>
          <w:tblHeader/>
        </w:trP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impact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AI-tool directory saturation sweep (Appendix A)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Broad GEO lift</w:t>
            </w:r>
          </w:p>
        </w:tc>
      </w:tr>
      <w:tr>
        <w:tc>
          <w:tcPr>
            <w:tcW w:type="dxa" w:w="5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Outreach to per-cluster "best-of" listicles</w:t>
            </w:r>
          </w:p>
        </w:tc>
        <w:tc>
          <w:tcPr>
            <w:tcW w:type="dxa" w:w="15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9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Free–low</w:t>
            </w:r>
          </w:p>
        </w:tc>
        <w:tc>
          <w:tcPr>
            <w:tcW w:type="dxa" w:w="20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Targeted GEO + SEO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Newswire PR cadence (HIPAA + white-label angles)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Direct GEO citations</w:t>
            </w:r>
          </w:p>
        </w:tc>
      </w:tr>
      <w:tr>
        <w:tc>
          <w:tcPr>
            <w:tcW w:type="dxa" w:w="5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HIPAA + CRM capability pages</w:t>
            </w:r>
          </w:p>
        </w:tc>
        <w:tc>
          <w:tcPr>
            <w:tcW w:type="dxa" w:w="15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Enterprise</w:t>
            </w:r>
          </w:p>
        </w:tc>
        <w:tc>
          <w:tcPr>
            <w:tcW w:type="dxa" w:w="9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Enters uncontested lane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AI-Overview + vertical (dental/HVAC) optimisation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Free–low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Most winnable whitespace</w:t>
            </w:r>
          </w:p>
        </w:tc>
      </w:tr>
      <w:tr>
        <w:tc>
          <w:tcPr>
            <w:tcW w:type="dxa" w:w="5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Targeted Reddit / YouTube (optional)</w:t>
            </w:r>
          </w:p>
        </w:tc>
        <w:tc>
          <w:tcPr>
            <w:tcW w:type="dxa" w:w="15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9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9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Google-organic only</w:t>
            </w:r>
          </w:p>
        </w:tc>
      </w:tr>
    </w:tbl>
    <w:p>
      <w:pPr>
        <w:pStyle w:val="Heading2"/>
        <w:spacing w:after="120" w:before="240"/>
      </w:pPr>
      <w:r>
        <w:t xml:space="preserve">Suggested sequencing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Weeks 1–2: Action 1 (free, immediate, broad lift).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Weeks 2–6: Actions 2 and 5 — pursue the two whitespaces while the directory sweep matures.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Ongoing / quarterly: Actions 3 and 4 — compounding authority; re-run the full audit each quarter to track share-of-citation movement.</w:t>
      </w:r>
    </w:p>
    <w:p>
      <w:pPr>
        <w:pStyle w:val="Heading1"/>
        <w:spacing w:after="160" w:before="320"/>
      </w:pPr>
      <w:r>
        <w:t xml:space="preserve">Appendix A — AI-tool directory submission list</w:t>
      </w:r>
    </w:p>
    <w:p>
      <w:pPr>
        <w:spacing w:after="140" w:line="288"/>
      </w:pPr>
      <w:r>
        <w:t xml:space="preserve">Derived from autocalls.ai’s referring-domain profile (the competitor at citation parity with Retell). These are self-serve submission targets; individually low-value, collectively high-coverage for AI-answer visibility. Full 132-domain list in competitor_backlinks_autocalls_dofollow.csv.</w:t>
      </w:r>
    </w:p>
    <w:tbl>
      <w:tblPr>
        <w:tblW w:type="dxa" w:w="9360"/>
        <w:tblBorders>
          <w:top w:val="single" w:color="C9D3DB" w:sz="4"/>
          <w:left w:val="single" w:color="C9D3DB" w:sz="4"/>
          <w:bottom w:val="single" w:color="C9D3DB" w:sz="4"/>
          <w:right w:val="single" w:color="C9D3DB" w:sz="4"/>
          <w:insideH w:val="single" w:color="C9D3DB" w:sz="4"/>
          <w:insideV w:val="single" w:color="C9D3D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Directory / aggregator (top by authority)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Directory / aggregator (cont.)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toolidx.com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chinaz.tv</w:t>
            </w:r>
          </w:p>
        </w:tc>
      </w:tr>
      <w:tr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aiseekify.com</w:t>
            </w:r>
          </w:p>
        </w:tc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best-ai-tools.org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topai.tools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best-ai.org</w:t>
            </w:r>
          </w:p>
        </w:tc>
      </w:tr>
      <w:tr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askaiforit.com</w:t>
            </w:r>
          </w:p>
        </w:tc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creati.ai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toolify.ai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seektool.ai</w:t>
            </w:r>
          </w:p>
        </w:tc>
      </w:tr>
      <w:tr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statusfield.com</w:t>
            </w:r>
          </w:p>
        </w:tc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agentery.com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luxoret.com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brainszone.ai</w:t>
            </w:r>
          </w:p>
        </w:tc>
      </w:tr>
      <w:tr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resourcelinkai.com</w:t>
            </w:r>
          </w:p>
        </w:tc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aieep.ai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xx7ai.com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producthunt.com</w:t>
            </w:r>
          </w:p>
        </w:tc>
      </w:tr>
      <w:tr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zhuaqian.cn</w:t>
            </w:r>
          </w:p>
        </w:tc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aiqlabs.ai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eliteaiappstore.com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meetindi.com</w:t>
            </w:r>
          </w:p>
        </w:tc>
      </w:tr>
      <w:tr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aiforia.io</w:t>
            </w:r>
          </w:p>
        </w:tc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artelligence.ma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aimatch.pro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everonai.com</w:t>
            </w:r>
          </w:p>
        </w:tc>
      </w:tr>
      <w:tr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omnia-ia.fr</w:t>
            </w:r>
          </w:p>
        </w:tc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neyropoisk.com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aidb.cc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neuron-networks.ru</w:t>
            </w:r>
          </w:p>
        </w:tc>
      </w:tr>
      <w:tr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tedix.dev</w:t>
            </w:r>
          </w:p>
        </w:tc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ainora.lt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kaigeai.com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abnewswire.com</w:t>
            </w:r>
          </w:p>
        </w:tc>
      </w:tr>
      <w:tr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allinoneai.io</w:t>
            </w:r>
          </w:p>
        </w:tc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innovaai.io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visulry.com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itbrandpulse.com</w:t>
            </w:r>
          </w:p>
        </w:tc>
      </w:tr>
      <w:tr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toolerific.ai</w:t>
            </w:r>
          </w:p>
        </w:tc>
        <w:tc>
          <w:tcPr>
            <w:tcW w:type="dxa" w:w="4680"/>
            <w:shd w:fill="EAF1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aitoolpath.com</w:t>
            </w:r>
          </w:p>
        </w:tc>
      </w:tr>
    </w:tbl>
    <w:p>
      <w:pPr>
        <w:pStyle w:val="Heading1"/>
        <w:spacing w:after="160" w:before="320"/>
      </w:pPr>
      <w:r>
        <w:t xml:space="preserve">Appendix B — Delivered data files</w:t>
      </w:r>
    </w:p>
    <w:p>
      <w:pPr>
        <w:spacing w:after="140" w:line="288"/>
      </w:pPr>
      <w:r>
        <w:t xml:space="preserve">All raw and processed data accompanies this document as CSV files in the seo-audit/trillet_dfs_out/ directory: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0"/>
          <w:szCs w:val="20"/>
        </w:rPr>
        <w:t xml:space="preserve">serp_rankings.csv — </w:t>
      </w:r>
      <w:r>
        <w:rPr>
          <w:sz w:val="20"/>
          <w:szCs w:val="20"/>
        </w:rPr>
        <w:t xml:space="preserve">Top-20 Google results per keyword, domain classification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0"/>
          <w:szCs w:val="20"/>
        </w:rPr>
        <w:t xml:space="preserve">ai_overview.csv — </w:t>
      </w:r>
      <w:r>
        <w:rPr>
          <w:sz w:val="20"/>
          <w:szCs w:val="20"/>
        </w:rPr>
        <w:t xml:space="preserve">Google AI Overview presence and cited domains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0"/>
          <w:szCs w:val="20"/>
        </w:rPr>
        <w:t xml:space="preserve">labs_keywords.csv — </w:t>
      </w:r>
      <w:r>
        <w:rPr>
          <w:sz w:val="20"/>
          <w:szCs w:val="20"/>
        </w:rPr>
        <w:t xml:space="preserve">Ranked keywords + volumes for Trillet vs 3 rivals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0"/>
          <w:szCs w:val="20"/>
        </w:rPr>
        <w:t xml:space="preserve">llm_answers.csv — </w:t>
      </w:r>
      <w:r>
        <w:rPr>
          <w:sz w:val="20"/>
          <w:szCs w:val="20"/>
        </w:rPr>
        <w:t xml:space="preserve">ChatGPT + Perplexity: Trillet named, competitors, citations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0"/>
          <w:szCs w:val="20"/>
        </w:rPr>
        <w:t xml:space="preserve">llm_answers_gemini_claude.csv — </w:t>
      </w:r>
      <w:r>
        <w:rPr>
          <w:sz w:val="20"/>
          <w:szCs w:val="20"/>
        </w:rPr>
        <w:t xml:space="preserve">Gemini + Claude white-label citation probe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0"/>
          <w:szCs w:val="20"/>
        </w:rPr>
        <w:t xml:space="preserve">share_of_voice.csv — </w:t>
      </w:r>
      <w:r>
        <w:rPr>
          <w:sz w:val="20"/>
          <w:szCs w:val="20"/>
        </w:rPr>
        <w:t xml:space="preserve">Cluster-level share-of-voice roll-up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0"/>
          <w:szCs w:val="20"/>
        </w:rPr>
        <w:t xml:space="preserve">enterprise_placement_targets.csv — </w:t>
      </w:r>
      <w:r>
        <w:rPr>
          <w:sz w:val="20"/>
          <w:szCs w:val="20"/>
        </w:rPr>
        <w:t xml:space="preserve">97 enterprise placement targets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0"/>
          <w:szCs w:val="20"/>
        </w:rPr>
        <w:t xml:space="preserve">receptionist_placement_targets.csv — </w:t>
      </w:r>
      <w:r>
        <w:rPr>
          <w:sz w:val="20"/>
          <w:szCs w:val="20"/>
        </w:rPr>
        <w:t xml:space="preserve">96 receptionist placement targets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0"/>
          <w:szCs w:val="20"/>
        </w:rPr>
        <w:t xml:space="preserve">competitor_backlinks_autocalls.csv / _dofollow.csv — </w:t>
      </w:r>
      <w:r>
        <w:rPr>
          <w:sz w:val="20"/>
          <w:szCs w:val="20"/>
        </w:rPr>
        <w:t xml:space="preserve">Competitor placement/directory footprint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0"/>
          <w:szCs w:val="20"/>
        </w:rPr>
        <w:t xml:space="preserve">cost_log.csv — </w:t>
      </w:r>
      <w:r>
        <w:rPr>
          <w:sz w:val="20"/>
          <w:szCs w:val="20"/>
        </w:rPr>
        <w:t xml:space="preserve">Every metered API call with running spend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3DB" w:sz="6"/>
      </w:pBdr>
      <w:spacing w:after="160" w:before="32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6B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Trillet Voice-AI SEO &amp; GEO Strategy</dc:title>
  <dc:creator>Trillet Growth</dc:creator>
  <dc:description>DataForSEO audit findings, placement targets, and roadmap</dc:description>
  <cp:lastModifiedBy>Un-named</cp:lastModifiedBy>
  <cp:revision>1</cp:revision>
  <dcterms:created xsi:type="dcterms:W3CDTF">2026-09-20T19:11:13.667Z</dcterms:created>
  <dcterms:modified xsi:type="dcterms:W3CDTF">2026-09-20T19:11:13.668Z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