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1 OF 6</w:t>
      </w:r>
    </w:p>
    <w:p>
      <w:pPr>
        <w:spacing w:after="70"/>
      </w:pPr>
      <w:r>
        <w:rPr>
          <w:rFonts w:ascii="Georgia" w:cs="Georgia" w:eastAsia="Georgia" w:hAnsi="Georgia"/>
          <w:b/>
          <w:bCs/>
          <w:color w:val="16223C"/>
          <w:sz w:val="36"/>
          <w:szCs w:val="36"/>
        </w:rPr>
        <w:t xml:space="preserve">What I Wish I Knew Before My First White-Label Partnership</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/blogs/white-label-partnerships-guide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White-Label Partnerships: What Nobody Tells You (2026)  (54)</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I resold voice AI for years before building Trillet. How white-label partnerships really work, where the margin goes, and what I check before I sign.  (147)</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partnerships</w:t>
      </w:r>
    </w:p>
    <w:p>
      <w:pPr>
        <w:spacing w:after="26"/>
      </w:pPr>
      <w:r>
        <w:rPr>
          <w:rFonts w:ascii="Consolas" w:cs="Consolas" w:eastAsia="Consolas" w:hAnsi="Consolas"/>
          <w:b/>
          <w:bCs/>
          <w:color w:val="9A6B3F"/>
          <w:sz w:val="14"/>
          <w:szCs w:val="14"/>
        </w:rPr>
        <w:t xml:space="preserve">SECONDARY   </w:t>
      </w:r>
      <w:r>
        <w:rPr>
          <w:rFonts w:ascii="Calibri" w:cs="Calibri" w:eastAsia="Calibri" w:hAnsi="Calibri"/>
          <w:b w:val="false"/>
          <w:bCs w:val="false"/>
          <w:color w:val="24303F"/>
          <w:sz w:val="17"/>
          <w:szCs w:val="17"/>
        </w:rPr>
        <w:t xml:space="preserve">white label partnership guide · how white label partnerships work · how to choose a white label partner · white label partner agreement</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Founder who resold voice AI, hit these problems, built Trillet to fix them, and now shares how they would approach it. First person throughout.</w:t>
      </w:r>
    </w:p>
    <w:p>
      <w:pPr>
        <w:spacing w:after="26"/>
      </w:pPr>
      <w:r>
        <w:rPr>
          <w:rFonts w:ascii="Consolas" w:cs="Consolas" w:eastAsia="Consolas" w:hAnsi="Consolas"/>
          <w:b/>
          <w:bCs/>
          <w:color w:val="9A6B3F"/>
          <w:sz w:val="14"/>
          <w:szCs w:val="14"/>
        </w:rPr>
        <w:t xml:space="preserve">INTERNAL LINKS   </w:t>
      </w:r>
      <w:r>
        <w:rPr>
          <w:rFonts w:ascii="Calibri" w:cs="Calibri" w:eastAsia="Calibri" w:hAnsi="Calibri"/>
          <w:b w:val="false"/>
          <w:bCs w:val="false"/>
          <w:color w:val="24303F"/>
          <w:sz w:val="17"/>
          <w:szCs w:val="17"/>
        </w:rPr>
        <w:t xml:space="preserve">4, all natural: profit-margins, built-in-compliance, /whitelabel, /partners. Dropped the two that read as forced (build-vs-buy aside, lone vertical link).</w:t>
      </w:r>
    </w:p>
    <w:p>
      <w:pPr>
        <w:pBdr>
          <w:bottom w:val="single" w:color="D9DEE8" w:sz="6"/>
        </w:pBdr>
        <w:spacing w:after="120" w:before="120"/>
      </w:pPr>
      <w:r>
        <w:t xml:space="preserve"/>
      </w:r>
    </w:p>
    <w:p>
      <w:pPr>
        <w:spacing w:after="16" w:before="90"/>
      </w:pPr>
      <w:r>
        <w:rPr>
          <w:rFonts w:ascii="Calibri" w:cs="Calibri" w:eastAsia="Calibri" w:hAnsi="Calibri"/>
          <w:b/>
          <w:bCs/>
          <w:color w:val="16223C"/>
          <w:sz w:val="20"/>
          <w:szCs w:val="20"/>
        </w:rPr>
        <w:t xml:space="preserve">Reconciled with the live site, 12 Sep 2026</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Compliance matches trillet.ai: SOC 2 Type II, ISO 27001, and operation under HIPAA, GDPR, ACMA, TCPA. No 'included on every plan at no cost' claim (site does not state it).</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Audit-trail claim verified: 'full audit trails and role-based access on every client workspace,' recordings and transcripts stored onshore.</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Partner structure correct: self-serve white-label platform vs the three tracks (reseller, referral, OEM).</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Real usage figure: $0.12/min (Studio $99/mo, Agency $299/mo).</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Founder-origin framing (resold voice AI, then built Trillet) must be true of the named author. Confirm the bio and byline before publish.</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Re-confirm pricing and certifications at publish; both can change. On-premise/data-residency is enterprise-tier, and the copy does not imply otherwise.</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For years I ran an agency reselling voice AI to local businesses, and I signed the kind of white-label deals this article is about. Some of them paid the bills for years. Others taught me the lessons here the hard way. The product was rarely what decided which way a deal went. What decided it was the unglamorous stuff nobody raises on the sales call: who answers when something breaks, whether the numbers still work after the vendor lifts its rates, and whether you can prove what your AI said when a client’s customer swears it said something else. I got tired of losing that fight on other people’s platforms, so I built Trillet. Here is what I learned, and how I would approach a white-label partnership today.</w:t>
      </w:r>
    </w:p>
    <w:p>
      <w:pPr>
        <w:spacing w:after="110" w:line="278"/>
      </w:pPr>
      <w:r>
        <w:rPr>
          <w:rFonts w:ascii="Calibri" w:cs="Calibri" w:eastAsia="Calibri" w:hAnsi="Calibri"/>
          <w:b w:val="false"/>
          <w:bCs w:val="false"/>
          <w:i w:val="false"/>
          <w:iCs w:val="false"/>
          <w:color w:val="24303F"/>
          <w:sz w:val="20"/>
          <w:szCs w:val="20"/>
        </w:rPr>
        <w:t xml:space="preserve">First the plain version, because vendors like to complicate it. A white-label partnership means you sell someone else’s product under your own brand. They build it and keep it running; you rebrand it, price it, sell it, and own the client. Everything that matters sits in what the sales page leaves out.</w:t>
      </w:r>
    </w:p>
    <w:p>
      <w:pPr>
        <w:spacing w:after="50" w:before="150"/>
      </w:pPr>
      <w:r>
        <w:rPr>
          <w:rFonts w:ascii="Georgia" w:cs="Georgia" w:eastAsia="Georgia" w:hAnsi="Georgia"/>
          <w:b/>
          <w:bCs/>
          <w:color w:val="16223C"/>
          <w:sz w:val="25"/>
          <w:szCs w:val="25"/>
        </w:rPr>
        <w:t xml:space="preserve">The word “white-label” hides four different deals</w:t>
      </w:r>
    </w:p>
    <w:p>
      <w:pPr>
        <w:spacing w:after="110" w:line="278"/>
      </w:pPr>
      <w:r>
        <w:rPr>
          <w:rFonts w:ascii="Calibri" w:cs="Calibri" w:eastAsia="Calibri" w:hAnsi="Calibri"/>
          <w:b w:val="false"/>
          <w:bCs w:val="false"/>
          <w:i w:val="false"/>
          <w:iCs w:val="false"/>
          <w:color w:val="24303F"/>
          <w:sz w:val="20"/>
          <w:szCs w:val="20"/>
        </w:rPr>
        <w:t xml:space="preserve">The first thing I got wrong was assuming white-label meant one fixed thing. It does not, and vendors tend to soften the differences on a call because they want you comfortable. Those differences decide how much control and how much margin you keep.</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50"/>
        <w:gridCol w:w="4650"/>
        <w:gridCol w:w="2960"/>
      </w:tblGrid>
      <w:tr>
        <w:trPr>
          <w:tblHeader/>
        </w:trPr>
        <w:tc>
          <w:tcPr>
            <w:tcW w:type="dxa" w:w="17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they call it</w:t>
            </w:r>
          </w:p>
        </w:tc>
        <w:tc>
          <w:tcPr>
            <w:tcW w:type="dxa" w:w="46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you actually get</w:t>
            </w:r>
          </w:p>
        </w:tc>
        <w:tc>
          <w:tcPr>
            <w:tcW w:type="dxa" w:w="29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Who owns the client</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White-label</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product sold fully as your brand, your pricing.</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Reseller</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sell it, often with the vendor’s brand showing, for a margin.</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Shared, leaning vendor</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Referral</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 pass leads over and take a cut. Nothing is yours.</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Vendor</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OEM</w:t>
            </w:r>
          </w:p>
        </w:tc>
        <w:tc>
          <w:tcPr>
            <w:tcW w:type="dxa" w:w="46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Their engine sits inside your own product.</w:t>
            </w:r>
          </w:p>
        </w:tc>
        <w:tc>
          <w:tcPr>
            <w:tcW w:type="dxa" w:w="29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You</w:t>
            </w:r>
          </w:p>
        </w:tc>
      </w:tr>
    </w:tbl>
    <w:p>
      <w:pPr>
        <w:spacing w:after="110" w:line="278"/>
      </w:pPr>
      <w:r>
        <w:rPr>
          <w:rFonts w:ascii="Calibri" w:cs="Calibri" w:eastAsia="Calibri" w:hAnsi="Calibri"/>
          <w:b w:val="false"/>
          <w:bCs w:val="false"/>
          <w:i w:val="false"/>
          <w:iCs w:val="false"/>
          <w:color w:val="24303F"/>
          <w:sz w:val="20"/>
          <w:szCs w:val="20"/>
        </w:rPr>
        <w:t xml:space="preserve">If the contract says white-label but the dashboard still shows the vendor’s name and the invoices come from them, you have a reseller arrangement with better marketing. Ask to see the branded product working before you trust the label.</w:t>
      </w:r>
    </w:p>
    <w:p>
      <w:pPr>
        <w:spacing w:after="50" w:before="150"/>
      </w:pPr>
      <w:r>
        <w:rPr>
          <w:rFonts w:ascii="Georgia" w:cs="Georgia" w:eastAsia="Georgia" w:hAnsi="Georgia"/>
          <w:b/>
          <w:bCs/>
          <w:color w:val="16223C"/>
          <w:sz w:val="25"/>
          <w:szCs w:val="25"/>
        </w:rPr>
        <w:t xml:space="preserve">Where the margin actually goes</w:t>
      </w:r>
    </w:p>
    <w:p>
      <w:pPr>
        <w:spacing w:after="110" w:line="278"/>
      </w:pPr>
      <w:r>
        <w:rPr>
          <w:rFonts w:ascii="Calibri" w:cs="Calibri" w:eastAsia="Calibri" w:hAnsi="Calibri"/>
          <w:b w:val="false"/>
          <w:bCs w:val="false"/>
          <w:i w:val="false"/>
          <w:iCs w:val="false"/>
          <w:color w:val="24303F"/>
          <w:sz w:val="20"/>
          <w:szCs w:val="20"/>
        </w:rPr>
        <w:t xml:space="preserve">The pitch never changes: pay wholesale, charge retail, keep the difference, and it recurs every month. That part is real. Two things ate into my margin, and both are avoidable once you know to look.</w:t>
      </w:r>
    </w:p>
    <w:p>
      <w:pPr>
        <w:spacing w:after="110" w:line="278"/>
      </w:pPr>
      <w:r>
        <w:rPr>
          <w:rFonts w:ascii="Calibri" w:cs="Calibri" w:eastAsia="Calibri" w:hAnsi="Calibri"/>
          <w:b w:val="false"/>
          <w:bCs w:val="false"/>
          <w:i w:val="false"/>
          <w:iCs w:val="false"/>
          <w:color w:val="24303F"/>
          <w:sz w:val="20"/>
          <w:szCs w:val="20"/>
        </w:rPr>
        <w:t xml:space="preserve">The first is pricing a usage-based cost as if it were fixed. Most platforms bill per minute. If you sell a client a flat monthly price and one heavy user runs the minutes up, your margin on that account can fall to nothing before you notice. I price everything with a usage band now, and when we built Trillet we kept usage at a flat $0.12 a minute so the maths stays predictable for the agencies reselling it. The fuller numbers are in our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w:t>
      </w:r>
    </w:p>
    <w:p>
      <w:pPr>
        <w:spacing w:after="110" w:line="278"/>
      </w:pPr>
      <w:r>
        <w:rPr>
          <w:rFonts w:ascii="Calibri" w:cs="Calibri" w:eastAsia="Calibri" w:hAnsi="Calibri"/>
          <w:b w:val="false"/>
          <w:bCs w:val="false"/>
          <w:i w:val="false"/>
          <w:iCs w:val="false"/>
          <w:color w:val="24303F"/>
          <w:sz w:val="20"/>
          <w:szCs w:val="20"/>
        </w:rPr>
        <w:t xml:space="preserve">The second is rate creep. You lock a client’s price to win the deal, then the vendor lifts its wholesale rate or moves a feature you rely on into a higher tier, and the squeeze lands on you. I lost real margin this way before I learned to assume wholesale pricing will move, and to get in writing how far and how often it can.</w:t>
      </w:r>
    </w:p>
    <w:p>
      <w:pPr>
        <w:spacing w:after="50" w:before="150"/>
      </w:pPr>
      <w:r>
        <w:rPr>
          <w:rFonts w:ascii="Georgia" w:cs="Georgia" w:eastAsia="Georgia" w:hAnsi="Georgia"/>
          <w:b/>
          <w:bCs/>
          <w:color w:val="16223C"/>
          <w:sz w:val="25"/>
          <w:szCs w:val="25"/>
        </w:rPr>
        <w:t xml:space="preserve">You own every mistake the agent makes</w:t>
      </w:r>
    </w:p>
    <w:p>
      <w:pPr>
        <w:spacing w:after="110" w:line="278"/>
      </w:pPr>
      <w:r>
        <w:rPr>
          <w:rFonts w:ascii="Calibri" w:cs="Calibri" w:eastAsia="Calibri" w:hAnsi="Calibri"/>
          <w:b w:val="false"/>
          <w:bCs w:val="false"/>
          <w:i w:val="false"/>
          <w:iCs w:val="false"/>
          <w:color w:val="24303F"/>
          <w:sz w:val="20"/>
          <w:szCs w:val="20"/>
        </w:rPr>
        <w:t xml:space="preserve">This is the risk people underestimate, and it is the one that pushed me to build Trillet. When the agent wears your brand, a wrong answer, an invented policy or a botched booking reads to the client’s customer as your mistake, not the vendor’s.</w:t>
      </w:r>
    </w:p>
    <w:p>
      <w:pPr>
        <w:spacing w:after="110" w:line="278"/>
      </w:pPr>
      <w:r>
        <w:rPr>
          <w:rFonts w:ascii="Calibri" w:cs="Calibri" w:eastAsia="Calibri" w:hAnsi="Calibri"/>
          <w:b w:val="false"/>
          <w:bCs w:val="false"/>
          <w:i w:val="false"/>
          <w:iCs w:val="false"/>
          <w:color w:val="24303F"/>
          <w:sz w:val="20"/>
          <w:szCs w:val="20"/>
        </w:rPr>
        <w:t xml:space="preserve">It was worst at the support desk. A customer would complain to my client, my client would come to me, and I would go to the vendor holding a ticket with nothing attached: no recording, no transcript, no log of what the agent said or which tool it called. I was apologising for something I could not see, while my client watched how I handled it.</w:t>
      </w:r>
    </w:p>
    <w:p>
      <w:pPr>
        <w:spacing w:after="110" w:line="278"/>
      </w:pPr>
      <w:r>
        <w:rPr>
          <w:rFonts w:ascii="Calibri" w:cs="Calibri" w:eastAsia="Calibri" w:hAnsi="Calibri"/>
          <w:b w:val="false"/>
          <w:bCs w:val="false"/>
          <w:i w:val="false"/>
          <w:iCs w:val="false"/>
          <w:color w:val="24303F"/>
          <w:sz w:val="20"/>
          <w:szCs w:val="20"/>
        </w:rPr>
        <w:t xml:space="preserve">That is the specific problem Trillet was built to end. Every client workspace keeps full audit trails and role-based access, and recordings and transcripts are kept, so a disputed call is something you open and read rather than guess at. We made compliance part of the platform for the same reason: SOC 2 Type II and ISO 27001, and operation under HIPAA, GDPR, ACMA and TCPA, because when your clients are clinics or law firms you cannot bolt that on afterwards. If that is the part you care about, our </w:t>
      </w:r>
      <w:r>
        <w:rPr>
          <w:rFonts w:ascii="Calibri" w:cs="Calibri" w:eastAsia="Calibri" w:hAnsi="Calibri"/>
          <w:color w:val="1B5E86"/>
          <w:sz w:val="20"/>
          <w:szCs w:val="20"/>
          <w:u w:val="single"/>
        </w:rPr>
        <w:t xml:space="preserve">white-label AI with built-in compliance</w:t>
      </w:r>
      <w:r>
        <w:rPr>
          <w:rFonts w:ascii="Consolas" w:cs="Consolas" w:eastAsia="Consolas" w:hAnsi="Consolas"/>
          <w:color w:val="5A6675"/>
          <w:sz w:val="12"/>
          <w:szCs w:val="12"/>
        </w:rPr>
        <w:t xml:space="preserve"> [/blogs/white-label-ai-with-built-in-compliance]</w:t>
      </w:r>
      <w:r>
        <w:rPr>
          <w:rFonts w:ascii="Calibri" w:cs="Calibri" w:eastAsia="Calibri" w:hAnsi="Calibri"/>
          <w:b w:val="false"/>
          <w:bCs w:val="false"/>
          <w:i w:val="false"/>
          <w:iCs w:val="false"/>
          <w:color w:val="24303F"/>
          <w:sz w:val="20"/>
          <w:szCs w:val="20"/>
        </w:rPr>
        <w:t xml:space="preserve"> page goes deeper.</w:t>
      </w:r>
    </w:p>
    <w:p>
      <w:pPr>
        <w:spacing w:after="50" w:before="150"/>
      </w:pPr>
      <w:r>
        <w:rPr>
          <w:rFonts w:ascii="Georgia" w:cs="Georgia" w:eastAsia="Georgia" w:hAnsi="Georgia"/>
          <w:b/>
          <w:bCs/>
          <w:color w:val="16223C"/>
          <w:sz w:val="25"/>
          <w:szCs w:val="25"/>
        </w:rPr>
        <w:t xml:space="preserve">How I choose a partner now</w:t>
      </w:r>
    </w:p>
    <w:p>
      <w:pPr>
        <w:spacing w:after="110" w:line="278"/>
      </w:pPr>
      <w:r>
        <w:rPr>
          <w:rFonts w:ascii="Calibri" w:cs="Calibri" w:eastAsia="Calibri" w:hAnsi="Calibri"/>
          <w:b w:val="false"/>
          <w:bCs w:val="false"/>
          <w:i w:val="false"/>
          <w:iCs w:val="false"/>
          <w:color w:val="24303F"/>
          <w:sz w:val="20"/>
          <w:szCs w:val="20"/>
        </w:rPr>
        <w:t xml:space="preserve">After those lessons I stopped being swayed by the demo and started working the same list every time. The left column is what I ask. The right column is what makes me walk away.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050"/>
        <w:gridCol w:w="4360"/>
        <w:gridCol w:w="2950"/>
      </w:tblGrid>
      <w:tr>
        <w:trPr>
          <w:tblHeader/>
        </w:trPr>
        <w:tc>
          <w:tcPr>
            <w:tcW w:type="dxa" w:w="20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 check</w:t>
            </w:r>
          </w:p>
        </w:tc>
        <w:tc>
          <w:tcPr>
            <w:tcW w:type="dxa" w:w="43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 want to hear</w:t>
            </w:r>
          </w:p>
        </w:tc>
        <w:tc>
          <w:tcPr>
            <w:tcW w:type="dxa" w:w="29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makes me walk</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real margin</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wholesale rate I can forecast, with room to price sensibly.</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Usage pricing that swings in ways I cannot predict.</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How deep the branding goes</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My domain, my dashboard, my billing. The client never meets the vendor.</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logo skin with the vendor’s name still showing.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Who fixes it, and how fast</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named support path faster than my client expects.</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‘Submit a ticket’ and a shrug.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Whether I can see what happened</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 full record of every conversation, mine to pull.</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No transcript, no audio, no log.</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The contract</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Clear term, priced locks, my data stays mine, a clean exit.</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Auto lock-ins and the vendor owning the data.</w:t>
            </w:r>
          </w:p>
        </w:tc>
      </w:tr>
      <w:tr>
        <w:tc>
          <w:tcPr>
            <w:tcW w:type="dxa" w:w="2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w:t>
            </w:r>
          </w:p>
        </w:tc>
        <w:tc>
          <w:tcPr>
            <w:tcW w:type="dxa" w:w="43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Certified and provable, backed by a real record.</w:t>
            </w:r>
          </w:p>
        </w:tc>
        <w:tc>
          <w:tcPr>
            <w:tcW w:type="dxa" w:w="29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4"/>
                <w:szCs w:val="14"/>
              </w:rPr>
              <w:t xml:space="preserve">Compliance treated as an upsell, or hand-waving.</w:t>
            </w:r>
          </w:p>
        </w:tc>
      </w:tr>
    </w:tbl>
    <w:p>
      <w:pPr>
        <w:spacing w:after="50" w:before="150"/>
      </w:pPr>
      <w:r>
        <w:rPr>
          <w:rFonts w:ascii="Georgia" w:cs="Georgia" w:eastAsia="Georgia" w:hAnsi="Georgia"/>
          <w:b/>
          <w:bCs/>
          <w:color w:val="16223C"/>
          <w:sz w:val="25"/>
          <w:szCs w:val="25"/>
        </w:rPr>
        <w:t xml:space="preserve">The contract clauses I insist on now</w:t>
      </w:r>
    </w:p>
    <w:p>
      <w:pPr>
        <w:spacing w:after="110" w:line="278"/>
      </w:pPr>
      <w:r>
        <w:rPr>
          <w:rFonts w:ascii="Calibri" w:cs="Calibri" w:eastAsia="Calibri" w:hAnsi="Calibri"/>
          <w:b w:val="false"/>
          <w:bCs w:val="false"/>
          <w:i w:val="false"/>
          <w:iCs w:val="false"/>
          <w:color w:val="24303F"/>
          <w:sz w:val="20"/>
          <w:szCs w:val="20"/>
        </w:rPr>
        <w:t xml:space="preserve">A white-label deal is a multi-year commitment whether the contract admits it or not, because switching vendors later means re-platforming every client you signed. I get these in writing first: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A pricing lock, or at least a cap. </w:t>
      </w:r>
      <w:r>
        <w:rPr>
          <w:rFonts w:ascii="Calibri" w:cs="Calibri" w:eastAsia="Calibri" w:hAnsi="Calibri"/>
          <w:b w:val="false"/>
          <w:bCs w:val="false"/>
          <w:i w:val="false"/>
          <w:iCs w:val="false"/>
          <w:color w:val="24303F"/>
          <w:sz w:val="20"/>
          <w:szCs w:val="20"/>
        </w:rPr>
        <w:t xml:space="preserve">How far the wholesale rate can move, and how often. I have seen a small top-up fee climb sharply once agencies were already committed.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My data stays mine. </w:t>
      </w:r>
      <w:r>
        <w:rPr>
          <w:rFonts w:ascii="Calibri" w:cs="Calibri" w:eastAsia="Calibri" w:hAnsi="Calibri"/>
          <w:b w:val="false"/>
          <w:bCs w:val="false"/>
          <w:i w:val="false"/>
          <w:iCs w:val="false"/>
          <w:color w:val="24303F"/>
          <w:sz w:val="20"/>
          <w:szCs w:val="20"/>
        </w:rPr>
        <w:t xml:space="preserve">Exportable, and not the vendor’s to reuse or train on.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A clean exit. </w:t>
      </w:r>
      <w:r>
        <w:rPr>
          <w:rFonts w:ascii="Calibri" w:cs="Calibri" w:eastAsia="Calibri" w:hAnsi="Calibri"/>
          <w:b w:val="false"/>
          <w:bCs w:val="false"/>
          <w:i w:val="false"/>
          <w:iCs w:val="false"/>
          <w:color w:val="24303F"/>
          <w:sz w:val="20"/>
          <w:szCs w:val="20"/>
        </w:rPr>
        <w:t xml:space="preserve">What happens to live clients the day I leave.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Deprecation notice. </w:t>
      </w:r>
      <w:r>
        <w:rPr>
          <w:rFonts w:ascii="Calibri" w:cs="Calibri" w:eastAsia="Calibri" w:hAnsi="Calibri"/>
          <w:b w:val="false"/>
          <w:bCs w:val="false"/>
          <w:i w:val="false"/>
          <w:iCs w:val="false"/>
          <w:color w:val="24303F"/>
          <w:sz w:val="20"/>
          <w:szCs w:val="20"/>
        </w:rPr>
        <w:t xml:space="preserve">Fair warning before a feature I sell on gets moved or removed.</w:t>
      </w:r>
    </w:p>
    <w:p>
      <w:pPr>
        <w:spacing w:after="110" w:line="278"/>
      </w:pPr>
      <w:r>
        <w:rPr>
          <w:rFonts w:ascii="Calibri" w:cs="Calibri" w:eastAsia="Calibri" w:hAnsi="Calibri"/>
          <w:b w:val="false"/>
          <w:bCs w:val="false"/>
          <w:i w:val="false"/>
          <w:iCs w:val="false"/>
          <w:color w:val="24303F"/>
          <w:sz w:val="20"/>
          <w:szCs w:val="20"/>
        </w:rPr>
        <w:t xml:space="preserve">None of this is legal advice, and I still have a lawyer read anything before signing. Going in knowing what to protect changes the whole conversation.</w:t>
      </w:r>
    </w:p>
    <w:p>
      <w:pPr>
        <w:spacing w:after="50" w:before="150"/>
      </w:pPr>
      <w:r>
        <w:rPr>
          <w:rFonts w:ascii="Georgia" w:cs="Georgia" w:eastAsia="Georgia" w:hAnsi="Georgia"/>
          <w:b/>
          <w:bCs/>
          <w:color w:val="16223C"/>
          <w:sz w:val="25"/>
          <w:szCs w:val="25"/>
        </w:rPr>
        <w:t xml:space="preserve">Who white-label voice AI actually suits</w:t>
      </w:r>
    </w:p>
    <w:p>
      <w:pPr>
        <w:spacing w:after="110" w:line="278"/>
      </w:pPr>
      <w:r>
        <w:rPr>
          <w:rFonts w:ascii="Calibri" w:cs="Calibri" w:eastAsia="Calibri" w:hAnsi="Calibri"/>
          <w:b w:val="false"/>
          <w:bCs w:val="false"/>
          <w:i w:val="false"/>
          <w:iCs w:val="false"/>
          <w:color w:val="24303F"/>
          <w:sz w:val="20"/>
          <w:szCs w:val="20"/>
        </w:rPr>
        <w:t xml:space="preserve">I will not pretend it suits everyone. White-label voice AI works best when your clients live on the phone and lose real money on a missed call: legal intake, medical reception, home services, real estate. Those are also the clients who care most about compliance and a defensible record, which is where it pays off. If your clients will not pay monthly, or you cannot staff even light support, this will frustrate you, and it is better to know that before you sign.</w:t>
      </w:r>
    </w:p>
    <w:p>
      <w:pPr>
        <w:spacing w:after="50" w:before="150"/>
      </w:pPr>
      <w:r>
        <w:rPr>
          <w:rFonts w:ascii="Georgia" w:cs="Georgia" w:eastAsia="Georgia" w:hAnsi="Georgia"/>
          <w:b/>
          <w:bCs/>
          <w:color w:val="16223C"/>
          <w:sz w:val="25"/>
          <w:szCs w:val="25"/>
        </w:rPr>
        <w:t xml:space="preserve">How I’d start today</w:t>
      </w:r>
    </w:p>
    <w:p>
      <w:pPr>
        <w:spacing w:after="110" w:line="278"/>
      </w:pPr>
      <w:r>
        <w:rPr>
          <w:rFonts w:ascii="Calibri" w:cs="Calibri" w:eastAsia="Calibri" w:hAnsi="Calibri"/>
          <w:b w:val="false"/>
          <w:bCs w:val="false"/>
          <w:i w:val="false"/>
          <w:iCs w:val="false"/>
          <w:color w:val="24303F"/>
          <w:sz w:val="20"/>
          <w:szCs w:val="20"/>
        </w:rPr>
        <w:t xml:space="preserve">If I were starting again, I would start narrow. Pick one vertical you already understand, sign two or three clients before you touch your pricing page, and price for a margin that survives a jump in usage. Lead with the record-keeping and compliance where your clients are regulated, because that is the part most competitors gloss over.</w:t>
      </w:r>
    </w:p>
    <w:p>
      <w:pPr>
        <w:spacing w:after="110" w:line="278"/>
      </w:pPr>
      <w:r>
        <w:rPr>
          <w:rFonts w:ascii="Calibri" w:cs="Calibri" w:eastAsia="Calibri" w:hAnsi="Calibri"/>
          <w:b w:val="false"/>
          <w:bCs w:val="false"/>
          <w:i w:val="false"/>
          <w:iCs w:val="false"/>
          <w:color w:val="24303F"/>
          <w:sz w:val="20"/>
          <w:szCs w:val="20"/>
        </w:rPr>
        <w:t xml:space="preserve">When you compare platforms, the way we built Trillet splits into two paths. The </w:t>
      </w:r>
      <w:r>
        <w:rPr>
          <w:rFonts w:ascii="Calibri" w:cs="Calibri" w:eastAsia="Calibri" w:hAnsi="Calibri"/>
          <w:color w:val="1B5E86"/>
          <w:sz w:val="20"/>
          <w:szCs w:val="20"/>
          <w:u w:val="single"/>
        </w:rPr>
        <w:t xml:space="preserve">white-label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is self-serve for agencies building under their own brand. The reseller, referral and OEM tracks in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are formal arrangements with terms set around your volume. Pick the path that matches how hands-on you want to be.</w:t>
      </w:r>
    </w:p>
    <w:p>
      <w:pPr>
        <w:spacing w:after="50" w:before="150"/>
      </w:pPr>
      <w:r>
        <w:rPr>
          <w:rFonts w:ascii="Georgia" w:cs="Georgia" w:eastAsia="Georgia" w:hAnsi="Georgia"/>
          <w:b/>
          <w:bCs/>
          <w:color w:val="16223C"/>
          <w:sz w:val="25"/>
          <w:szCs w:val="25"/>
        </w:rPr>
        <w:t xml:space="preserve">Questions I get asked most</w:t>
      </w:r>
    </w:p>
    <w:p>
      <w:pPr>
        <w:spacing w:after="16" w:before="90"/>
      </w:pPr>
      <w:r>
        <w:rPr>
          <w:rFonts w:ascii="Calibri" w:cs="Calibri" w:eastAsia="Calibri" w:hAnsi="Calibri"/>
          <w:b/>
          <w:bCs/>
          <w:color w:val="16223C"/>
          <w:sz w:val="20"/>
          <w:szCs w:val="20"/>
        </w:rPr>
        <w:t xml:space="preserve">What actually is a white-label partnership?</w:t>
      </w:r>
    </w:p>
    <w:p>
      <w:pPr>
        <w:spacing w:after="110" w:line="278"/>
      </w:pPr>
      <w:r>
        <w:rPr>
          <w:rFonts w:ascii="Calibri" w:cs="Calibri" w:eastAsia="Calibri" w:hAnsi="Calibri"/>
          <w:b w:val="false"/>
          <w:bCs w:val="false"/>
          <w:i w:val="false"/>
          <w:iCs w:val="false"/>
          <w:color w:val="24303F"/>
          <w:sz w:val="20"/>
          <w:szCs w:val="20"/>
        </w:rPr>
        <w:t xml:space="preserve">You sell another company’s product under your own brand. They build and run it; you rebrand it, set the price, sell it, and keep the client and the margin.</w:t>
      </w:r>
    </w:p>
    <w:p>
      <w:pPr>
        <w:spacing w:after="16" w:before="90"/>
      </w:pPr>
      <w:r>
        <w:rPr>
          <w:rFonts w:ascii="Calibri" w:cs="Calibri" w:eastAsia="Calibri" w:hAnsi="Calibri"/>
          <w:b/>
          <w:bCs/>
          <w:color w:val="16223C"/>
          <w:sz w:val="20"/>
          <w:szCs w:val="20"/>
        </w:rPr>
        <w:t xml:space="preserve">What’s the difference between white-label, reseller and OEM?</w:t>
      </w:r>
    </w:p>
    <w:p>
      <w:pPr>
        <w:spacing w:after="110" w:line="278"/>
      </w:pPr>
      <w:r>
        <w:rPr>
          <w:rFonts w:ascii="Calibri" w:cs="Calibri" w:eastAsia="Calibri" w:hAnsi="Calibri"/>
          <w:b w:val="false"/>
          <w:bCs w:val="false"/>
          <w:i w:val="false"/>
          <w:iCs w:val="false"/>
          <w:color w:val="24303F"/>
          <w:sz w:val="20"/>
          <w:szCs w:val="20"/>
        </w:rPr>
        <w:t xml:space="preserve">White-label is fully your brand. Reselling usually keeps the vendor’s brand showing for a commission. OEM means their technology sits inside your own product. Check the branding depth before you trust the label.</w:t>
      </w:r>
    </w:p>
    <w:p>
      <w:pPr>
        <w:spacing w:after="16" w:before="90"/>
      </w:pPr>
      <w:r>
        <w:rPr>
          <w:rFonts w:ascii="Calibri" w:cs="Calibri" w:eastAsia="Calibri" w:hAnsi="Calibri"/>
          <w:b/>
          <w:bCs/>
          <w:color w:val="16223C"/>
          <w:sz w:val="20"/>
          <w:szCs w:val="20"/>
        </w:rPr>
        <w:t xml:space="preserve">How much margin can I keep?</w:t>
      </w:r>
    </w:p>
    <w:p>
      <w:pPr>
        <w:spacing w:after="110" w:line="278"/>
      </w:pPr>
      <w:r>
        <w:rPr>
          <w:rFonts w:ascii="Calibri" w:cs="Calibri" w:eastAsia="Calibri" w:hAnsi="Calibri"/>
          <w:b w:val="false"/>
          <w:bCs w:val="false"/>
          <w:i w:val="false"/>
          <w:iCs w:val="false"/>
          <w:color w:val="24303F"/>
          <w:sz w:val="20"/>
          <w:szCs w:val="20"/>
        </w:rPr>
        <w:t xml:space="preserve">The gap between wholesale and your retail price, every month a client stays. It is healthy and recurring, but usage-based costs can erode it, so price with a band rather than a flat rate.</w:t>
      </w:r>
    </w:p>
    <w:p>
      <w:pPr>
        <w:spacing w:after="16" w:before="90"/>
      </w:pPr>
      <w:r>
        <w:rPr>
          <w:rFonts w:ascii="Calibri" w:cs="Calibri" w:eastAsia="Calibri" w:hAnsi="Calibri"/>
          <w:b/>
          <w:bCs/>
          <w:color w:val="16223C"/>
          <w:sz w:val="20"/>
          <w:szCs w:val="20"/>
        </w:rPr>
        <w:t xml:space="preserve">What’s the biggest risk people underestimate?</w:t>
      </w:r>
    </w:p>
    <w:p>
      <w:pPr>
        <w:spacing w:after="110" w:line="278"/>
      </w:pPr>
      <w:r>
        <w:rPr>
          <w:rFonts w:ascii="Calibri" w:cs="Calibri" w:eastAsia="Calibri" w:hAnsi="Calibri"/>
          <w:b w:val="false"/>
          <w:bCs w:val="false"/>
          <w:i w:val="false"/>
          <w:iCs w:val="false"/>
          <w:color w:val="24303F"/>
          <w:sz w:val="20"/>
          <w:szCs w:val="20"/>
        </w:rPr>
        <w:t xml:space="preserve">That you own every mistake the AI makes under your brand. If you cannot pull a record of what the agent said, you cannot defend yourself when a client’s customer disputes a call.</w:t>
      </w:r>
    </w:p>
    <w:p>
      <w:pPr>
        <w:spacing w:after="16" w:before="90"/>
      </w:pPr>
      <w:r>
        <w:rPr>
          <w:rFonts w:ascii="Calibri" w:cs="Calibri" w:eastAsia="Calibri" w:hAnsi="Calibri"/>
          <w:b/>
          <w:bCs/>
          <w:color w:val="16223C"/>
          <w:sz w:val="20"/>
          <w:szCs w:val="20"/>
        </w:rPr>
        <w:t xml:space="preserve">What has to be in the agreement?</w:t>
      </w:r>
    </w:p>
    <w:p>
      <w:pPr>
        <w:spacing w:after="110" w:line="278"/>
      </w:pPr>
      <w:r>
        <w:rPr>
          <w:rFonts w:ascii="Calibri" w:cs="Calibri" w:eastAsia="Calibri" w:hAnsi="Calibri"/>
          <w:b w:val="false"/>
          <w:bCs w:val="false"/>
          <w:i w:val="false"/>
          <w:iCs w:val="false"/>
          <w:color w:val="24303F"/>
          <w:sz w:val="20"/>
          <w:szCs w:val="20"/>
        </w:rPr>
        <w:t xml:space="preserve">A pricing lock or cap, clear data ownership, a clean exit for live clients, and notice before features change. Then have a lawyer read it.</w:t>
      </w:r>
    </w:p>
    <w:p>
      <w:pPr>
        <w:spacing w:after="16" w:before="90"/>
      </w:pPr>
      <w:r>
        <w:rPr>
          <w:rFonts w:ascii="Calibri" w:cs="Calibri" w:eastAsia="Calibri" w:hAnsi="Calibri"/>
          <w:b/>
          <w:bCs/>
          <w:color w:val="16223C"/>
          <w:sz w:val="20"/>
          <w:szCs w:val="20"/>
        </w:rPr>
        <w:t xml:space="preserve">Does compliance carry through when I rebrand it?</w:t>
      </w:r>
    </w:p>
    <w:p>
      <w:pPr>
        <w:spacing w:after="110" w:line="278"/>
      </w:pPr>
      <w:r>
        <w:rPr>
          <w:rFonts w:ascii="Calibri" w:cs="Calibri" w:eastAsia="Calibri" w:hAnsi="Calibri"/>
          <w:b w:val="false"/>
          <w:bCs w:val="false"/>
          <w:i w:val="false"/>
          <w:iCs w:val="false"/>
          <w:color w:val="24303F"/>
          <w:sz w:val="20"/>
          <w:szCs w:val="20"/>
        </w:rPr>
        <w:t xml:space="preserve">Only if the platform is genuinely compliant underneath. Trillet is SOC 2 Type II and ISO 27001 certified and operates under HIPAA, GDPR, ACMA and TCPA, with full audit trails on every client workspace, so it holds when you resell under your brand.</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BreadcrumbList. FAQ answers must match the on-page FAQ verbatim; author must be the real founder/byline.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"headline":"White-Label Partnerships: What Nobody Tells You",</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"datePublished":"2026-09-14","dateModified":"2026-09-14",</w:t>
            </w:r>
          </w:p>
          <w:p>
            <w:pPr>
              <w:spacing w:after="0" w:line="230"/>
            </w:pPr>
            <w:r>
              <w:rPr>
                <w:rFonts w:ascii="Consolas" w:cs="Consolas" w:eastAsia="Consolas" w:hAnsi="Consolas"/>
                <w:color w:val="24303F"/>
                <w:sz w:val="13"/>
                <w:szCs w:val="13"/>
              </w:rPr>
              <w:t xml:space="preserve">    "mainEntityOfPage":"https://trillet.ai/blogs/white-label-partnerships-guide"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Partnerships"}]}</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2026-09-12T15:47:59.382Z</dcterms:created>
  <dcterms:modified xsi:type="dcterms:W3CDTF">2026-09-12T15:47:59.400Z</dcterms:modified>
</cp:coreProperties>
</file>

<file path=docProps/custom.xml><?xml version="1.0" encoding="utf-8"?>
<Properties xmlns="http://schemas.openxmlformats.org/officeDocument/2006/custom-properties" xmlns:vt="http://schemas.openxmlformats.org/officeDocument/2006/docPropsVTypes"/>
</file>