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color w:val="52646A"/>
          <w:spacing w:val="20"/>
          <w:sz w:val="17"/>
          <w:szCs w:val="17"/>
        </w:rPr>
        <w:t xml:space="preserve">STRATEGY DOCUMENT  |  CANADA PUBLIC SECTOR &amp; HEALTHCARE  |  30 SEPTEMBER 2026</w:t>
      </w:r>
    </w:p>
    <w:p>
      <w:pPr>
        <w:pStyle w:val="Title"/>
      </w:pPr>
      <w:r>
        <w:t xml:space="preserve">Canada's US-supplier restrictions: the opening for Trillet</w:t>
      </w:r>
    </w:p>
    <w:p>
      <w:pPr>
        <w:spacing w:after="120" w:line="288"/>
      </w:pPr>
      <w:r>
        <w:rPr>
          <w:color w:val="52646A"/>
          <w:sz w:val="23"/>
          <w:szCs w:val="23"/>
        </w:rPr>
        <w:t xml:space="preserve">What Canada has changed in public procurement, why an Australian vendor can bid where US voice AI vendors are increasingly restricted, what we must confirm first, and the content plan to capture demand.</w:t>
      </w:r>
    </w:p>
    <w:p>
      <w:pPr>
        <w:pStyle w:val="Heading1"/>
      </w:pPr>
      <w:r>
        <w:t xml:space="preserve">1.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4726"/>
      </w:tblGrid>
      <w:tr>
        <w:trPr>
          <w:tblHeader/>
        </w:trPr>
        <w:tc>
          <w:tcPr>
            <w:tcW w:type="dxa" w:w="2000"/>
            <w:tcBorders>
              <w:top w:val="single" w:color="D6E0E1" w:sz="4"/>
              <w:left w:val="single" w:color="D6E0E1" w:sz="4"/>
              <w:bottom w:val="single" w:color="D6E0E1" w:sz="4"/>
              <w:right w:val="single" w:color="D6E0E1" w:sz="4"/>
            </w:tcBorders>
            <w:shd w:fill="E8EFEF" w:color="auto" w:val="clear"/>
            <w:tcMar>
              <w:top w:type="dxa" w:w="80"/>
              <w:left w:type="dxa" w:w="110"/>
              <w:bottom w:type="dxa" w:w="80"/>
              <w:right w:type="dxa" w:w="110"/>
            </w:tcMar>
          </w:tcPr>
          <w:p>
            <w:r>
              <w:rPr>
                <w:b/>
                <w:bCs/>
                <w:color w:val="52646A"/>
                <w:sz w:val="19"/>
                <w:szCs w:val="19"/>
              </w:rPr>
              <w:t xml:space="preserve">Question</w:t>
            </w:r>
          </w:p>
        </w:tc>
        <w:tc>
          <w:tcPr>
            <w:tcW w:type="dxa" w:w="2300"/>
            <w:tcBorders>
              <w:top w:val="single" w:color="D6E0E1" w:sz="4"/>
              <w:left w:val="single" w:color="D6E0E1" w:sz="4"/>
              <w:bottom w:val="single" w:color="D6E0E1" w:sz="4"/>
              <w:right w:val="single" w:color="D6E0E1" w:sz="4"/>
            </w:tcBorders>
            <w:shd w:fill="E8EFEF" w:color="auto" w:val="clear"/>
            <w:tcMar>
              <w:top w:type="dxa" w:w="80"/>
              <w:left w:type="dxa" w:w="110"/>
              <w:bottom w:type="dxa" w:w="80"/>
              <w:right w:type="dxa" w:w="110"/>
            </w:tcMar>
          </w:tcPr>
          <w:p>
            <w:r>
              <w:rPr>
                <w:b/>
                <w:bCs/>
                <w:color w:val="52646A"/>
                <w:sz w:val="19"/>
                <w:szCs w:val="19"/>
              </w:rPr>
              <w:t xml:space="preserve">Answer</w:t>
            </w:r>
          </w:p>
        </w:tc>
        <w:tc>
          <w:tcPr>
            <w:tcW w:type="dxa" w:w="4726"/>
            <w:tcBorders>
              <w:top w:val="single" w:color="D6E0E1" w:sz="4"/>
              <w:left w:val="single" w:color="D6E0E1" w:sz="4"/>
              <w:bottom w:val="single" w:color="D6E0E1" w:sz="4"/>
              <w:right w:val="single" w:color="D6E0E1" w:sz="4"/>
            </w:tcBorders>
            <w:shd w:fill="E8EFEF" w:color="auto" w:val="clear"/>
            <w:tcMar>
              <w:top w:type="dxa" w:w="80"/>
              <w:left w:type="dxa" w:w="110"/>
              <w:bottom w:type="dxa" w:w="80"/>
              <w:right w:type="dxa" w:w="110"/>
            </w:tcMar>
          </w:tcPr>
          <w:p>
            <w:r>
              <w:rPr>
                <w:b/>
                <w:bCs/>
                <w:color w:val="52646A"/>
                <w:sz w:val="19"/>
                <w:szCs w:val="19"/>
              </w:rPr>
              <w:t xml:space="preserve">Detail</w:t>
            </w:r>
          </w:p>
        </w:tc>
      </w:tr>
      <w:tr>
        <w:tc>
          <w:tcPr>
            <w:tcW w:type="dxa" w:w="20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b/>
                <w:bCs/>
                <w:color w:val="0E1B22"/>
                <w:sz w:val="19"/>
                <w:szCs w:val="19"/>
              </w:rPr>
              <w:t xml:space="preserve">Is the claim true?</w:t>
            </w:r>
          </w:p>
        </w:tc>
        <w:tc>
          <w:tcPr>
            <w:tcW w:type="dxa" w:w="23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Partly. It is overstated.</w:t>
            </w:r>
          </w:p>
        </w:tc>
        <w:tc>
          <w:tcPr>
            <w:tcW w:type="dxa" w:w="4726"/>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There is no national ban on all US companies and no healthcare-specific ban. Federal and provincial rules now restrict US suppliers, and Ontario's rule covers hospitals.</w:t>
            </w:r>
          </w:p>
        </w:tc>
      </w:tr>
      <w:tr>
        <w:tc>
          <w:tcPr>
            <w:tcW w:type="dxa" w:w="20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b/>
                <w:bCs/>
                <w:color w:val="0E1B22"/>
                <w:sz w:val="19"/>
                <w:szCs w:val="19"/>
              </w:rPr>
              <w:t xml:space="preserve">Why does Trillet qualify?</w:t>
            </w:r>
          </w:p>
        </w:tc>
        <w:tc>
          <w:tcPr>
            <w:tcW w:type="dxa" w:w="23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The CPTPP trade agreement</w:t>
            </w:r>
          </w:p>
        </w:tc>
        <w:tc>
          <w:tcPr>
            <w:tcW w:type="dxa" w:w="4726"/>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Australia and Canada share a trade agreement with a government procurement chapter. Ontario's ban applies only to US-headquartered firms. The Commonwealth gives no procurement rights.</w:t>
            </w:r>
          </w:p>
        </w:tc>
      </w:tr>
      <w:tr>
        <w:tc>
          <w:tcPr>
            <w:tcW w:type="dxa" w:w="20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b/>
                <w:bCs/>
                <w:color w:val="0E1B22"/>
                <w:sz w:val="19"/>
                <w:szCs w:val="19"/>
              </w:rPr>
              <w:t xml:space="preserve">Recommendation</w:t>
            </w:r>
          </w:p>
        </w:tc>
        <w:tc>
          <w:tcPr>
            <w:tcW w:type="dxa" w:w="23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Pursue it, after four checks</w:t>
            </w:r>
          </w:p>
        </w:tc>
        <w:tc>
          <w:tcPr>
            <w:tcW w:type="dxa" w:w="4726"/>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Lead with Ontario hospitals and provincial agencies. Confirm domicile, sub-processors, Canadian hosting and certifications before making any public claim.</w:t>
            </w:r>
          </w:p>
        </w:tc>
      </w:tr>
    </w:tbl>
    <w:p>
      <w:pPr>
        <w:pStyle w:val="Heading1"/>
      </w:pPr>
      <w:r>
        <w:t xml:space="preserve">2. What Canada has 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326"/>
        <w:gridCol w:w="1700"/>
      </w:tblGrid>
      <w:tr>
        <w:trPr>
          <w:tblHeader/>
        </w:trPr>
        <w:tc>
          <w:tcPr>
            <w:tcW w:type="dxa" w:w="1500"/>
            <w:tcBorders>
              <w:top w:val="single" w:color="D6E0E1" w:sz="4"/>
              <w:left w:val="single" w:color="D6E0E1" w:sz="4"/>
              <w:bottom w:val="single" w:color="D6E0E1" w:sz="4"/>
              <w:right w:val="single" w:color="D6E0E1" w:sz="4"/>
            </w:tcBorders>
            <w:shd w:fill="E8EFEF" w:color="auto" w:val="clear"/>
            <w:tcMar>
              <w:top w:type="dxa" w:w="80"/>
              <w:left w:type="dxa" w:w="110"/>
              <w:bottom w:type="dxa" w:w="80"/>
              <w:right w:type="dxa" w:w="110"/>
            </w:tcMar>
          </w:tcPr>
          <w:p>
            <w:r>
              <w:rPr>
                <w:b/>
                <w:bCs/>
                <w:color w:val="52646A"/>
                <w:sz w:val="19"/>
                <w:szCs w:val="19"/>
              </w:rPr>
              <w:t xml:space="preserve">Jurisdiction</w:t>
            </w:r>
          </w:p>
        </w:tc>
        <w:tc>
          <w:tcPr>
            <w:tcW w:type="dxa" w:w="2500"/>
            <w:tcBorders>
              <w:top w:val="single" w:color="D6E0E1" w:sz="4"/>
              <w:left w:val="single" w:color="D6E0E1" w:sz="4"/>
              <w:bottom w:val="single" w:color="D6E0E1" w:sz="4"/>
              <w:right w:val="single" w:color="D6E0E1" w:sz="4"/>
            </w:tcBorders>
            <w:shd w:fill="E8EFEF" w:color="auto" w:val="clear"/>
            <w:tcMar>
              <w:top w:type="dxa" w:w="80"/>
              <w:left w:type="dxa" w:w="110"/>
              <w:bottom w:type="dxa" w:w="80"/>
              <w:right w:type="dxa" w:w="110"/>
            </w:tcMar>
          </w:tcPr>
          <w:p>
            <w:r>
              <w:rPr>
                <w:b/>
                <w:bCs/>
                <w:color w:val="52646A"/>
                <w:sz w:val="19"/>
                <w:szCs w:val="19"/>
              </w:rPr>
              <w:t xml:space="preserve">Rule</w:t>
            </w:r>
          </w:p>
        </w:tc>
        <w:tc>
          <w:tcPr>
            <w:tcW w:type="dxa" w:w="3326"/>
            <w:tcBorders>
              <w:top w:val="single" w:color="D6E0E1" w:sz="4"/>
              <w:left w:val="single" w:color="D6E0E1" w:sz="4"/>
              <w:bottom w:val="single" w:color="D6E0E1" w:sz="4"/>
              <w:right w:val="single" w:color="D6E0E1" w:sz="4"/>
            </w:tcBorders>
            <w:shd w:fill="E8EFEF" w:color="auto" w:val="clear"/>
            <w:tcMar>
              <w:top w:type="dxa" w:w="80"/>
              <w:left w:type="dxa" w:w="110"/>
              <w:bottom w:type="dxa" w:w="80"/>
              <w:right w:type="dxa" w:w="110"/>
            </w:tcMar>
          </w:tcPr>
          <w:p>
            <w:r>
              <w:rPr>
                <w:b/>
                <w:bCs/>
                <w:color w:val="52646A"/>
                <w:sz w:val="19"/>
                <w:szCs w:val="19"/>
              </w:rPr>
              <w:t xml:space="preserve">Effect on US suppliers</w:t>
            </w:r>
          </w:p>
        </w:tc>
        <w:tc>
          <w:tcPr>
            <w:tcW w:type="dxa" w:w="1700"/>
            <w:tcBorders>
              <w:top w:val="single" w:color="D6E0E1" w:sz="4"/>
              <w:left w:val="single" w:color="D6E0E1" w:sz="4"/>
              <w:bottom w:val="single" w:color="D6E0E1" w:sz="4"/>
              <w:right w:val="single" w:color="D6E0E1" w:sz="4"/>
            </w:tcBorders>
            <w:shd w:fill="E8EFEF" w:color="auto" w:val="clear"/>
            <w:tcMar>
              <w:top w:type="dxa" w:w="80"/>
              <w:left w:type="dxa" w:w="110"/>
              <w:bottom w:type="dxa" w:w="80"/>
              <w:right w:type="dxa" w:w="110"/>
            </w:tcMar>
          </w:tcPr>
          <w:p>
            <w:r>
              <w:rPr>
                <w:b/>
                <w:bCs/>
                <w:color w:val="52646A"/>
                <w:sz w:val="19"/>
                <w:szCs w:val="19"/>
              </w:rPr>
              <w:t xml:space="preserve">Healthcare</w:t>
            </w:r>
          </w:p>
        </w:tc>
      </w:tr>
      <w:tr>
        <w:tc>
          <w:tcPr>
            <w:tcW w:type="dxa" w:w="15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b/>
                <w:bCs/>
                <w:color w:val="0E1B22"/>
                <w:sz w:val="19"/>
                <w:szCs w:val="19"/>
              </w:rPr>
              <w:t xml:space="preserve">Federal</w:t>
            </w:r>
          </w:p>
        </w:tc>
        <w:tc>
          <w:tcPr>
            <w:tcW w:type="dxa" w:w="25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Buy Canadian Policy and Interim Policy on Reciprocal Procurement, effective 16 Dec 2025. The strategic-sector threshold dropped from $25M to $5M on 15 June 2026.</w:t>
            </w:r>
          </w:p>
        </w:tc>
        <w:tc>
          <w:tcPr>
            <w:tcW w:type="dxa" w:w="3326"/>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Only Canadian suppliers and suppliers from trade-agreement partners may bid. US firms can still bid where a trade agreement such as the WTO GPA applies. Canadian suppliers get a 10% evaluation price reduction plus Canadian-content points.</w:t>
            </w:r>
          </w:p>
        </w:tc>
        <w:tc>
          <w:tcPr>
            <w:tcW w:type="dxa" w:w="17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Health and pharmaceutical, and ICT, are named strategic sectors.</w:t>
            </w:r>
          </w:p>
        </w:tc>
      </w:tr>
      <w:tr>
        <w:tc>
          <w:tcPr>
            <w:tcW w:type="dxa" w:w="15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b/>
                <w:bCs/>
                <w:color w:val="0E1B22"/>
                <w:sz w:val="19"/>
                <w:szCs w:val="19"/>
              </w:rPr>
              <w:t xml:space="preserve">Ontario</w:t>
            </w:r>
          </w:p>
        </w:tc>
        <w:tc>
          <w:tcPr>
            <w:tcW w:type="dxa" w:w="25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US procurement restriction since 4 Mar 2025. Buy Ontario Procurement Directive in effect from 13 Apr 2026.</w:t>
            </w:r>
          </w:p>
        </w:tc>
        <w:tc>
          <w:tcPr>
            <w:tcW w:type="dxa" w:w="3326"/>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Excludes "US businesses": headquarters or main office in the US and fewer than 250 full-time staff in Canada. Exceptions: sole viable source, or for services, 90% of delivery staff located in Canada.</w:t>
            </w:r>
          </w:p>
        </w:tc>
        <w:tc>
          <w:tcPr>
            <w:tcW w:type="dxa" w:w="17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Yes.</w:t>
            </w:r>
            <w:r>
              <w:rPr>
                <w:color w:val="0E1B22"/>
                <w:sz w:val="19"/>
                <w:szCs w:val="19"/>
              </w:rPr>
              <w:t xml:space="preserve"> Applies to the broader public sector, including hospitals.</w:t>
            </w:r>
          </w:p>
        </w:tc>
      </w:tr>
      <w:tr>
        <w:tc>
          <w:tcPr>
            <w:tcW w:type="dxa" w:w="15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b/>
                <w:bCs/>
                <w:color w:val="0E1B22"/>
                <w:sz w:val="19"/>
                <w:szCs w:val="19"/>
              </w:rPr>
              <w:t xml:space="preserve">New Brunswick</w:t>
            </w:r>
          </w:p>
        </w:tc>
        <w:tc>
          <w:tcPr>
            <w:tcW w:type="dxa" w:w="25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Announced by Premier Susan Holt.</w:t>
            </w:r>
          </w:p>
        </w:tc>
        <w:tc>
          <w:tcPr>
            <w:tcW w:type="dxa" w:w="3326"/>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Bans US goods and services on provincial contracts over $5M from 1 Oct 2026.</w:t>
            </w:r>
          </w:p>
        </w:tc>
        <w:tc>
          <w:tcPr>
            <w:tcW w:type="dxa" w:w="17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Provincial contracts</w:t>
            </w:r>
          </w:p>
        </w:tc>
      </w:tr>
      <w:tr>
        <w:tc>
          <w:tcPr>
            <w:tcW w:type="dxa" w:w="15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b/>
                <w:bCs/>
                <w:color w:val="0E1B22"/>
                <w:sz w:val="19"/>
                <w:szCs w:val="19"/>
              </w:rPr>
              <w:t xml:space="preserve">Quebec, Nova Scotia, BC, Manitoba</w:t>
            </w:r>
          </w:p>
        </w:tc>
        <w:tc>
          <w:tcPr>
            <w:tcW w:type="dxa" w:w="25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Similar measures at different stages. BC's enabling bill passed second reading in 2025.</w:t>
            </w:r>
          </w:p>
        </w:tc>
        <w:tc>
          <w:tcPr>
            <w:tcW w:type="dxa" w:w="3326"/>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Varies. Nova Scotia keeps the option to reject US bids outright.</w:t>
            </w:r>
          </w:p>
        </w:tc>
        <w:tc>
          <w:tcPr>
            <w:tcW w:type="dxa" w:w="17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Varies</w:t>
            </w:r>
          </w:p>
        </w:tc>
      </w:tr>
    </w:tbl>
    <w:p>
      <w:pPr>
        <w:spacing w:after="60"/>
      </w:pPr>
    </w:p>
    <w:p>
      <w:pPr>
        <w:pStyle w:val="Heading2"/>
      </w:pPr>
      <w:r>
        <w:t xml:space="preserve">How it escalated</w:t>
      </w:r>
    </w:p>
    <w:p>
      <w:pPr>
        <w:pStyle w:val="ListParagraph"/>
        <w:numPr>
          <w:ilvl w:val="0"/>
          <w:numId w:val="2"/>
        </w:numPr>
        <w:spacing w:after="80" w:line="276"/>
      </w:pPr>
      <w:r>
        <w:rPr>
          <w:b/>
          <w:bCs/>
        </w:rPr>
        <w:t xml:space="preserve">4 Mar 2025:</w:t>
      </w:r>
      <w:r>
        <w:t xml:space="preserve"> Ontario bars US businesses from provincial procurement.</w:t>
      </w:r>
    </w:p>
    <w:p>
      <w:pPr>
        <w:pStyle w:val="ListParagraph"/>
        <w:numPr>
          <w:ilvl w:val="0"/>
          <w:numId w:val="2"/>
        </w:numPr>
        <w:spacing w:after="80" w:line="276"/>
      </w:pPr>
      <w:r>
        <w:rPr>
          <w:b/>
          <w:bCs/>
        </w:rPr>
        <w:t xml:space="preserve">16 Dec 2025:</w:t>
      </w:r>
      <w:r>
        <w:t xml:space="preserve"> Federal Buy Canadian and reciprocal procurement policies take effect.</w:t>
      </w:r>
    </w:p>
    <w:p>
      <w:pPr>
        <w:pStyle w:val="ListParagraph"/>
        <w:numPr>
          <w:ilvl w:val="0"/>
          <w:numId w:val="2"/>
        </w:numPr>
        <w:spacing w:after="80" w:line="276"/>
      </w:pPr>
      <w:r>
        <w:rPr>
          <w:b/>
          <w:bCs/>
        </w:rPr>
        <w:t xml:space="preserve">13 Apr 2026:</w:t>
      </w:r>
      <w:r>
        <w:t xml:space="preserve"> Buy Ontario Procurement Directive in force across the broader public sector.</w:t>
      </w:r>
    </w:p>
    <w:p>
      <w:pPr>
        <w:pStyle w:val="ListParagraph"/>
        <w:numPr>
          <w:ilvl w:val="0"/>
          <w:numId w:val="2"/>
        </w:numPr>
        <w:spacing w:after="80" w:line="276"/>
      </w:pPr>
      <w:r>
        <w:rPr>
          <w:b/>
          <w:bCs/>
        </w:rPr>
        <w:t xml:space="preserve">15 Jun 2026:</w:t>
      </w:r>
      <w:r>
        <w:t xml:space="preserve"> Federal strategic-procurement threshold drops to $5M.</w:t>
      </w:r>
    </w:p>
    <w:p>
      <w:pPr>
        <w:pStyle w:val="ListParagraph"/>
        <w:numPr>
          <w:ilvl w:val="0"/>
          <w:numId w:val="2"/>
        </w:numPr>
        <w:spacing w:after="80" w:line="276"/>
      </w:pPr>
      <w:r>
        <w:rPr>
          <w:b/>
          <w:bCs/>
        </w:rPr>
        <w:t xml:space="preserve">8 Sep 2026:</w:t>
      </w:r>
      <w:r>
        <w:t xml:space="preserve"> Canada's counter-tariffs start. The US orders Canadian goods off federal purchasing schedules.</w:t>
      </w:r>
    </w:p>
    <w:p>
      <w:pPr>
        <w:pStyle w:val="ListParagraph"/>
        <w:numPr>
          <w:ilvl w:val="0"/>
          <w:numId w:val="2"/>
        </w:numPr>
        <w:spacing w:after="80" w:line="276"/>
      </w:pPr>
      <w:r>
        <w:rPr>
          <w:b/>
          <w:bCs/>
        </w:rPr>
        <w:t xml:space="preserve">16 Sep 2026:</w:t>
      </w:r>
      <w:r>
        <w:t xml:space="preserve"> The White House widens this into a review of Canadian access to US civilian procurement. Canadian trade experts urge sector-specific bans on US bidders in response.</w:t>
      </w:r>
    </w:p>
    <w:p>
      <w:pPr>
        <w:pStyle w:val="ListParagraph"/>
        <w:numPr>
          <w:ilvl w:val="0"/>
          <w:numId w:val="2"/>
        </w:numPr>
        <w:spacing w:after="80" w:line="276"/>
      </w:pPr>
      <w:r>
        <w:rPr>
          <w:b/>
          <w:bCs/>
        </w:rPr>
        <w:t xml:space="preserve">1 Oct 2026:</w:t>
      </w:r>
      <w:r>
        <w:t xml:space="preserve"> New Brunswick's ban on US goods and services over $5M begins.</w:t>
      </w:r>
    </w:p>
    <w:p>
      <w:pPr>
        <w:spacing w:after="120" w:line="288"/>
      </w:pPr>
      <w:r>
        <w:t xml:space="preserve">The trend points to more restriction, and public-sector buyers are actively looking for vendors headquartered outside the US.</w:t>
      </w:r>
    </w:p>
    <w:p>
      <w:pPr>
        <w:pStyle w:val="Heading1"/>
      </w:pPr>
      <w:r>
        <w:t xml:space="preserve">3. Why an Australian vendor can bid</w:t>
      </w:r>
    </w:p>
    <w:p>
      <w:pPr>
        <w:spacing w:after="120" w:line="288"/>
      </w:pPr>
      <w:r>
        <w:t xml:space="preserve">The Commonwealth gives no procurement rights. The basis is trade law:</w:t>
      </w:r>
    </w:p>
    <w:p>
      <w:pPr>
        <w:pStyle w:val="ListParagraph"/>
        <w:numPr>
          <w:ilvl w:val="0"/>
          <w:numId w:val="3"/>
        </w:numPr>
        <w:spacing w:after="80" w:line="276"/>
      </w:pPr>
      <w:r>
        <w:rPr>
          <w:b/>
          <w:bCs/>
        </w:rPr>
        <w:t xml:space="preserve">CPTPP.</w:t>
      </w:r>
      <w:r>
        <w:t xml:space="preserve"> Australia and Canada are both members, and the agreement has a government procurement chapter. All provinces took sub-central commitments comparable to the WTO GPA.</w:t>
      </w:r>
    </w:p>
    <w:p>
      <w:pPr>
        <w:pStyle w:val="ListParagraph"/>
        <w:numPr>
          <w:ilvl w:val="0"/>
          <w:numId w:val="3"/>
        </w:numPr>
        <w:spacing w:after="80" w:line="276"/>
      </w:pPr>
      <w:r>
        <w:rPr>
          <w:b/>
          <w:bCs/>
        </w:rPr>
        <w:t xml:space="preserve">WTO GPA.</w:t>
      </w:r>
      <w:r>
        <w:t xml:space="preserve"> Australia joined in 2019, which gives a second route for covered procurements.</w:t>
      </w:r>
    </w:p>
    <w:p>
      <w:pPr>
        <w:pStyle w:val="ListParagraph"/>
        <w:numPr>
          <w:ilvl w:val="0"/>
          <w:numId w:val="3"/>
        </w:numPr>
        <w:spacing w:after="80" w:line="276"/>
      </w:pPr>
      <w:r>
        <w:rPr>
          <w:b/>
          <w:bCs/>
        </w:rPr>
        <w:t xml:space="preserve">Ontario's test is US-specific.</w:t>
      </w:r>
      <w:r>
        <w:t xml:space="preserve"> It excludes US-headquartered businesses only, so an Australian-headquartered vendor falls outside it.</w:t>
      </w:r>
    </w:p>
    <w:p>
      <w:pPr>
        <w:pStyle w:val="Heading2"/>
      </w:pPr>
      <w:r>
        <w:t xml:space="preserve">Limits to state plainly</w:t>
      </w:r>
    </w:p>
    <w:p>
      <w:pPr>
        <w:pStyle w:val="ListParagraph"/>
        <w:numPr>
          <w:ilvl w:val="0"/>
          <w:numId w:val="3"/>
        </w:numPr>
        <w:spacing w:after="80" w:line="276"/>
      </w:pPr>
      <w:r>
        <w:t xml:space="preserve">Trillet is </w:t>
      </w:r>
      <w:r>
        <w:rPr>
          <w:b/>
          <w:bCs/>
        </w:rPr>
        <w:t xml:space="preserve">eligible to bid</w:t>
      </w:r>
      <w:r>
        <w:t xml:space="preserve">. Federally, Canadian suppliers still keep a 10% price advantage and content points.</w:t>
      </w:r>
    </w:p>
    <w:p>
      <w:pPr>
        <w:pStyle w:val="ListParagraph"/>
        <w:numPr>
          <w:ilvl w:val="0"/>
          <w:numId w:val="3"/>
        </w:numPr>
        <w:spacing w:after="80" w:line="276"/>
      </w:pPr>
      <w:r>
        <w:t xml:space="preserve">CPTPP excludes hospital purchasing in some provinces, and municipalities. Only listed services are covered. Thresholds apply: about $237,700 federally and $649,100 for sub-central entities.</w:t>
      </w:r>
    </w:p>
    <w:p>
      <w:pPr>
        <w:pStyle w:val="ListParagraph"/>
        <w:numPr>
          <w:ilvl w:val="0"/>
          <w:numId w:val="3"/>
        </w:numPr>
        <w:spacing w:after="80" w:line="276"/>
      </w:pPr>
      <w:r>
        <w:t xml:space="preserve">Ontario is the cleanest opening, because hospitals there must exclude US vendors while an Australian one is unaffected.</w:t>
      </w:r>
    </w:p>
    <w:p>
      <w:pPr>
        <w:pStyle w:val="Heading1"/>
      </w:pPr>
      <w:r>
        <w:t xml:space="preserve">4. Gating checks</w:t>
      </w:r>
    </w:p>
    <w:p>
      <w:pPr>
        <w:pBdr>
          <w:left w:val="single" w:color="9A5B0C" w:sz="18" w:space="8"/>
        </w:pBdr>
        <w:shd w:fill="F6E8D2" w:color="auto" w:val="clear"/>
        <w:spacing w:after="160" w:before="120" w:line="288"/>
        <w:ind w:left="180" w:right="180"/>
      </w:pPr>
      <w:r>
        <w:t xml:space="preserve">If check 1 or 2 fails, the core positioning does not hold. Hold all eligibility and CLOUD Act content until both are confirmed in writing.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3026"/>
        <w:gridCol w:w="1200"/>
      </w:tblGrid>
      <w:tr>
        <w:trPr>
          <w:tblHeader/>
        </w:trPr>
        <w:tc>
          <w:tcPr>
            <w:tcW w:type="dxa" w:w="1700"/>
            <w:tcBorders>
              <w:top w:val="single" w:color="D6E0E1" w:sz="4"/>
              <w:left w:val="single" w:color="D6E0E1" w:sz="4"/>
              <w:bottom w:val="single" w:color="D6E0E1" w:sz="4"/>
              <w:right w:val="single" w:color="D6E0E1" w:sz="4"/>
            </w:tcBorders>
            <w:shd w:fill="E8EFEF" w:color="auto" w:val="clear"/>
            <w:tcMar>
              <w:top w:type="dxa" w:w="80"/>
              <w:left w:type="dxa" w:w="110"/>
              <w:bottom w:type="dxa" w:w="80"/>
              <w:right w:type="dxa" w:w="110"/>
            </w:tcMar>
          </w:tcPr>
          <w:p>
            <w:r>
              <w:rPr>
                <w:b/>
                <w:bCs/>
                <w:color w:val="52646A"/>
                <w:sz w:val="19"/>
                <w:szCs w:val="19"/>
              </w:rPr>
              <w:t xml:space="preserve">Check</w:t>
            </w:r>
          </w:p>
        </w:tc>
        <w:tc>
          <w:tcPr>
            <w:tcW w:type="dxa" w:w="3100"/>
            <w:tcBorders>
              <w:top w:val="single" w:color="D6E0E1" w:sz="4"/>
              <w:left w:val="single" w:color="D6E0E1" w:sz="4"/>
              <w:bottom w:val="single" w:color="D6E0E1" w:sz="4"/>
              <w:right w:val="single" w:color="D6E0E1" w:sz="4"/>
            </w:tcBorders>
            <w:shd w:fill="E8EFEF" w:color="auto" w:val="clear"/>
            <w:tcMar>
              <w:top w:type="dxa" w:w="80"/>
              <w:left w:type="dxa" w:w="110"/>
              <w:bottom w:type="dxa" w:w="80"/>
              <w:right w:type="dxa" w:w="110"/>
            </w:tcMar>
          </w:tcPr>
          <w:p>
            <w:r>
              <w:rPr>
                <w:b/>
                <w:bCs/>
                <w:color w:val="52646A"/>
                <w:sz w:val="19"/>
                <w:szCs w:val="19"/>
              </w:rPr>
              <w:t xml:space="preserve">Why it matters</w:t>
            </w:r>
          </w:p>
        </w:tc>
        <w:tc>
          <w:tcPr>
            <w:tcW w:type="dxa" w:w="3026"/>
            <w:tcBorders>
              <w:top w:val="single" w:color="D6E0E1" w:sz="4"/>
              <w:left w:val="single" w:color="D6E0E1" w:sz="4"/>
              <w:bottom w:val="single" w:color="D6E0E1" w:sz="4"/>
              <w:right w:val="single" w:color="D6E0E1" w:sz="4"/>
            </w:tcBorders>
            <w:shd w:fill="E8EFEF" w:color="auto" w:val="clear"/>
            <w:tcMar>
              <w:top w:type="dxa" w:w="80"/>
              <w:left w:type="dxa" w:w="110"/>
              <w:bottom w:type="dxa" w:w="80"/>
              <w:right w:type="dxa" w:w="110"/>
            </w:tcMar>
          </w:tcPr>
          <w:p>
            <w:r>
              <w:rPr>
                <w:b/>
                <w:bCs/>
                <w:color w:val="52646A"/>
                <w:sz w:val="19"/>
                <w:szCs w:val="19"/>
              </w:rPr>
              <w:t xml:space="preserve">What a pass looks like</w:t>
            </w:r>
          </w:p>
        </w:tc>
        <w:tc>
          <w:tcPr>
            <w:tcW w:type="dxa" w:w="1200"/>
            <w:tcBorders>
              <w:top w:val="single" w:color="D6E0E1" w:sz="4"/>
              <w:left w:val="single" w:color="D6E0E1" w:sz="4"/>
              <w:bottom w:val="single" w:color="D6E0E1" w:sz="4"/>
              <w:right w:val="single" w:color="D6E0E1" w:sz="4"/>
            </w:tcBorders>
            <w:shd w:fill="E8EFEF" w:color="auto" w:val="clear"/>
            <w:tcMar>
              <w:top w:type="dxa" w:w="80"/>
              <w:left w:type="dxa" w:w="110"/>
              <w:bottom w:type="dxa" w:w="80"/>
              <w:right w:type="dxa" w:w="110"/>
            </w:tcMar>
          </w:tcPr>
          <w:p>
            <w:r>
              <w:rPr>
                <w:b/>
                <w:bCs/>
                <w:color w:val="52646A"/>
                <w:sz w:val="19"/>
                <w:szCs w:val="19"/>
              </w:rPr>
              <w:t xml:space="preserve">Status</w:t>
            </w:r>
          </w:p>
        </w:tc>
      </w:tr>
      <w:tr>
        <w:tc>
          <w:tcPr>
            <w:tcW w:type="dxa" w:w="17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b/>
                <w:bCs/>
                <w:color w:val="0E1B22"/>
                <w:sz w:val="19"/>
                <w:szCs w:val="19"/>
              </w:rPr>
              <w:t xml:space="preserve">1. Corporate domicile</w:t>
            </w:r>
          </w:p>
        </w:tc>
        <w:tc>
          <w:tcPr>
            <w:tcW w:type="dxa" w:w="31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Ontario's test is where the headquarters or main office is. A US parent company, which is common for Australian startups, or a US head office would put Trillet in the excluded category.</w:t>
            </w:r>
          </w:p>
        </w:tc>
        <w:tc>
          <w:tcPr>
            <w:tcW w:type="dxa" w:w="3026"/>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Australian parent entity. Head office in Melbourne. No US holding company.</w:t>
            </w:r>
          </w:p>
        </w:tc>
        <w:tc>
          <w:tcPr>
            <w:tcW w:type="dxa" w:w="12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CONFIRM</w:t>
            </w:r>
          </w:p>
        </w:tc>
      </w:tr>
      <w:tr>
        <w:tc>
          <w:tcPr>
            <w:tcW w:type="dxa" w:w="17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b/>
                <w:bCs/>
                <w:color w:val="0E1B22"/>
                <w:sz w:val="19"/>
                <w:szCs w:val="19"/>
              </w:rPr>
              <w:t xml:space="preserve">2. Sub-processors</w:t>
            </w:r>
          </w:p>
        </w:tc>
        <w:tc>
          <w:tcPr>
            <w:tcW w:type="dxa" w:w="31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The US CLOUD Act reaches data held by US-controlled providers wherever it is stored. US LLM, telephony or cloud providers weaken any sovereignty claim.</w:t>
            </w:r>
          </w:p>
        </w:tc>
        <w:tc>
          <w:tcPr>
            <w:tcW w:type="dxa" w:w="3026"/>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A documented Canadian deployment path: on-prem Docker, in-country LLM hosting, or a Canadian sovereign cloud such as ThinkOn or OpenText.</w:t>
            </w:r>
          </w:p>
        </w:tc>
        <w:tc>
          <w:tcPr>
            <w:tcW w:type="dxa" w:w="12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CONFIRM</w:t>
            </w:r>
          </w:p>
        </w:tc>
      </w:tr>
      <w:tr>
        <w:tc>
          <w:tcPr>
            <w:tcW w:type="dxa" w:w="17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b/>
                <w:bCs/>
                <w:color w:val="0E1B22"/>
                <w:sz w:val="19"/>
                <w:szCs w:val="19"/>
              </w:rPr>
              <w:t xml:space="preserve">3. Canadian hosting and French</w:t>
            </w:r>
          </w:p>
        </w:tc>
        <w:tc>
          <w:tcPr>
            <w:tcW w:type="dxa" w:w="31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Trillet's own blog says Canadian residency is Enterprise-only. Buyers will require PHIPA, Quebec Law 25 and French.</w:t>
            </w:r>
          </w:p>
        </w:tc>
        <w:tc>
          <w:tcPr>
            <w:tcW w:type="dxa" w:w="3026"/>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A Canadian region on Enterprise, a PHIPA and Law 25 data-handling statement, and a production-quality Canadian French voice agent.</w:t>
            </w:r>
          </w:p>
        </w:tc>
        <w:tc>
          <w:tcPr>
            <w:tcW w:type="dxa" w:w="12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CONFIRM</w:t>
            </w:r>
          </w:p>
        </w:tc>
      </w:tr>
      <w:tr>
        <w:tc>
          <w:tcPr>
            <w:tcW w:type="dxa" w:w="17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b/>
                <w:bCs/>
                <w:color w:val="0E1B22"/>
                <w:sz w:val="19"/>
                <w:szCs w:val="19"/>
              </w:rPr>
              <w:t xml:space="preserve">4. Certifications</w:t>
            </w:r>
          </w:p>
        </w:tc>
        <w:tc>
          <w:tcPr>
            <w:tcW w:type="dxa" w:w="31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The About-page handoff already flags SOC 2 Type II and ISO 27001 as unconfirmed. Public-sector buyers will ask for reports.</w:t>
            </w:r>
          </w:p>
        </w:tc>
        <w:tc>
          <w:tcPr>
            <w:tcW w:type="dxa" w:w="3026"/>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Held and in-progress status stated accurately everywhere.</w:t>
            </w:r>
          </w:p>
        </w:tc>
        <w:tc>
          <w:tcPr>
            <w:tcW w:type="dxa" w:w="12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CONFIRM</w:t>
            </w:r>
          </w:p>
        </w:tc>
      </w:tr>
    </w:tbl>
    <w:p>
      <w:pPr>
        <w:pStyle w:val="Heading1"/>
      </w:pPr>
      <w:r>
        <w:t xml:space="preserve">5. How to market it</w:t>
      </w:r>
    </w:p>
    <w:p>
      <w:pPr>
        <w:pStyle w:val="Heading2"/>
      </w:pPr>
      <w:r>
        <w:t xml:space="preserve">Positioning</w:t>
      </w:r>
    </w:p>
    <w:p>
      <w:pPr>
        <w:spacing w:after="120" w:line="288"/>
      </w:pPr>
      <w:r>
        <w:rPr>
          <w:b/>
          <w:bCs/>
        </w:rPr>
        <w:t xml:space="preserve">"Australian-owned voice AI agents, eligible where US vendors are restricted, deployed inside your Canadian environment."</w:t>
      </w:r>
    </w:p>
    <w:p>
      <w:pPr>
        <w:spacing w:after="120" w:line="288"/>
      </w:pPr>
      <w:r>
        <w:t xml:space="preserve">Keep every claim factual and neutral toward the US. Use "eligible under Buy Ontario" and "CPTPP-partner supplier". Leave the Commonwealth out of the argument.</w:t>
      </w:r>
    </w:p>
    <w:p>
      <w:pPr>
        <w:pStyle w:val="Heading2"/>
      </w:pPr>
      <w:r>
        <w:t xml:space="preserve">Target segments, in priority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rPr>
          <w:tblHeader/>
        </w:trPr>
        <w:tc>
          <w:tcPr>
            <w:tcW w:type="dxa" w:w="2600"/>
            <w:tcBorders>
              <w:top w:val="single" w:color="D6E0E1" w:sz="4"/>
              <w:left w:val="single" w:color="D6E0E1" w:sz="4"/>
              <w:bottom w:val="single" w:color="D6E0E1" w:sz="4"/>
              <w:right w:val="single" w:color="D6E0E1" w:sz="4"/>
            </w:tcBorders>
            <w:shd w:fill="E8EFEF" w:color="auto" w:val="clear"/>
            <w:tcMar>
              <w:top w:type="dxa" w:w="80"/>
              <w:left w:type="dxa" w:w="110"/>
              <w:bottom w:type="dxa" w:w="80"/>
              <w:right w:type="dxa" w:w="110"/>
            </w:tcMar>
          </w:tcPr>
          <w:p>
            <w:r>
              <w:rPr>
                <w:b/>
                <w:bCs/>
                <w:color w:val="52646A"/>
                <w:sz w:val="19"/>
                <w:szCs w:val="19"/>
              </w:rPr>
              <w:t xml:space="preserve">Segment</w:t>
            </w:r>
          </w:p>
        </w:tc>
        <w:tc>
          <w:tcPr>
            <w:tcW w:type="dxa" w:w="3400"/>
            <w:tcBorders>
              <w:top w:val="single" w:color="D6E0E1" w:sz="4"/>
              <w:left w:val="single" w:color="D6E0E1" w:sz="4"/>
              <w:bottom w:val="single" w:color="D6E0E1" w:sz="4"/>
              <w:right w:val="single" w:color="D6E0E1" w:sz="4"/>
            </w:tcBorders>
            <w:shd w:fill="E8EFEF" w:color="auto" w:val="clear"/>
            <w:tcMar>
              <w:top w:type="dxa" w:w="80"/>
              <w:left w:type="dxa" w:w="110"/>
              <w:bottom w:type="dxa" w:w="80"/>
              <w:right w:type="dxa" w:w="110"/>
            </w:tcMar>
          </w:tcPr>
          <w:p>
            <w:r>
              <w:rPr>
                <w:b/>
                <w:bCs/>
                <w:color w:val="52646A"/>
                <w:sz w:val="19"/>
                <w:szCs w:val="19"/>
              </w:rPr>
              <w:t xml:space="preserve">Why now</w:t>
            </w:r>
          </w:p>
        </w:tc>
        <w:tc>
          <w:tcPr>
            <w:tcW w:type="dxa" w:w="3026"/>
            <w:tcBorders>
              <w:top w:val="single" w:color="D6E0E1" w:sz="4"/>
              <w:left w:val="single" w:color="D6E0E1" w:sz="4"/>
              <w:bottom w:val="single" w:color="D6E0E1" w:sz="4"/>
              <w:right w:val="single" w:color="D6E0E1" w:sz="4"/>
            </w:tcBorders>
            <w:shd w:fill="E8EFEF" w:color="auto" w:val="clear"/>
            <w:tcMar>
              <w:top w:type="dxa" w:w="80"/>
              <w:left w:type="dxa" w:w="110"/>
              <w:bottom w:type="dxa" w:w="80"/>
              <w:right w:type="dxa" w:w="110"/>
            </w:tcMar>
          </w:tcPr>
          <w:p>
            <w:r>
              <w:rPr>
                <w:b/>
                <w:bCs/>
                <w:color w:val="52646A"/>
                <w:sz w:val="19"/>
                <w:szCs w:val="19"/>
              </w:rPr>
              <w:t xml:space="preserve">Use cases</w:t>
            </w:r>
          </w:p>
        </w:tc>
      </w:tr>
      <w:tr>
        <w:tc>
          <w:tcPr>
            <w:tcW w:type="dxa" w:w="26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b/>
                <w:bCs/>
                <w:color w:val="0E1B22"/>
                <w:sz w:val="19"/>
                <w:szCs w:val="19"/>
              </w:rPr>
              <w:t xml:space="preserve">Ontario hospitals and health agencies</w:t>
            </w:r>
          </w:p>
        </w:tc>
        <w:tc>
          <w:tcPr>
            <w:tcW w:type="dxa" w:w="34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Must exclude US vendors under Buy Ontario. The incumbent US voice AI vendors (Retell, Vapi, Sierra) are now restricted.</w:t>
            </w:r>
          </w:p>
        </w:tc>
        <w:tc>
          <w:tcPr>
            <w:tcW w:type="dxa" w:w="3026"/>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Patient access lines, appointment booking and rescheduling, reminders, referral status, after-hours routing</w:t>
            </w:r>
          </w:p>
        </w:tc>
      </w:tr>
      <w:tr>
        <w:tc>
          <w:tcPr>
            <w:tcW w:type="dxa" w:w="26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b/>
                <w:bCs/>
                <w:color w:val="0E1B22"/>
                <w:sz w:val="19"/>
                <w:szCs w:val="19"/>
              </w:rPr>
              <w:t xml:space="preserve">Ontario ministries, agencies and Crown corporations</w:t>
            </w:r>
          </w:p>
        </w:tc>
        <w:tc>
          <w:tcPr>
            <w:tcW w:type="dxa" w:w="34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Same directive. High call volumes.</w:t>
            </w:r>
          </w:p>
        </w:tc>
        <w:tc>
          <w:tcPr>
            <w:tcW w:type="dxa" w:w="3026"/>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Service lines, identity-verified account enquiries</w:t>
            </w:r>
          </w:p>
        </w:tc>
      </w:tr>
      <w:tr>
        <w:tc>
          <w:tcPr>
            <w:tcW w:type="dxa" w:w="26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b/>
                <w:bCs/>
                <w:color w:val="0E1B22"/>
                <w:sz w:val="19"/>
                <w:szCs w:val="19"/>
              </w:rPr>
              <w:t xml:space="preserve">Federal departments</w:t>
            </w:r>
          </w:p>
        </w:tc>
        <w:tc>
          <w:tcPr>
            <w:tcW w:type="dxa" w:w="34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Health and ICT are strategic sectors. CPTPP gives Trillet access above thresholds.</w:t>
            </w:r>
          </w:p>
        </w:tc>
        <w:tc>
          <w:tcPr>
            <w:tcW w:type="dxa" w:w="3026"/>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Programme enquiry lines. French and English required.</w:t>
            </w:r>
          </w:p>
        </w:tc>
      </w:tr>
      <w:tr>
        <w:tc>
          <w:tcPr>
            <w:tcW w:type="dxa" w:w="26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b/>
                <w:bCs/>
                <w:color w:val="0E1B22"/>
                <w:sz w:val="19"/>
                <w:szCs w:val="19"/>
              </w:rPr>
              <w:t xml:space="preserve">Other provinces, starting with New Brunswick</w:t>
            </w:r>
          </w:p>
        </w:tc>
        <w:tc>
          <w:tcPr>
            <w:tcW w:type="dxa" w:w="34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New restrictions from 1 Oct 2026</w:t>
            </w:r>
          </w:p>
        </w:tc>
        <w:tc>
          <w:tcPr>
            <w:tcW w:type="dxa" w:w="3026"/>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Provincial service lines, utilities</w:t>
            </w:r>
          </w:p>
        </w:tc>
      </w:tr>
    </w:tbl>
    <w:p>
      <w:pPr>
        <w:spacing w:after="60"/>
      </w:pPr>
    </w:p>
    <w:p>
      <w:pPr>
        <w:pStyle w:val="Heading2"/>
      </w:pPr>
      <w:r>
        <w:t xml:space="preserve">Moves</w:t>
      </w:r>
    </w:p>
    <w:p>
      <w:pPr>
        <w:pStyle w:val="ListParagraph"/>
        <w:numPr>
          <w:ilvl w:val="0"/>
          <w:numId w:val="3"/>
        </w:numPr>
        <w:spacing w:after="80" w:line="276"/>
      </w:pPr>
      <w:r>
        <w:rPr>
          <w:b/>
          <w:bCs/>
        </w:rPr>
        <w:t xml:space="preserve">Get Canadian-supplier status.</w:t>
      </w:r>
      <w:r>
        <w:t xml:space="preserve"> The federal definition only requires a permanent place of business in Canada, with no minimum headcount. A small Canadian entity, or a partnership with a Canadian systems integrator or sovereign cloud, unlocks the 10% advantage and content points.</w:t>
      </w:r>
    </w:p>
    <w:p>
      <w:pPr>
        <w:pStyle w:val="ListParagraph"/>
        <w:numPr>
          <w:ilvl w:val="0"/>
          <w:numId w:val="3"/>
        </w:numPr>
        <w:spacing w:after="80" w:line="276"/>
      </w:pPr>
      <w:r>
        <w:rPr>
          <w:b/>
          <w:bCs/>
        </w:rPr>
        <w:t xml:space="preserve">Register on the procurement portals:</w:t>
      </w:r>
      <w:r>
        <w:t xml:space="preserve"> CanadaBuys, Supply Ontario, MERX, BC Bid and SEAO (Quebec).</w:t>
      </w:r>
    </w:p>
    <w:p>
      <w:pPr>
        <w:pStyle w:val="ListParagraph"/>
        <w:numPr>
          <w:ilvl w:val="0"/>
          <w:numId w:val="3"/>
        </w:numPr>
        <w:spacing w:after="80" w:line="276"/>
      </w:pPr>
      <w:r>
        <w:rPr>
          <w:b/>
          <w:bCs/>
        </w:rPr>
        <w:t xml:space="preserve">Use Australian export support.</w:t>
      </w:r>
      <w:r>
        <w:t xml:space="preserve"> Talk to Austrade and apply for the Export Market Development Grant to part-fund market entry.</w:t>
      </w:r>
    </w:p>
    <w:p>
      <w:pPr>
        <w:pStyle w:val="ListParagraph"/>
        <w:numPr>
          <w:ilvl w:val="0"/>
          <w:numId w:val="3"/>
        </w:numPr>
        <w:spacing w:after="80" w:line="276"/>
      </w:pPr>
      <w:r>
        <w:rPr>
          <w:b/>
          <w:bCs/>
        </w:rPr>
        <w:t xml:space="preserve">Build a proof point.</w:t>
      </w:r>
      <w:r>
        <w:t xml:space="preserve"> One Ontario hospital pilot with published call-volume and wait-time results will carry more weight than any content.</w:t>
      </w:r>
    </w:p>
    <w:p>
      <w:pPr>
        <w:pStyle w:val="ListParagraph"/>
        <w:numPr>
          <w:ilvl w:val="0"/>
          <w:numId w:val="3"/>
        </w:numPr>
        <w:spacing w:after="80" w:line="276"/>
      </w:pPr>
      <w:r>
        <w:rPr>
          <w:b/>
          <w:bCs/>
        </w:rPr>
        <w:t xml:space="preserve">Timing.</w:t>
      </w:r>
      <w:r>
        <w:t xml:space="preserve"> Coverage is at a peak after the September escalation and New Brunswick's 1 October start. The first posts should ship within weeks.</w:t>
      </w:r>
    </w:p>
    <w:p>
      <w:pPr>
        <w:pStyle w:val="Heading1"/>
      </w:pPr>
      <w:r>
        <w:t xml:space="preserve">6. Who is already marketing this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2900"/>
        <w:gridCol w:w="2526"/>
      </w:tblGrid>
      <w:tr>
        <w:trPr>
          <w:tblHeader/>
        </w:trPr>
        <w:tc>
          <w:tcPr>
            <w:tcW w:type="dxa" w:w="2100"/>
            <w:tcBorders>
              <w:top w:val="single" w:color="D6E0E1" w:sz="4"/>
              <w:left w:val="single" w:color="D6E0E1" w:sz="4"/>
              <w:bottom w:val="single" w:color="D6E0E1" w:sz="4"/>
              <w:right w:val="single" w:color="D6E0E1" w:sz="4"/>
            </w:tcBorders>
            <w:shd w:fill="E8EFEF" w:color="auto" w:val="clear"/>
            <w:tcMar>
              <w:top w:type="dxa" w:w="80"/>
              <w:left w:type="dxa" w:w="110"/>
              <w:bottom w:type="dxa" w:w="80"/>
              <w:right w:type="dxa" w:w="110"/>
            </w:tcMar>
          </w:tcPr>
          <w:p>
            <w:r>
              <w:rPr>
                <w:b/>
                <w:bCs/>
                <w:color w:val="52646A"/>
                <w:sz w:val="19"/>
                <w:szCs w:val="19"/>
              </w:rPr>
              <w:t xml:space="preserve">Company</w:t>
            </w:r>
          </w:p>
        </w:tc>
        <w:tc>
          <w:tcPr>
            <w:tcW w:type="dxa" w:w="1500"/>
            <w:tcBorders>
              <w:top w:val="single" w:color="D6E0E1" w:sz="4"/>
              <w:left w:val="single" w:color="D6E0E1" w:sz="4"/>
              <w:bottom w:val="single" w:color="D6E0E1" w:sz="4"/>
              <w:right w:val="single" w:color="D6E0E1" w:sz="4"/>
            </w:tcBorders>
            <w:shd w:fill="E8EFEF" w:color="auto" w:val="clear"/>
            <w:tcMar>
              <w:top w:type="dxa" w:w="80"/>
              <w:left w:type="dxa" w:w="110"/>
              <w:bottom w:type="dxa" w:w="80"/>
              <w:right w:type="dxa" w:w="110"/>
            </w:tcMar>
          </w:tcPr>
          <w:p>
            <w:r>
              <w:rPr>
                <w:b/>
                <w:bCs/>
                <w:color w:val="52646A"/>
                <w:sz w:val="19"/>
                <w:szCs w:val="19"/>
              </w:rPr>
              <w:t xml:space="preserve">Origin</w:t>
            </w:r>
          </w:p>
        </w:tc>
        <w:tc>
          <w:tcPr>
            <w:tcW w:type="dxa" w:w="2900"/>
            <w:tcBorders>
              <w:top w:val="single" w:color="D6E0E1" w:sz="4"/>
              <w:left w:val="single" w:color="D6E0E1" w:sz="4"/>
              <w:bottom w:val="single" w:color="D6E0E1" w:sz="4"/>
              <w:right w:val="single" w:color="D6E0E1" w:sz="4"/>
            </w:tcBorders>
            <w:shd w:fill="E8EFEF" w:color="auto" w:val="clear"/>
            <w:tcMar>
              <w:top w:type="dxa" w:w="80"/>
              <w:left w:type="dxa" w:w="110"/>
              <w:bottom w:type="dxa" w:w="80"/>
              <w:right w:type="dxa" w:w="110"/>
            </w:tcMar>
          </w:tcPr>
          <w:p>
            <w:r>
              <w:rPr>
                <w:b/>
                <w:bCs/>
                <w:color w:val="52646A"/>
                <w:sz w:val="19"/>
                <w:szCs w:val="19"/>
              </w:rPr>
              <w:t xml:space="preserve">What they market</w:t>
            </w:r>
          </w:p>
        </w:tc>
        <w:tc>
          <w:tcPr>
            <w:tcW w:type="dxa" w:w="2526"/>
            <w:tcBorders>
              <w:top w:val="single" w:color="D6E0E1" w:sz="4"/>
              <w:left w:val="single" w:color="D6E0E1" w:sz="4"/>
              <w:bottom w:val="single" w:color="D6E0E1" w:sz="4"/>
              <w:right w:val="single" w:color="D6E0E1" w:sz="4"/>
            </w:tcBorders>
            <w:shd w:fill="E8EFEF" w:color="auto" w:val="clear"/>
            <w:tcMar>
              <w:top w:type="dxa" w:w="80"/>
              <w:left w:type="dxa" w:w="110"/>
              <w:bottom w:type="dxa" w:w="80"/>
              <w:right w:type="dxa" w:w="110"/>
            </w:tcMar>
          </w:tcPr>
          <w:p>
            <w:r>
              <w:rPr>
                <w:b/>
                <w:bCs/>
                <w:color w:val="52646A"/>
                <w:sz w:val="19"/>
                <w:szCs w:val="19"/>
              </w:rPr>
              <w:t xml:space="preserve">Gap versus Trillet</w:t>
            </w:r>
          </w:p>
        </w:tc>
      </w:tr>
      <w:tr>
        <w:tc>
          <w:tcPr>
            <w:tcW w:type="dxa" w:w="21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b/>
                <w:bCs/>
                <w:color w:val="0E1B22"/>
                <w:sz w:val="19"/>
                <w:szCs w:val="19"/>
              </w:rPr>
              <w:t xml:space="preserve">ProCogia CallYeah</w:t>
            </w:r>
          </w:p>
        </w:tc>
        <w:tc>
          <w:tcPr>
            <w:tcW w:type="dxa" w:w="15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Canada</w:t>
            </w:r>
          </w:p>
        </w:tc>
        <w:tc>
          <w:tcPr>
            <w:tcW w:type="dxa" w:w="29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Healthcare voice AI running on BUZZ HPC's Canadian sovereign compute</w:t>
            </w:r>
          </w:p>
        </w:tc>
        <w:tc>
          <w:tcPr>
            <w:tcW w:type="dxa" w:w="2526"/>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Closest direct competitor. Watch it.</w:t>
            </w:r>
          </w:p>
        </w:tc>
      </w:tr>
      <w:tr>
        <w:tc>
          <w:tcPr>
            <w:tcW w:type="dxa" w:w="21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b/>
                <w:bCs/>
                <w:color w:val="0E1B22"/>
                <w:sz w:val="19"/>
                <w:szCs w:val="19"/>
              </w:rPr>
              <w:t xml:space="preserve">Agent IA Vocal, TalkToMedi, KickCall</w:t>
            </w:r>
          </w:p>
        </w:tc>
        <w:tc>
          <w:tcPr>
            <w:tcW w:type="dxa" w:w="15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Canada</w:t>
            </w:r>
          </w:p>
        </w:tc>
        <w:tc>
          <w:tcPr>
            <w:tcW w:type="dxa" w:w="29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"PIPEDA/PHIPA, 100% Canadian" voice agents</w:t>
            </w:r>
          </w:p>
        </w:tc>
        <w:tc>
          <w:tcPr>
            <w:tcW w:type="dxa" w:w="2526"/>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Clinic and small-business focus. Little enterprise or government positioning.</w:t>
            </w:r>
          </w:p>
        </w:tc>
      </w:tr>
      <w:tr>
        <w:tc>
          <w:tcPr>
            <w:tcW w:type="dxa" w:w="21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b/>
                <w:bCs/>
                <w:color w:val="0E1B22"/>
                <w:sz w:val="19"/>
                <w:szCs w:val="19"/>
              </w:rPr>
              <w:t xml:space="preserve">Ada</w:t>
            </w:r>
          </w:p>
        </w:tc>
        <w:tc>
          <w:tcPr>
            <w:tcW w:type="dxa" w:w="15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Canada (Toronto)</w:t>
            </w:r>
          </w:p>
        </w:tc>
        <w:tc>
          <w:tcPr>
            <w:tcW w:type="dxa" w:w="29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Customer-service AI expanding into voice</w:t>
            </w:r>
          </w:p>
        </w:tc>
        <w:tc>
          <w:tcPr>
            <w:tcW w:type="dxa" w:w="2526"/>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No public-sector eligibility positioning found</w:t>
            </w:r>
          </w:p>
        </w:tc>
      </w:tr>
      <w:tr>
        <w:tc>
          <w:tcPr>
            <w:tcW w:type="dxa" w:w="21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b/>
                <w:bCs/>
                <w:color w:val="0E1B22"/>
                <w:sz w:val="19"/>
                <w:szCs w:val="19"/>
              </w:rPr>
              <w:t xml:space="preserve">Cohere, Augure</w:t>
            </w:r>
          </w:p>
        </w:tc>
        <w:tc>
          <w:tcPr>
            <w:tcW w:type="dxa" w:w="15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Canada</w:t>
            </w:r>
          </w:p>
        </w:tc>
        <w:tc>
          <w:tcPr>
            <w:tcW w:type="dxa" w:w="29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Sovereign AI. Augure markets "zero CLOUD Act exposure".</w:t>
            </w:r>
          </w:p>
        </w:tc>
        <w:tc>
          <w:tcPr>
            <w:tcW w:type="dxa" w:w="2526"/>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Models and chat, without voice agents. Possible partners.</w:t>
            </w:r>
          </w:p>
        </w:tc>
      </w:tr>
      <w:tr>
        <w:tc>
          <w:tcPr>
            <w:tcW w:type="dxa" w:w="21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b/>
                <w:bCs/>
                <w:color w:val="0E1B22"/>
                <w:sz w:val="19"/>
                <w:szCs w:val="19"/>
              </w:rPr>
              <w:t xml:space="preserve">ThinkOn, OpenText</w:t>
            </w:r>
          </w:p>
        </w:tc>
        <w:tc>
          <w:tcPr>
            <w:tcW w:type="dxa" w:w="15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Canada</w:t>
            </w:r>
          </w:p>
        </w:tc>
        <w:tc>
          <w:tcPr>
            <w:tcW w:type="dxa" w:w="29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Canadian sovereign cloud. ThinkOn is authorised for Protected B government workloads.</w:t>
            </w:r>
          </w:p>
        </w:tc>
        <w:tc>
          <w:tcPr>
            <w:tcW w:type="dxa" w:w="2526"/>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Infrastructure. Natural hosting partners.</w:t>
            </w:r>
          </w:p>
        </w:tc>
      </w:tr>
      <w:tr>
        <w:tc>
          <w:tcPr>
            <w:tcW w:type="dxa" w:w="21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b/>
                <w:bCs/>
                <w:color w:val="0E1B22"/>
                <w:sz w:val="19"/>
                <w:szCs w:val="19"/>
              </w:rPr>
              <w:t xml:space="preserve">Lorikeet</w:t>
            </w:r>
          </w:p>
        </w:tc>
        <w:tc>
          <w:tcPr>
            <w:tcW w:type="dxa" w:w="15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Australia</w:t>
            </w:r>
          </w:p>
        </w:tc>
        <w:tc>
          <w:tcPr>
            <w:tcW w:type="dxa" w:w="29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Writes for Canadian buyers on compliance</w:t>
            </w:r>
          </w:p>
        </w:tc>
        <w:tc>
          <w:tcPr>
            <w:tcW w:type="dxa" w:w="2526"/>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No Canadian region. Does not use Australian ownership as a selling point.</w:t>
            </w:r>
          </w:p>
        </w:tc>
      </w:tr>
    </w:tbl>
    <w:p>
      <w:pPr>
        <w:spacing w:after="60"/>
      </w:pPr>
    </w:p>
    <w:p>
      <w:pPr>
        <w:spacing w:after="120" w:line="288"/>
      </w:pPr>
      <w:r>
        <w:rPr>
          <w:b/>
          <w:bCs/>
        </w:rPr>
        <w:t xml:space="preserve">The open slot:</w:t>
      </w:r>
      <w:r>
        <w:t xml:space="preserve"> we found no enterprise-grade voice AI vendor headquartered outside the US that offers on-prem or Canadian deployment and markets its eligibility to hospitals and government. The search was limited, so recheck before launch.</w:t>
      </w:r>
    </w:p>
    <w:p>
      <w:pPr>
        <w:pStyle w:val="Heading1"/>
      </w:pPr>
      <w:r>
        <w:t xml:space="preserve">7. Content plan: blog topics</w:t>
      </w:r>
    </w:p>
    <w:p>
      <w:pPr>
        <w:spacing w:after="120" w:line="288"/>
      </w:pPr>
      <w:r>
        <w:t xml:space="preserve">Posts earn traction when they answer a question buyers are already searching, give a procurement or IT lead something to forward internally, or add new information. A post built only around Trillet being Australian does none of these. Each post leads with practical value and mentions Australian ownership once, inside the guidance.</w:t>
      </w:r>
    </w:p>
    <w:p>
      <w:pPr>
        <w:pStyle w:val="Heading2"/>
      </w:pPr>
      <w:r>
        <w:t xml:space="preserve">Tier 1: time-sensitive, high intent</w:t>
      </w:r>
    </w:p>
    <w:p>
      <w:pPr>
        <w:keepNext/>
        <w:spacing w:after="60" w:before="160"/>
      </w:pPr>
      <w:r>
        <w:rPr>
          <w:b/>
          <w:bCs/>
          <w:color w:val="0C8577"/>
        </w:rPr>
        <w:t xml:space="preserve">01  </w:t>
      </w:r>
      <w:r>
        <w:rPr>
          <w:b/>
          <w:bCs/>
          <w:sz w:val="23"/>
          <w:szCs w:val="23"/>
        </w:rPr>
        <w:t xml:space="preserve">Buy Ontario and US supplier restrictions: what hospitals can and can't buy in 2026</w:t>
      </w:r>
    </w:p>
    <w:p>
      <w:pPr>
        <w:spacing w:after="50" w:line="276"/>
        <w:ind w:left="360"/>
      </w:pPr>
      <w:r>
        <w:rPr>
          <w:b/>
          <w:bCs/>
          <w:color w:val="52646A"/>
          <w:sz w:val="20"/>
          <w:szCs w:val="20"/>
        </w:rPr>
        <w:t xml:space="preserve">Reader: </w:t>
      </w:r>
      <w:r>
        <w:rPr>
          <w:sz w:val="20"/>
          <w:szCs w:val="20"/>
        </w:rPr>
        <w:t xml:space="preserve">Ontario hospital procurement teams, CIOs, patient-access leads</w:t>
      </w:r>
    </w:p>
    <w:p>
      <w:pPr>
        <w:spacing w:after="50" w:line="276"/>
        <w:ind w:left="360"/>
      </w:pPr>
      <w:r>
        <w:rPr>
          <w:b/>
          <w:bCs/>
          <w:color w:val="52646A"/>
          <w:sz w:val="20"/>
          <w:szCs w:val="20"/>
        </w:rPr>
        <w:t xml:space="preserve">Why: </w:t>
      </w:r>
      <w:r>
        <w:rPr>
          <w:sz w:val="20"/>
          <w:szCs w:val="20"/>
        </w:rPr>
        <w:t xml:space="preserve">High current search demand. Most coverage is law-firm PDFs. A plain operational guide to the "US business" test, the 250-employee and 90%-staff exceptions, and software and AI contracts gets linked and forwarded.</w:t>
      </w:r>
    </w:p>
    <w:p>
      <w:pPr>
        <w:spacing w:after="50" w:line="276"/>
        <w:ind w:left="360"/>
      </w:pPr>
      <w:r>
        <w:rPr>
          <w:b/>
          <w:bCs/>
          <w:color w:val="52646A"/>
          <w:sz w:val="20"/>
          <w:szCs w:val="20"/>
        </w:rPr>
        <w:t xml:space="preserve">Asset: </w:t>
      </w:r>
      <w:r>
        <w:rPr>
          <w:sz w:val="20"/>
          <w:szCs w:val="20"/>
        </w:rPr>
        <w:t xml:space="preserve">One-page summary graphic</w:t>
      </w:r>
    </w:p>
    <w:p>
      <w:pPr>
        <w:keepNext/>
        <w:spacing w:after="60" w:before="160"/>
      </w:pPr>
      <w:r>
        <w:rPr>
          <w:b/>
          <w:bCs/>
          <w:color w:val="0C8577"/>
        </w:rPr>
        <w:t xml:space="preserve">02  </w:t>
      </w:r>
      <w:r>
        <w:rPr>
          <w:b/>
          <w:bCs/>
          <w:sz w:val="23"/>
          <w:szCs w:val="23"/>
        </w:rPr>
        <w:t xml:space="preserve">Is your AI vendor a "US business"? A checklist for Canadian public-sector buyers</w:t>
      </w:r>
    </w:p>
    <w:p>
      <w:pPr>
        <w:spacing w:after="50" w:line="276"/>
        <w:ind w:left="360"/>
      </w:pPr>
      <w:r>
        <w:rPr>
          <w:b/>
          <w:bCs/>
          <w:color w:val="52646A"/>
          <w:sz w:val="20"/>
          <w:szCs w:val="20"/>
        </w:rPr>
        <w:t xml:space="preserve">Reader: </w:t>
      </w:r>
      <w:r>
        <w:rPr>
          <w:sz w:val="20"/>
          <w:szCs w:val="20"/>
        </w:rPr>
        <w:t xml:space="preserve">Procurement and vendor-risk teams</w:t>
      </w:r>
    </w:p>
    <w:p>
      <w:pPr>
        <w:spacing w:after="50" w:line="276"/>
        <w:ind w:left="360"/>
      </w:pPr>
      <w:r>
        <w:rPr>
          <w:b/>
          <w:bCs/>
          <w:color w:val="52646A"/>
          <w:sz w:val="20"/>
          <w:szCs w:val="20"/>
        </w:rPr>
        <w:t xml:space="preserve">Why: </w:t>
      </w:r>
      <w:r>
        <w:rPr>
          <w:sz w:val="20"/>
          <w:szCs w:val="20"/>
        </w:rPr>
        <w:t xml:space="preserve">A practical tool people share. Covers headquarters, Canadian headcount, sub-processors, hosting and CLOUD Act exposure.</w:t>
      </w:r>
    </w:p>
    <w:p>
      <w:pPr>
        <w:spacing w:after="50" w:line="276"/>
        <w:ind w:left="360"/>
      </w:pPr>
      <w:r>
        <w:rPr>
          <w:b/>
          <w:bCs/>
          <w:color w:val="52646A"/>
          <w:sz w:val="20"/>
          <w:szCs w:val="20"/>
        </w:rPr>
        <w:t xml:space="preserve">Asset: </w:t>
      </w:r>
      <w:r>
        <w:rPr>
          <w:sz w:val="20"/>
          <w:szCs w:val="20"/>
        </w:rPr>
        <w:t xml:space="preserve">Downloadable checklist and a LinkedIn carousel</w:t>
      </w:r>
    </w:p>
    <w:p>
      <w:pPr>
        <w:keepNext/>
        <w:spacing w:after="60" w:before="160"/>
      </w:pPr>
      <w:r>
        <w:rPr>
          <w:b/>
          <w:bCs/>
          <w:color w:val="0C8577"/>
        </w:rPr>
        <w:t xml:space="preserve">03  </w:t>
      </w:r>
      <w:r>
        <w:rPr>
          <w:b/>
          <w:bCs/>
          <w:sz w:val="23"/>
          <w:szCs w:val="23"/>
        </w:rPr>
        <w:t xml:space="preserve">Canada-US procurement dispute: a timeline for tech buyers, updated monthly</w:t>
      </w:r>
    </w:p>
    <w:p>
      <w:pPr>
        <w:spacing w:after="50" w:line="276"/>
        <w:ind w:left="360"/>
      </w:pPr>
      <w:r>
        <w:rPr>
          <w:b/>
          <w:bCs/>
          <w:color w:val="52646A"/>
          <w:sz w:val="20"/>
          <w:szCs w:val="20"/>
        </w:rPr>
        <w:t xml:space="preserve">Reader: </w:t>
      </w:r>
      <w:r>
        <w:rPr>
          <w:sz w:val="20"/>
          <w:szCs w:val="20"/>
        </w:rPr>
        <w:t xml:space="preserve">Anyone tracking the dispute</w:t>
      </w:r>
    </w:p>
    <w:p>
      <w:pPr>
        <w:spacing w:after="50" w:line="276"/>
        <w:ind w:left="360"/>
      </w:pPr>
      <w:r>
        <w:rPr>
          <w:b/>
          <w:bCs/>
          <w:color w:val="52646A"/>
          <w:sz w:val="20"/>
          <w:szCs w:val="20"/>
        </w:rPr>
        <w:t xml:space="preserve">Why: </w:t>
      </w:r>
      <w:r>
        <w:rPr>
          <w:sz w:val="20"/>
          <w:szCs w:val="20"/>
        </w:rPr>
        <w:t xml:space="preserve">A living page earns links and repeat visits. Show a "last updated" date at the top.</w:t>
      </w:r>
    </w:p>
    <w:p>
      <w:pPr>
        <w:spacing w:after="50" w:line="276"/>
        <w:ind w:left="360"/>
      </w:pPr>
      <w:r>
        <w:rPr>
          <w:b/>
          <w:bCs/>
          <w:color w:val="52646A"/>
          <w:sz w:val="20"/>
          <w:szCs w:val="20"/>
        </w:rPr>
        <w:t xml:space="preserve">Asset: </w:t>
      </w:r>
      <w:r>
        <w:rPr>
          <w:sz w:val="20"/>
          <w:szCs w:val="20"/>
        </w:rPr>
        <w:t xml:space="preserve">The timeline in section 2, kept current</w:t>
      </w:r>
    </w:p>
    <w:p>
      <w:pPr>
        <w:pStyle w:val="Heading2"/>
      </w:pPr>
      <w:r>
        <w:t xml:space="preserve">Tier 2: evergreen compliance</w:t>
      </w:r>
    </w:p>
    <w:p>
      <w:pPr>
        <w:keepNext/>
        <w:spacing w:after="60" w:before="160"/>
      </w:pPr>
      <w:r>
        <w:rPr>
          <w:b/>
          <w:bCs/>
          <w:color w:val="0C8577"/>
        </w:rPr>
        <w:t xml:space="preserve">04  </w:t>
      </w:r>
      <w:r>
        <w:rPr>
          <w:b/>
          <w:bCs/>
          <w:sz w:val="23"/>
          <w:szCs w:val="23"/>
        </w:rPr>
        <w:t xml:space="preserve">Data residency and sovereignty: the CLOUD Act and patient data in Canadian hospitals</w:t>
      </w:r>
    </w:p>
    <w:p>
      <w:pPr>
        <w:spacing w:after="50" w:line="276"/>
        <w:ind w:left="360"/>
      </w:pPr>
      <w:r>
        <w:rPr>
          <w:b/>
          <w:bCs/>
          <w:color w:val="52646A"/>
          <w:sz w:val="20"/>
          <w:szCs w:val="20"/>
        </w:rPr>
        <w:t xml:space="preserve">Why: </w:t>
      </w:r>
      <w:r>
        <w:rPr>
          <w:sz w:val="20"/>
          <w:szCs w:val="20"/>
        </w:rPr>
        <w:t xml:space="preserve">The argument sovereignty-minded buyers already care about. Vendor ownership matters as much as where data is stored. Shows how on-prem and sovereign-cloud deployment change the picture.</w:t>
      </w:r>
    </w:p>
    <w:p>
      <w:pPr>
        <w:spacing w:after="50" w:line="276"/>
        <w:ind w:left="360"/>
      </w:pPr>
      <w:r>
        <w:rPr>
          <w:b/>
          <w:bCs/>
          <w:color w:val="52646A"/>
          <w:sz w:val="20"/>
          <w:szCs w:val="20"/>
        </w:rPr>
        <w:t xml:space="preserve">Gate: </w:t>
      </w:r>
      <w:r>
        <w:rPr>
          <w:sz w:val="20"/>
          <w:szCs w:val="20"/>
        </w:rPr>
        <w:t xml:space="preserve">Publish only after check 2 passes</w:t>
      </w:r>
    </w:p>
    <w:p>
      <w:pPr>
        <w:keepNext/>
        <w:spacing w:after="60" w:before="160"/>
      </w:pPr>
      <w:r>
        <w:rPr>
          <w:b/>
          <w:bCs/>
          <w:color w:val="0C8577"/>
        </w:rPr>
        <w:t xml:space="preserve">05  </w:t>
      </w:r>
      <w:r>
        <w:rPr>
          <w:b/>
          <w:bCs/>
          <w:sz w:val="23"/>
          <w:szCs w:val="23"/>
        </w:rPr>
        <w:t xml:space="preserve">PHIPA and AI voice agents: what an Ontario hospital needs before a phone agent handles patient calls</w:t>
      </w:r>
    </w:p>
    <w:p>
      <w:pPr>
        <w:spacing w:after="50" w:line="276"/>
        <w:ind w:left="360"/>
      </w:pPr>
      <w:r>
        <w:rPr>
          <w:b/>
          <w:bCs/>
          <w:color w:val="52646A"/>
          <w:sz w:val="20"/>
          <w:szCs w:val="20"/>
        </w:rPr>
        <w:t xml:space="preserve">Why: </w:t>
      </w:r>
      <w:r>
        <w:rPr>
          <w:sz w:val="20"/>
          <w:szCs w:val="20"/>
        </w:rPr>
        <w:t xml:space="preserve">A specific, searchable question with little good content. Covers consent, recording, retention, redaction, audit trails and privacy impact assessments.</w:t>
      </w:r>
    </w:p>
    <w:p>
      <w:pPr>
        <w:keepNext/>
        <w:spacing w:after="60" w:before="160"/>
      </w:pPr>
      <w:r>
        <w:rPr>
          <w:b/>
          <w:bCs/>
          <w:color w:val="0C8577"/>
        </w:rPr>
        <w:t xml:space="preserve">06  </w:t>
      </w:r>
      <w:r>
        <w:rPr>
          <w:b/>
          <w:bCs/>
          <w:sz w:val="23"/>
          <w:szCs w:val="23"/>
        </w:rPr>
        <w:t xml:space="preserve">Quebec Law 25 and automated decisions: what AI phone agents must disclose</w:t>
      </w:r>
    </w:p>
    <w:p>
      <w:pPr>
        <w:spacing w:after="50" w:line="276"/>
        <w:ind w:left="360"/>
      </w:pPr>
      <w:r>
        <w:rPr>
          <w:b/>
          <w:bCs/>
          <w:color w:val="52646A"/>
          <w:sz w:val="20"/>
          <w:szCs w:val="20"/>
        </w:rPr>
        <w:t xml:space="preserve">Why: </w:t>
      </w:r>
      <w:r>
        <w:rPr>
          <w:sz w:val="20"/>
          <w:szCs w:val="20"/>
        </w:rPr>
        <w:t xml:space="preserve">Law 25 requires telling people when a decision about them is automated. Few voice AI vendors cover this. Publish in French as well.</w:t>
      </w:r>
    </w:p>
    <w:p>
      <w:pPr>
        <w:keepNext/>
        <w:spacing w:after="60" w:before="160"/>
      </w:pPr>
      <w:r>
        <w:rPr>
          <w:b/>
          <w:bCs/>
          <w:color w:val="0C8577"/>
        </w:rPr>
        <w:t xml:space="preserve">07  </w:t>
      </w:r>
      <w:r>
        <w:rPr>
          <w:b/>
          <w:bCs/>
          <w:sz w:val="23"/>
          <w:szCs w:val="23"/>
        </w:rPr>
        <w:t xml:space="preserve">Ontario Bill 194 and AI in the public sector: what hospitals and agencies must now document</w:t>
      </w:r>
    </w:p>
    <w:p>
      <w:pPr>
        <w:spacing w:after="50" w:line="276"/>
        <w:ind w:left="360"/>
      </w:pPr>
      <w:r>
        <w:rPr>
          <w:b/>
          <w:bCs/>
          <w:color w:val="52646A"/>
          <w:sz w:val="20"/>
          <w:szCs w:val="20"/>
        </w:rPr>
        <w:t xml:space="preserve">Why: </w:t>
      </w:r>
      <w:r>
        <w:rPr>
          <w:sz w:val="20"/>
          <w:szCs w:val="20"/>
        </w:rPr>
        <w:t xml:space="preserve">A newer obligation that boards and risk teams are working through.</w:t>
      </w:r>
    </w:p>
    <w:p>
      <w:pPr>
        <w:spacing w:after="50" w:line="276"/>
        <w:ind w:left="360"/>
      </w:pPr>
      <w:r>
        <w:rPr>
          <w:b/>
          <w:bCs/>
          <w:color w:val="52646A"/>
          <w:sz w:val="20"/>
          <w:szCs w:val="20"/>
        </w:rPr>
        <w:t xml:space="preserve">Gate: </w:t>
      </w:r>
      <w:r>
        <w:rPr>
          <w:sz w:val="20"/>
          <w:szCs w:val="20"/>
        </w:rPr>
        <w:t xml:space="preserve">CONFIRM current regulations and dates before drafting</w:t>
      </w:r>
    </w:p>
    <w:p>
      <w:pPr>
        <w:keepNext/>
        <w:spacing w:after="60" w:before="160"/>
      </w:pPr>
      <w:r>
        <w:rPr>
          <w:b/>
          <w:bCs/>
          <w:color w:val="0C8577"/>
        </w:rPr>
        <w:t xml:space="preserve">08  </w:t>
      </w:r>
      <w:r>
        <w:rPr>
          <w:b/>
          <w:bCs/>
          <w:sz w:val="23"/>
          <w:szCs w:val="23"/>
        </w:rPr>
        <w:t xml:space="preserve">The federal Algorithmic Impact Assessment for AI phone agents: a worked example</w:t>
      </w:r>
    </w:p>
    <w:p>
      <w:pPr>
        <w:spacing w:after="50" w:line="276"/>
        <w:ind w:left="360"/>
      </w:pPr>
      <w:r>
        <w:rPr>
          <w:b/>
          <w:bCs/>
          <w:color w:val="52646A"/>
          <w:sz w:val="20"/>
          <w:szCs w:val="20"/>
        </w:rPr>
        <w:t xml:space="preserve">Why: </w:t>
      </w:r>
      <w:r>
        <w:rPr>
          <w:sz w:val="20"/>
          <w:szCs w:val="20"/>
        </w:rPr>
        <w:t xml:space="preserve">No worked assessment for a voice agent has been published. Useful on its own and easy to cite.</w:t>
      </w:r>
    </w:p>
    <w:p>
      <w:pPr>
        <w:pStyle w:val="Heading2"/>
      </w:pPr>
      <w:r>
        <w:t xml:space="preserve">Tier 3: use cases and operations</w:t>
      </w:r>
    </w:p>
    <w:p>
      <w:pPr>
        <w:keepNext/>
        <w:spacing w:after="60" w:before="160"/>
      </w:pPr>
      <w:r>
        <w:rPr>
          <w:b/>
          <w:bCs/>
          <w:color w:val="0C8577"/>
        </w:rPr>
        <w:t xml:space="preserve">09  </w:t>
      </w:r>
      <w:r>
        <w:rPr>
          <w:b/>
          <w:bCs/>
          <w:sz w:val="23"/>
          <w:szCs w:val="23"/>
        </w:rPr>
        <w:t xml:space="preserve">Bilingual voice AI for Canadian public services: getting French right</w:t>
      </w:r>
    </w:p>
    <w:p>
      <w:pPr>
        <w:spacing w:after="50" w:line="276"/>
        <w:ind w:left="360"/>
      </w:pPr>
      <w:r>
        <w:rPr>
          <w:b/>
          <w:bCs/>
          <w:color w:val="52646A"/>
          <w:sz w:val="20"/>
          <w:szCs w:val="20"/>
        </w:rPr>
        <w:t xml:space="preserve">Why: </w:t>
      </w:r>
      <w:r>
        <w:rPr>
          <w:sz w:val="20"/>
          <w:szCs w:val="20"/>
        </w:rPr>
        <w:t xml:space="preserve">Covers Official Languages Act expectations, Canadian French accents, switching language mid-call, and accessibility. A demo line makes it easy to share.</w:t>
      </w:r>
    </w:p>
    <w:p>
      <w:pPr>
        <w:keepNext/>
        <w:spacing w:after="60" w:before="160"/>
      </w:pPr>
      <w:r>
        <w:rPr>
          <w:b/>
          <w:bCs/>
          <w:color w:val="0C8577"/>
        </w:rPr>
        <w:t xml:space="preserve">10  </w:t>
      </w:r>
      <w:r>
        <w:rPr>
          <w:b/>
          <w:bCs/>
          <w:sz w:val="23"/>
          <w:szCs w:val="23"/>
        </w:rPr>
        <w:t xml:space="preserve">Cutting hospital phone wait times: what patient-access teams can automate, and where a person should stay involved</w:t>
      </w:r>
    </w:p>
    <w:p>
      <w:pPr>
        <w:spacing w:after="50" w:line="276"/>
        <w:ind w:left="360"/>
      </w:pPr>
      <w:r>
        <w:rPr>
          <w:b/>
          <w:bCs/>
          <w:color w:val="52646A"/>
          <w:sz w:val="20"/>
          <w:szCs w:val="20"/>
        </w:rPr>
        <w:t xml:space="preserve">Why: </w:t>
      </w:r>
      <w:r>
        <w:rPr>
          <w:sz w:val="20"/>
          <w:szCs w:val="20"/>
        </w:rPr>
        <w:t xml:space="preserve">This is the post that brings in buyers as well as policy readers. Real pilot numbers make it far stronger.</w:t>
      </w:r>
    </w:p>
    <w:p>
      <w:pPr>
        <w:keepNext/>
        <w:spacing w:after="60" w:before="160"/>
      </w:pPr>
      <w:r>
        <w:rPr>
          <w:b/>
          <w:bCs/>
          <w:color w:val="0C8577"/>
        </w:rPr>
        <w:t xml:space="preserve">11  </w:t>
      </w:r>
      <w:r>
        <w:rPr>
          <w:b/>
          <w:bCs/>
          <w:sz w:val="23"/>
          <w:szCs w:val="23"/>
        </w:rPr>
        <w:t xml:space="preserve">CRTC rules for automated appointment-reminder calls in Canada</w:t>
      </w:r>
    </w:p>
    <w:p>
      <w:pPr>
        <w:spacing w:after="50" w:line="276"/>
        <w:ind w:left="360"/>
      </w:pPr>
      <w:r>
        <w:rPr>
          <w:b/>
          <w:bCs/>
          <w:color w:val="52646A"/>
          <w:sz w:val="20"/>
          <w:szCs w:val="20"/>
        </w:rPr>
        <w:t xml:space="preserve">Why: </w:t>
      </w:r>
      <w:r>
        <w:rPr>
          <w:sz w:val="20"/>
          <w:szCs w:val="20"/>
        </w:rPr>
        <w:t xml:space="preserve">Outbound AI calls fall under Canada's automated-calling rules. Narrow, high intent and almost no competition.</w:t>
      </w:r>
    </w:p>
    <w:p>
      <w:pPr>
        <w:pStyle w:val="Heading2"/>
      </w:pPr>
      <w:r>
        <w:t xml:space="preserve">Rules for every post</w:t>
      </w:r>
    </w:p>
    <w:p>
      <w:pPr>
        <w:pStyle w:val="ListParagraph"/>
        <w:numPr>
          <w:ilvl w:val="0"/>
          <w:numId w:val="3"/>
        </w:numPr>
        <w:spacing w:after="80" w:line="276"/>
      </w:pPr>
      <w:r>
        <w:t xml:space="preserve">Include something original: a checklist, a timeline, a comparison table of where voice AI vendors are headquartered, or a worked assessment. Posts that only rephrase the news won't rank.</w:t>
      </w:r>
    </w:p>
    <w:p>
      <w:pPr>
        <w:pStyle w:val="ListParagraph"/>
        <w:numPr>
          <w:ilvl w:val="0"/>
          <w:numId w:val="3"/>
        </w:numPr>
        <w:spacing w:after="80" w:line="276"/>
      </w:pPr>
      <w:r>
        <w:t xml:space="preserve">Explain the eligibility logic (Australian ownership plus CPTPP) in one post, and link to it from the others.</w:t>
      </w:r>
    </w:p>
    <w:p>
      <w:pPr>
        <w:pStyle w:val="ListParagraph"/>
        <w:numPr>
          <w:ilvl w:val="0"/>
          <w:numId w:val="3"/>
        </w:numPr>
        <w:spacing w:after="80" w:line="276"/>
      </w:pPr>
      <w:r>
        <w:t xml:space="preserve">Distribute on LinkedIn through Ontario health supply-chain and procurement communities, and pitch the checklist to Canadian procurement newsletters.</w:t>
      </w:r>
    </w:p>
    <w:p>
      <w:pPr>
        <w:pStyle w:val="ListParagraph"/>
        <w:numPr>
          <w:ilvl w:val="0"/>
          <w:numId w:val="3"/>
        </w:numPr>
        <w:spacing w:after="80" w:line="276"/>
      </w:pPr>
      <w:r>
        <w:t xml:space="preserve">Write in plain English and keep claims factual. Every legal statement links to a primary source.</w:t>
      </w:r>
    </w:p>
    <w:p>
      <w:pPr>
        <w:pStyle w:val="Heading1"/>
      </w:pPr>
      <w:r>
        <w:t xml:space="preserve">8. First 90 days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D6E0E1" w:sz="4"/>
              <w:left w:val="single" w:color="D6E0E1" w:sz="4"/>
              <w:bottom w:val="single" w:color="D6E0E1" w:sz="4"/>
              <w:right w:val="single" w:color="D6E0E1" w:sz="4"/>
            </w:tcBorders>
            <w:shd w:fill="E8EFEF" w:color="auto" w:val="clear"/>
            <w:tcMar>
              <w:top w:type="dxa" w:w="80"/>
              <w:left w:type="dxa" w:w="110"/>
              <w:bottom w:type="dxa" w:w="80"/>
              <w:right w:type="dxa" w:w="110"/>
            </w:tcMar>
          </w:tcPr>
          <w:p>
            <w:r>
              <w:rPr>
                <w:b/>
                <w:bCs/>
                <w:color w:val="52646A"/>
                <w:sz w:val="19"/>
                <w:szCs w:val="19"/>
              </w:rPr>
              <w:t xml:space="preserve">Phase</w:t>
            </w:r>
          </w:p>
        </w:tc>
        <w:tc>
          <w:tcPr>
            <w:tcW w:type="dxa" w:w="7226"/>
            <w:tcBorders>
              <w:top w:val="single" w:color="D6E0E1" w:sz="4"/>
              <w:left w:val="single" w:color="D6E0E1" w:sz="4"/>
              <w:bottom w:val="single" w:color="D6E0E1" w:sz="4"/>
              <w:right w:val="single" w:color="D6E0E1" w:sz="4"/>
            </w:tcBorders>
            <w:shd w:fill="E8EFEF" w:color="auto" w:val="clear"/>
            <w:tcMar>
              <w:top w:type="dxa" w:w="80"/>
              <w:left w:type="dxa" w:w="110"/>
              <w:bottom w:type="dxa" w:w="80"/>
              <w:right w:type="dxa" w:w="110"/>
            </w:tcMar>
          </w:tcPr>
          <w:p>
            <w:r>
              <w:rPr>
                <w:b/>
                <w:bCs/>
                <w:color w:val="52646A"/>
                <w:sz w:val="19"/>
                <w:szCs w:val="19"/>
              </w:rPr>
              <w:t xml:space="preserve">Actions</w:t>
            </w:r>
          </w:p>
        </w:tc>
      </w:tr>
      <w:tr>
        <w:tc>
          <w:tcPr>
            <w:tcW w:type="dxa" w:w="18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b/>
                <w:bCs/>
                <w:color w:val="0E1B22"/>
                <w:sz w:val="19"/>
                <w:szCs w:val="19"/>
              </w:rPr>
              <w:t xml:space="preserve">Weeks 1 to 2</w:t>
            </w:r>
          </w:p>
        </w:tc>
        <w:tc>
          <w:tcPr>
            <w:tcW w:type="dxa" w:w="7226"/>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Complete the four gating checks. Publish post 01. Draft posts 02 and 03. Register on CanadaBuys and Supply Ontario.</w:t>
            </w:r>
          </w:p>
        </w:tc>
      </w:tr>
      <w:tr>
        <w:tc>
          <w:tcPr>
            <w:tcW w:type="dxa" w:w="18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b/>
                <w:bCs/>
                <w:color w:val="0E1B22"/>
                <w:sz w:val="19"/>
                <w:szCs w:val="19"/>
              </w:rPr>
              <w:t xml:space="preserve">Weeks 3 to 6</w:t>
            </w:r>
          </w:p>
        </w:tc>
        <w:tc>
          <w:tcPr>
            <w:tcW w:type="dxa" w:w="7226"/>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Publish 02 (with checklist) and 03. Launch a /canada landing page and a French demo line. Open talks with a Canadian sovereign-cloud or integrator partner. Contact Austrade.</w:t>
            </w:r>
          </w:p>
        </w:tc>
      </w:tr>
      <w:tr>
        <w:tc>
          <w:tcPr>
            <w:tcW w:type="dxa" w:w="18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b/>
                <w:bCs/>
                <w:color w:val="0E1B22"/>
                <w:sz w:val="19"/>
                <w:szCs w:val="19"/>
              </w:rPr>
              <w:t xml:space="preserve">Weeks 7 to 12</w:t>
            </w:r>
          </w:p>
        </w:tc>
        <w:tc>
          <w:tcPr>
            <w:tcW w:type="dxa" w:w="7226"/>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Publish 05 and 04, then 06. Decide on a Canadian entity. Secure one Ontario hospital pilot and publish its results as post 10.</w:t>
            </w:r>
          </w:p>
        </w:tc>
      </w:tr>
    </w:tbl>
    <w:p>
      <w:pPr>
        <w:pStyle w:val="Heading1"/>
      </w:pPr>
      <w:r>
        <w:t xml:space="preserve">9. Sources</w:t>
      </w:r>
    </w:p>
    <w:p>
      <w:pPr>
        <w:pStyle w:val="ListParagraph"/>
        <w:numPr>
          <w:ilvl w:val="0"/>
          <w:numId w:val="3"/>
        </w:numPr>
        <w:spacing w:after="60"/>
      </w:pPr>
      <w:hyperlink w:history="1" r:id="rIdzxgjmxum3ypcir2fkuxq7">
        <w:r>
          <w:rPr>
            <w:rStyle w:val="Hyperlink"/>
            <w:sz w:val="20"/>
            <w:szCs w:val="20"/>
          </w:rPr>
          <w:t xml:space="preserve">Buy Canadian (Government of Canada)</w:t>
        </w:r>
      </w:hyperlink>
    </w:p>
    <w:p>
      <w:pPr>
        <w:pStyle w:val="ListParagraph"/>
        <w:numPr>
          <w:ilvl w:val="0"/>
          <w:numId w:val="3"/>
        </w:numPr>
        <w:spacing w:after="60"/>
      </w:pPr>
      <w:hyperlink w:history="1" r:id="rIdypdjqm4av75ckw-mkwxdc">
        <w:r>
          <w:rPr>
            <w:rStyle w:val="Hyperlink"/>
            <w:sz w:val="20"/>
            <w:szCs w:val="20"/>
          </w:rPr>
          <w:t xml:space="preserve">Torys: Buy Canadian Policy</w:t>
        </w:r>
      </w:hyperlink>
    </w:p>
    <w:p>
      <w:pPr>
        <w:pStyle w:val="ListParagraph"/>
        <w:numPr>
          <w:ilvl w:val="0"/>
          <w:numId w:val="3"/>
        </w:numPr>
        <w:spacing w:after="60"/>
      </w:pPr>
      <w:hyperlink w:history="1" r:id="rId7-u6hyom0c30gppjoki7m">
        <w:r>
          <w:rPr>
            <w:rStyle w:val="Hyperlink"/>
            <w:sz w:val="20"/>
            <w:szCs w:val="20"/>
          </w:rPr>
          <w:t xml:space="preserve">CanadaBuys: Interim Policy on Reciprocal Procurement</w:t>
        </w:r>
      </w:hyperlink>
    </w:p>
    <w:p>
      <w:pPr>
        <w:pStyle w:val="ListParagraph"/>
        <w:numPr>
          <w:ilvl w:val="0"/>
          <w:numId w:val="3"/>
        </w:numPr>
        <w:spacing w:after="60"/>
      </w:pPr>
      <w:hyperlink w:history="1" r:id="rIdo5tv4mxivhht6xm3miwqg">
        <w:r>
          <w:rPr>
            <w:rStyle w:val="Hyperlink"/>
            <w:sz w:val="20"/>
            <w:szCs w:val="20"/>
          </w:rPr>
          <w:t xml:space="preserve">Miller Thomson: procurement bans targeting US suppliers</w:t>
        </w:r>
      </w:hyperlink>
    </w:p>
    <w:p>
      <w:pPr>
        <w:pStyle w:val="ListParagraph"/>
        <w:numPr>
          <w:ilvl w:val="0"/>
          <w:numId w:val="3"/>
        </w:numPr>
        <w:spacing w:after="60"/>
      </w:pPr>
      <w:hyperlink w:history="1" r:id="rIdyuzmfkltsq6zluj9hhglr">
        <w:r>
          <w:rPr>
            <w:rStyle w:val="Hyperlink"/>
            <w:sz w:val="20"/>
            <w:szCs w:val="20"/>
          </w:rPr>
          <w:t xml:space="preserve">Ontario Procurement Restriction Policy</w:t>
        </w:r>
      </w:hyperlink>
    </w:p>
    <w:p>
      <w:pPr>
        <w:pStyle w:val="ListParagraph"/>
        <w:numPr>
          <w:ilvl w:val="0"/>
          <w:numId w:val="3"/>
        </w:numPr>
        <w:spacing w:after="60"/>
      </w:pPr>
      <w:hyperlink w:history="1" r:id="rId92b10qat5j-ihwpxpt_gu">
        <w:r>
          <w:rPr>
            <w:rStyle w:val="Hyperlink"/>
            <w:sz w:val="20"/>
            <w:szCs w:val="20"/>
          </w:rPr>
          <w:t xml:space="preserve">Torys: Buy Ontario Procurement Directive</w:t>
        </w:r>
      </w:hyperlink>
    </w:p>
    <w:p>
      <w:pPr>
        <w:pStyle w:val="ListParagraph"/>
        <w:numPr>
          <w:ilvl w:val="0"/>
          <w:numId w:val="3"/>
        </w:numPr>
        <w:spacing w:after="60"/>
      </w:pPr>
      <w:hyperlink w:history="1" r:id="rId6sn6cusvws-uwqfrlw8rd">
        <w:r>
          <w:rPr>
            <w:rStyle w:val="Hyperlink"/>
            <w:sz w:val="20"/>
            <w:szCs w:val="20"/>
          </w:rPr>
          <w:t xml:space="preserve">InsideTrade: New Brunswick ban</w:t>
        </w:r>
      </w:hyperlink>
    </w:p>
    <w:p>
      <w:pPr>
        <w:pStyle w:val="ListParagraph"/>
        <w:numPr>
          <w:ilvl w:val="0"/>
          <w:numId w:val="3"/>
        </w:numPr>
        <w:spacing w:after="60"/>
      </w:pPr>
      <w:hyperlink w:history="1" r:id="rId_lf-g37ifeiducanssmya">
        <w:r>
          <w:rPr>
            <w:rStyle w:val="Hyperlink"/>
            <w:sz w:val="20"/>
            <w:szCs w:val="20"/>
          </w:rPr>
          <w:t xml:space="preserve">Global News: US bans Canadian goods from contracts</w:t>
        </w:r>
      </w:hyperlink>
    </w:p>
    <w:p>
      <w:pPr>
        <w:pStyle w:val="ListParagraph"/>
        <w:numPr>
          <w:ilvl w:val="0"/>
          <w:numId w:val="3"/>
        </w:numPr>
        <w:spacing w:after="60"/>
      </w:pPr>
      <w:hyperlink w:history="1" r:id="rIduf4wypg_dh1icsfdoujwl">
        <w:r>
          <w:rPr>
            <w:rStyle w:val="Hyperlink"/>
            <w:sz w:val="20"/>
            <w:szCs w:val="20"/>
          </w:rPr>
          <w:t xml:space="preserve">Public Procurement International: September update</w:t>
        </w:r>
      </w:hyperlink>
    </w:p>
    <w:p>
      <w:pPr>
        <w:pStyle w:val="ListParagraph"/>
        <w:numPr>
          <w:ilvl w:val="0"/>
          <w:numId w:val="3"/>
        </w:numPr>
        <w:spacing w:after="60"/>
      </w:pPr>
      <w:hyperlink w:history="1" r:id="rIdv2vp4fnxjd5fy1xj6cwqc">
        <w:r>
          <w:rPr>
            <w:rStyle w:val="Hyperlink"/>
            <w:sz w:val="20"/>
            <w:szCs w:val="20"/>
          </w:rPr>
          <w:t xml:space="preserve">Hill Times: calls for a tit-for-tat response</w:t>
        </w:r>
      </w:hyperlink>
    </w:p>
    <w:p>
      <w:pPr>
        <w:pStyle w:val="ListParagraph"/>
        <w:numPr>
          <w:ilvl w:val="0"/>
          <w:numId w:val="3"/>
        </w:numPr>
        <w:spacing w:after="60"/>
      </w:pPr>
      <w:hyperlink w:history="1" r:id="rId0hfyzyo-fkah_r-ksvzlx">
        <w:r>
          <w:rPr>
            <w:rStyle w:val="Hyperlink"/>
            <w:sz w:val="20"/>
            <w:szCs w:val="20"/>
          </w:rPr>
          <w:t xml:space="preserve">Global Affairs Canada: CPTPP government procurement</w:t>
        </w:r>
      </w:hyperlink>
    </w:p>
    <w:p>
      <w:pPr>
        <w:pStyle w:val="ListParagraph"/>
        <w:numPr>
          <w:ilvl w:val="0"/>
          <w:numId w:val="3"/>
        </w:numPr>
        <w:spacing w:after="60"/>
      </w:pPr>
      <w:hyperlink w:history="1" r:id="rIdboikmsa8meboss8hay_5w">
        <w:r>
          <w:rPr>
            <w:rStyle w:val="Hyperlink"/>
            <w:sz w:val="20"/>
            <w:szCs w:val="20"/>
          </w:rPr>
          <w:t xml:space="preserve">BLG: data sovereignty and the CLOUD Act</w:t>
        </w:r>
      </w:hyperlink>
    </w:p>
    <w:p>
      <w:pPr>
        <w:pStyle w:val="ListParagraph"/>
        <w:numPr>
          <w:ilvl w:val="0"/>
          <w:numId w:val="3"/>
        </w:numPr>
        <w:spacing w:after="60"/>
      </w:pPr>
      <w:hyperlink w:history="1" r:id="rId0xlia1_uccc128z4t9ezr">
        <w:r>
          <w:rPr>
            <w:rStyle w:val="Hyperlink"/>
            <w:sz w:val="20"/>
            <w:szCs w:val="20"/>
          </w:rPr>
          <w:t xml:space="preserve">AI Commission: healthcare AI on Canadian compute</w:t>
        </w:r>
      </w:hyperlink>
    </w:p>
    <w:p>
      <w:pPr>
        <w:pStyle w:val="ListParagraph"/>
        <w:numPr>
          <w:ilvl w:val="0"/>
          <w:numId w:val="3"/>
        </w:numPr>
        <w:spacing w:after="60"/>
      </w:pPr>
      <w:hyperlink w:history="1" r:id="rIds6xhzhu8uflglipcjn2zn">
        <w:r>
          <w:rPr>
            <w:rStyle w:val="Hyperlink"/>
            <w:sz w:val="20"/>
            <w:szCs w:val="20"/>
          </w:rPr>
          <w:t xml:space="preserve">Augure AI</w:t>
        </w:r>
      </w:hyperlink>
    </w:p>
    <w:p>
      <w:pPr>
        <w:pStyle w:val="ListParagraph"/>
        <w:numPr>
          <w:ilvl w:val="0"/>
          <w:numId w:val="3"/>
        </w:numPr>
        <w:spacing w:after="60"/>
      </w:pPr>
      <w:hyperlink w:history="1" r:id="rIdolwkfyhxrowizvpxk0sg_">
        <w:r>
          <w:rPr>
            <w:rStyle w:val="Hyperlink"/>
            <w:sz w:val="20"/>
            <w:szCs w:val="20"/>
          </w:rPr>
          <w:t xml:space="preserve">ThinkOn sovereign cloud</w:t>
        </w:r>
      </w:hyperlink>
    </w:p>
    <w:p>
      <w:pPr>
        <w:pStyle w:val="ListParagraph"/>
        <w:numPr>
          <w:ilvl w:val="0"/>
          <w:numId w:val="3"/>
        </w:numPr>
        <w:spacing w:after="60"/>
      </w:pPr>
      <w:hyperlink w:history="1" r:id="rIdjjqsaambm8s1nntx439xp">
        <w:r>
          <w:rPr>
            <w:rStyle w:val="Hyperlink"/>
            <w:sz w:val="20"/>
            <w:szCs w:val="20"/>
          </w:rPr>
          <w:t xml:space="preserve">Agent IA Vocal</w:t>
        </w:r>
      </w:hyperlink>
    </w:p>
    <w:p>
      <w:pPr>
        <w:pStyle w:val="ListParagraph"/>
        <w:numPr>
          <w:ilvl w:val="0"/>
          <w:numId w:val="3"/>
        </w:numPr>
        <w:spacing w:after="60"/>
      </w:pPr>
      <w:hyperlink w:history="1" r:id="rIdvlbvarjwbbhfz7hevmhis">
        <w:r>
          <w:rPr>
            <w:rStyle w:val="Hyperlink"/>
            <w:sz w:val="20"/>
            <w:szCs w:val="20"/>
          </w:rPr>
          <w:t xml:space="preserve">TalkToMedi</w:t>
        </w:r>
      </w:hyperlink>
    </w:p>
    <w:p>
      <w:pPr>
        <w:pStyle w:val="ListParagraph"/>
        <w:numPr>
          <w:ilvl w:val="0"/>
          <w:numId w:val="3"/>
        </w:numPr>
        <w:spacing w:after="60"/>
      </w:pPr>
      <w:hyperlink w:history="1" r:id="rIdpm2rgmhtnnzp6xu8nnjef">
        <w:r>
          <w:rPr>
            <w:rStyle w:val="Hyperlink"/>
            <w:sz w:val="20"/>
            <w:szCs w:val="20"/>
          </w:rPr>
          <w:t xml:space="preserve">KickCall</w:t>
        </w:r>
      </w:hyperlink>
    </w:p>
    <w:p>
      <w:pPr>
        <w:pStyle w:val="ListParagraph"/>
        <w:numPr>
          <w:ilvl w:val="0"/>
          <w:numId w:val="3"/>
        </w:numPr>
        <w:spacing w:after="60"/>
      </w:pPr>
      <w:hyperlink w:history="1" r:id="rIdtchxg9bbmfumuaei_y4wf">
        <w:r>
          <w:rPr>
            <w:rStyle w:val="Hyperlink"/>
            <w:sz w:val="20"/>
            <w:szCs w:val="20"/>
          </w:rPr>
          <w:t xml:space="preserve">Lorikeet: Canadian data residency guide</w:t>
        </w:r>
      </w:hyperlink>
    </w:p>
    <w:p>
      <w:pPr>
        <w:pStyle w:val="ListParagraph"/>
        <w:numPr>
          <w:ilvl w:val="0"/>
          <w:numId w:val="3"/>
        </w:numPr>
        <w:spacing w:after="60"/>
      </w:pPr>
      <w:hyperlink w:history="1" r:id="rIdxyiedo7dsd6dasnirrxz8">
        <w:r>
          <w:rPr>
            <w:rStyle w:val="Hyperlink"/>
            <w:sz w:val="20"/>
            <w:szCs w:val="20"/>
          </w:rPr>
          <w:t xml:space="preserve">Trillet: data residency by region</w:t>
        </w:r>
      </w:hyperlink>
    </w:p>
    <w:p>
      <w:pPr>
        <w:pStyle w:val="ListParagraph"/>
        <w:numPr>
          <w:ilvl w:val="0"/>
          <w:numId w:val="3"/>
        </w:numPr>
        <w:spacing w:after="60"/>
      </w:pPr>
      <w:hyperlink w:history="1" r:id="rIdz1-b0if7usryq4irj97j8">
        <w:r>
          <w:rPr>
            <w:rStyle w:val="Hyperlink"/>
            <w:sz w:val="20"/>
            <w:szCs w:val="20"/>
          </w:rPr>
          <w:t xml:space="preserve">Cohere's sovereign positioning</w:t>
        </w:r>
      </w:hyperlink>
    </w:p>
    <w:p>
      <w:pPr>
        <w:spacing w:after="60"/>
      </w:pPr>
    </w:p>
    <w:p>
      <w:pPr>
        <w:spacing w:after="120" w:line="288"/>
      </w:pPr>
      <w:r>
        <w:rPr>
          <w:i/>
          <w:iCs/>
          <w:color w:val="52646A"/>
          <w:sz w:val="18"/>
          <w:szCs w:val="18"/>
        </w:rPr>
        <w:t xml:space="preserve">Research compiled September 2026 from public sources. This is general research, and eligibility for any specific tender should be confirmed with Canadian procurement counsel.</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646A"/>
        <w:sz w:val="16"/>
        <w:szCs w:val="16"/>
      </w:rPr>
      <w:t xml:space="preserve">Trillet Canada Opportunity  |  Page </w:t>
    </w:r>
    <w:r>
      <w:rPr>
        <w:color w:val="52646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E1B22"/>
        <w:sz w:val="21"/>
        <w:szCs w:val="21"/>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pPr>
    <w:rPr>
      <w:rFonts w:ascii="Calibri" w:cs="Calibri" w:eastAsia="Calibri" w:hAnsi="Calibri"/>
      <w:b/>
      <w:bCs/>
      <w:color w:val="0E1B22"/>
      <w:sz w:val="44"/>
      <w:szCs w:val="44"/>
    </w:rPr>
  </w:style>
  <w:style w:type="paragraph" w:styleId="Heading1">
    <w:name w:val="Heading 1"/>
    <w:basedOn w:val="Normal"/>
    <w:next w:val="Normal"/>
    <w:qFormat/>
    <w:pPr>
      <w:keepNext/>
      <w:spacing w:after="140" w:before="360"/>
      <w:outlineLvl w:val="0"/>
    </w:pPr>
    <w:rPr>
      <w:rFonts w:ascii="Calibri" w:cs="Calibri" w:eastAsia="Calibri" w:hAnsi="Calibri"/>
      <w:b/>
      <w:bCs/>
      <w:color w:val="0C8577"/>
      <w:sz w:val="30"/>
      <w:szCs w:val="30"/>
    </w:rPr>
  </w:style>
  <w:style w:type="paragraph" w:styleId="Heading2">
    <w:name w:val="Heading 2"/>
    <w:basedOn w:val="Normal"/>
    <w:next w:val="Normal"/>
    <w:qFormat/>
    <w:pPr>
      <w:keepNext/>
      <w:spacing w:after="100" w:before="220"/>
      <w:outlineLvl w:val="1"/>
    </w:pPr>
    <w:rPr>
      <w:rFonts w:ascii="Calibri" w:cs="Calibri" w:eastAsia="Calibri" w:hAnsi="Calibri"/>
      <w:b/>
      <w:bCs/>
      <w:color w:val="0E1B22"/>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zxgjmxum3ypcir2fkuxq7" Type="http://schemas.openxmlformats.org/officeDocument/2006/relationships/hyperlink" Target="https://www.canada.ca/en/public-services-procurement/services/acquisitions/selling-federal-government/buy-canadian.html" TargetMode="External"/><Relationship Id="rIdypdjqm4av75ckw-mkwxdc" Type="http://schemas.openxmlformats.org/officeDocument/2006/relationships/hyperlink" Target="https://www.torys.com/en/our-latest-thinking/publications/2025/12/buy-canadian" TargetMode="External"/><Relationship Id="rId7-u6hyom0c30gppjoki7m" Type="http://schemas.openxmlformats.org/officeDocument/2006/relationships/hyperlink" Target="https://canadabuys.canada.ca/en/buyer-s-portal/buyer-s-guide/plan/determine-procurement-strategy/interim-policy-reciprocal-procurement" TargetMode="External"/><Relationship Id="rIdo5tv4mxivhht6xm3miwqg" Type="http://schemas.openxmlformats.org/officeDocument/2006/relationships/hyperlink" Target="https://www.millerthomson.com/en/insights/global-trade-customs/public-procurement-bans-targeting-u-s-suppliers/" TargetMode="External"/><Relationship Id="rIdyuzmfkltsq6zluj9hhglr" Type="http://schemas.openxmlformats.org/officeDocument/2006/relationships/hyperlink" Target="https://www.ontario.ca/page/procurement-restriction-policy" TargetMode="External"/><Relationship Id="rId92b10qat5j-ihwpxpt_gu" Type="http://schemas.openxmlformats.org/officeDocument/2006/relationships/hyperlink" Target="https://www.torys.com/our-latest-thinking/publications/2026/04/buy-ontario-procurement-directive" TargetMode="External"/><Relationship Id="rId6sn6cusvws-uwqfrlw8rd" Type="http://schemas.openxmlformats.org/officeDocument/2006/relationships/hyperlink" Target="https://insidetrade.com/daily-news/canadian-province-bans-us-suppliers-large-government-contracts" TargetMode="External"/><Relationship Id="rId_lf-g37ifeiducanssmya" Type="http://schemas.openxmlformats.org/officeDocument/2006/relationships/hyperlink" Target="https://globalnews.ca/news/12051518/donald-trump-bans-canadian-goods-us-government-contracts-new-tariffs/" TargetMode="External"/><Relationship Id="rIduf4wypg_dh1icsfdoujwl" Type="http://schemas.openxmlformats.org/officeDocument/2006/relationships/hyperlink" Target="https://publicprocurementinternational.com/2026/09/18/president-trump-canadian-procurement/" TargetMode="External"/><Relationship Id="rIdv2vp4fnxjd5fy1xj6cwqc" Type="http://schemas.openxmlformats.org/officeDocument/2006/relationships/hyperlink" Target="https://www.hilltimes.com/2026/09/15/canada-should-consider-a-tit-for-tat-response-to-u-s-procurement-ban-that-breaches-international-trade-agreements-say-experts/517514/" TargetMode="External"/><Relationship Id="rId0hfyzyo-fkah_r-ksvzlx" Type="http://schemas.openxmlformats.org/officeDocument/2006/relationships/hyperlink" Target="https://www.international.gc.ca/trade-commerce/trade-agreements-accords-commerciaux/agr-acc/cptpp-ptpgp/sectors-secteurs/government_procurement-marches_publics.aspx?lang=eng" TargetMode="External"/><Relationship Id="rIdboikmsa8meboss8hay_5w" Type="http://schemas.openxmlformats.org/officeDocument/2006/relationships/hyperlink" Target="https://www.blg.com/en/insights/2026/04/data-sovereignty-and-the-cloud-act-what-canadian-organizations-should-know" TargetMode="External"/><Relationship Id="rId0xlia1_uccc128z4t9ezr" Type="http://schemas.openxmlformats.org/officeDocument/2006/relationships/hyperlink" Target="https://aicommission.org/2026/09/healthcare-ai-and-code-migration-tools-are-set-to-run-on-canadian-computers/" TargetMode="External"/><Relationship Id="rIds6xhzhu8uflglipcjn2zn" Type="http://schemas.openxmlformats.org/officeDocument/2006/relationships/hyperlink" Target="https://augureai.ca/blog/augure-ai-canada" TargetMode="External"/><Relationship Id="rIdolwkfyhxrowizvpxk0sg_" Type="http://schemas.openxmlformats.org/officeDocument/2006/relationships/hyperlink" Target="https://thinkon.com/sovereign-cloud/" TargetMode="External"/><Relationship Id="rIdjjqsaambm8s1nntx439xp" Type="http://schemas.openxmlformats.org/officeDocument/2006/relationships/hyperlink" Target="https://agentiavocal.ca/en/industries/healthcare" TargetMode="External"/><Relationship Id="rIdvlbvarjwbbhfz7hevmhis" Type="http://schemas.openxmlformats.org/officeDocument/2006/relationships/hyperlink" Target="https://talktomedi.com/blog/best-ai-receptionists-canadian-medical-clinics" TargetMode="External"/><Relationship Id="rIdpm2rgmhtnnzp6xu8nnjef" Type="http://schemas.openxmlformats.org/officeDocument/2006/relationships/hyperlink" Target="https://www.kickcall.ai/healthcare/canada" TargetMode="External"/><Relationship Id="rIdtchxg9bbmfumuaei_y4wf" Type="http://schemas.openxmlformats.org/officeDocument/2006/relationships/hyperlink" Target="https://www.lorikeetcx.ai/articles/ai-support-canadian-data-residency-guide" TargetMode="External"/><Relationship Id="rIdxyiedo7dsd6dasnirrxz8" Type="http://schemas.openxmlformats.org/officeDocument/2006/relationships/hyperlink" Target="https://www.trillet.ai/blogs/voice-ai-data-residency-requirements-by-region" TargetMode="External"/><Relationship Id="rIdz1-b0if7usryq4irj97j8" Type="http://schemas.openxmlformats.org/officeDocument/2006/relationships/hyperlink" Target="https://techxplore.com/news/2026-05-canada-cohere-embraces-drama-ai.html" TargetMode="External"/><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Trillet Canada Opportunity</dc:title>
  <dc:creator>Trillet marketing</dc:creator>
  <cp:lastModifiedBy>Un-named</cp:lastModifiedBy>
  <cp:revision>1</cp:revision>
  <dcterms:created xsi:type="dcterms:W3CDTF">2026-09-30T18:13:25.789Z</dcterms:created>
  <dcterms:modified xsi:type="dcterms:W3CDTF">2026-09-30T18:13:25.790Z</dcterms:modified>
</cp:coreProperties>
</file>

<file path=docProps/custom.xml><?xml version="1.0" encoding="utf-8"?>
<Properties xmlns="http://schemas.openxmlformats.org/officeDocument/2006/custom-properties" xmlns:vt="http://schemas.openxmlformats.org/officeDocument/2006/docPropsVTypes"/>
</file>