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HUB REBUILD · FINAL · /WHITELABEL</w:t>
      </w:r>
    </w:p>
    <w:p>
      <w:pPr>
        <w:spacing w:after="70"/>
      </w:pPr>
      <w:r>
        <w:rPr>
          <w:rFonts w:ascii="Georgia" w:cs="Georgia" w:eastAsia="Georgia" w:hAnsi="Georgia"/>
          <w:b/>
          <w:bCs/>
          <w:color w:val="16223C"/>
          <w:sz w:val="34"/>
          <w:szCs w:val="34"/>
        </w:rPr>
        <w:t xml:space="preserve">White-Label Voice AI: Hub Page Rebuild</w:t>
      </w:r>
    </w:p>
    <w:p>
      <w:pPr>
        <w:spacing w:after="110" w:line="278"/>
      </w:pPr>
      <w:r>
        <w:rPr>
          <w:rFonts w:ascii="Calibri" w:cs="Calibri" w:eastAsia="Calibri" w:hAnsi="Calibri"/>
          <w:b w:val="false"/>
          <w:bCs w:val="false"/>
          <w:i w:val="false"/>
          <w:iCs w:val="false"/>
          <w:color w:val="5A6675"/>
          <w:sz w:val="18"/>
          <w:szCs w:val="18"/>
        </w:rPr>
        <w:t xml:space="preserve">Final copy-and-structure draft for the flagship hub, </w:t>
      </w:r>
      <w:r>
        <w:rPr>
          <w:rFonts w:ascii="Consolas" w:cs="Consolas" w:eastAsia="Consolas" w:hAnsi="Consolas"/>
          <w:b w:val="false"/>
          <w:bCs w:val="false"/>
          <w:i w:val="false"/>
          <w:iCs w:val="false"/>
          <w:color w:val="5A6675"/>
          <w:sz w:val="16"/>
          <w:szCs w:val="16"/>
        </w:rPr>
        <w:t xml:space="preserve">/whitelabel</w:t>
      </w:r>
      <w:r>
        <w:rPr>
          <w:rFonts w:ascii="Calibri" w:cs="Calibri" w:eastAsia="Calibri" w:hAnsi="Calibri"/>
          <w:b w:val="false"/>
          <w:bCs w:val="false"/>
          <w:i w:val="false"/>
          <w:iCs w:val="false"/>
          <w:color w:val="5A6675"/>
          <w:sz w:val="18"/>
          <w:szCs w:val="18"/>
        </w:rPr>
        <w:t xml:space="preserve">. It keeps what the live page does well and closes the gaps that hold the head term back: sharper head-term targeting, the compliance wedge pulled to the front, a buyer's checklist that matches how agencies actually evaluate, and language that reads as the Trillet team speaking, not a brochure. Every figure is reconciled to the live page as of September 2026.</w:t>
      </w:r>
    </w:p>
    <w:p>
      <w:pPr>
        <w:pBdr>
          <w:bottom w:val="single" w:color="D9DEE8" w:sz="6"/>
        </w:pBdr>
        <w:spacing w:after="120" w:before="120"/>
      </w:pPr>
      <w:r>
        <w:t xml:space="preserve"/>
      </w:r>
    </w:p>
    <w:p>
      <w:pPr>
        <w:spacing w:after="26"/>
      </w:pPr>
      <w:r>
        <w:rPr>
          <w:rFonts w:ascii="Consolas" w:cs="Consolas" w:eastAsia="Consolas" w:hAnsi="Consolas"/>
          <w:b/>
          <w:bCs/>
          <w:color w:val="9A6B3F"/>
          <w:sz w:val="14"/>
          <w:szCs w:val="14"/>
        </w:rPr>
        <w:t xml:space="preserve">URL   </w:t>
      </w:r>
      <w:r>
        <w:rPr>
          <w:rFonts w:ascii="Consolas" w:cs="Consolas" w:eastAsia="Consolas" w:hAnsi="Consolas"/>
          <w:b w:val="false"/>
          <w:bCs w:val="false"/>
          <w:color w:val="24303F"/>
          <w:sz w:val="15"/>
          <w:szCs w:val="15"/>
        </w:rPr>
        <w:t xml:space="preserve">https://trillet.ai/whitelabel   (evergreen, keep as-is)</w:t>
      </w:r>
    </w:p>
    <w:p>
      <w:pPr>
        <w:spacing w:after="26"/>
      </w:pPr>
      <w:r>
        <w:rPr>
          <w:rFonts w:ascii="Consolas" w:cs="Consolas" w:eastAsia="Consolas" w:hAnsi="Consolas"/>
          <w:b/>
          <w:bCs/>
          <w:color w:val="9A6B3F"/>
          <w:sz w:val="14"/>
          <w:szCs w:val="14"/>
        </w:rPr>
        <w:t xml:space="preserve">HEAD TERM   </w:t>
      </w:r>
      <w:r>
        <w:rPr>
          <w:rFonts w:ascii="Calibri" w:cs="Calibri" w:eastAsia="Calibri" w:hAnsi="Calibri"/>
          <w:b w:val="false"/>
          <w:bCs w:val="false"/>
          <w:color w:val="24303F"/>
          <w:sz w:val="17"/>
          <w:szCs w:val="17"/>
        </w:rPr>
        <w:t xml:space="preserve">white label voice ai  (currently ~pos 27; this is the flagship hub for the cluster)</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ai voice agent white label · white label voice ai platform · white label ai receptionist · white label voice ai for agencies · voice ai reseller platform · white label conversational ai · multi-tenant voice ai · rebrand voice ai</w:t>
      </w:r>
    </w:p>
    <w:p>
      <w:pPr>
        <w:spacing w:after="26"/>
      </w:pPr>
      <w:r>
        <w:rPr>
          <w:rFonts w:ascii="Consolas" w:cs="Consolas" w:eastAsia="Consolas" w:hAnsi="Consolas"/>
          <w:b/>
          <w:bCs/>
          <w:color w:val="9A6B3F"/>
          <w:sz w:val="14"/>
          <w:szCs w:val="14"/>
        </w:rPr>
        <w:t xml:space="preserve">SEARCH INTENT   </w:t>
      </w:r>
      <w:r>
        <w:rPr>
          <w:rFonts w:ascii="Calibri" w:cs="Calibri" w:eastAsia="Calibri" w:hAnsi="Calibri"/>
          <w:b w:val="false"/>
          <w:bCs w:val="false"/>
          <w:color w:val="24303F"/>
          <w:sz w:val="17"/>
          <w:szCs w:val="17"/>
        </w:rPr>
        <w:t xml:space="preserve">Commercial investigation. Agencies and would-be resellers comparing platforms they can sell under their own brand. They want proof of margin, branding depth, and compliance before they book a demo.</w:t>
      </w:r>
    </w:p>
    <w:p>
      <w:pPr>
        <w:spacing w:after="26"/>
      </w:pPr>
      <w:r>
        <w:rPr>
          <w:rFonts w:ascii="Consolas" w:cs="Consolas" w:eastAsia="Consolas" w:hAnsi="Consolas"/>
          <w:b/>
          <w:bCs/>
          <w:color w:val="9A6B3F"/>
          <w:sz w:val="14"/>
          <w:szCs w:val="14"/>
        </w:rPr>
        <w:t xml:space="preserve">ROLE IN CLUSTER   </w:t>
      </w:r>
      <w:r>
        <w:rPr>
          <w:rFonts w:ascii="Calibri" w:cs="Calibri" w:eastAsia="Calibri" w:hAnsi="Calibri"/>
          <w:b w:val="false"/>
          <w:bCs w:val="false"/>
          <w:color w:val="24303F"/>
          <w:sz w:val="17"/>
          <w:szCs w:val="17"/>
        </w:rPr>
        <w:t xml:space="preserve">Pillar / hub. Consolidating spokes link up to it; it links down to money pages and proof.</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The Trillet team, first person plural, with earned authority: we build the platform and we have sold voice AI ourselves. Plain and declarative, no hype, Australian spelling, zero em-dashes.</w:t>
      </w:r>
    </w:p>
    <w:p>
      <w:pPr>
        <w:pBdr>
          <w:bottom w:val="single" w:color="D9DEE8" w:sz="6"/>
        </w:pBdr>
        <w:spacing w:after="120" w:before="120"/>
      </w:pPr>
      <w:r>
        <w:t xml:space="preserve"/>
      </w:r>
    </w:p>
    <w:p>
      <w:pPr>
        <w:spacing w:after="16" w:before="110"/>
      </w:pPr>
      <w:r>
        <w:rPr>
          <w:rFonts w:ascii="Calibri" w:cs="Calibri" w:eastAsia="Calibri" w:hAnsi="Calibri"/>
          <w:b/>
          <w:bCs/>
          <w:color w:val="16223C"/>
          <w:sz w:val="20"/>
          <w:szCs w:val="20"/>
        </w:rPr>
        <w:t xml:space="preserve">Before this ships, confirm</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Render the page server-side. The head term will not rank if the H1 and the copy load only after JavaScript. Verify the raw HTML source carries the text.</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New meta description below is 144 characters. The live one is 186 and gets truncated in results. Swap it.</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Keep the /whitelabel vs /partners split explicit. This page is the self-serve platform; /partners holds the formal reseller, referral and OEM tracks. Do not blur them.</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usage $0.12/min (platform, STT, LLM, TTS); telephony separate, US Trillet telephony from $0.014/min, web calls no telephony fee. Studio $99/mo (up to 3 workspaces, 100 min, 3 numbers). Agency $299/mo (unlimited workspaces, 300 min, 10 numbers). 28-day money-back, no contracts.</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SOC 2 Type II, ISO 27001, HIPAA, GDPR, ACMA, TCPA, AU data residency; recordings, transcripts and backups stored onshore; isolated multi-tenant workspaces; audit trails on every workspace; on-premise and private cloud for enterprise; Australian owned.</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Reconciled to live: carrier-level call forwarding (no number porting), ~30-second setup; native integrations GoHighLevel, Google Calendar, Cal.com, plus webhook and API.</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Title and meta</w:t>
      </w:r>
    </w:p>
    <w:p>
      <w:pPr>
        <w:spacing w:after="16" w:before="110"/>
      </w:pPr>
      <w:r>
        <w:rPr>
          <w:rFonts w:ascii="Calibri" w:cs="Calibri" w:eastAsia="Calibri" w:hAnsi="Calibri"/>
          <w:b/>
          <w:bCs/>
          <w:color w:val="16223C"/>
          <w:sz w:val="20"/>
          <w:szCs w:val="20"/>
        </w:rPr>
        <w:t xml:space="preserve">Meta title</w:t>
      </w:r>
    </w:p>
    <w:p>
      <w:pPr>
        <w:spacing w:after="110" w:line="278"/>
      </w:pPr>
      <w:r>
        <w:rPr>
          <w:rFonts w:ascii="Consolas" w:cs="Consolas" w:eastAsia="Consolas" w:hAnsi="Consolas"/>
          <w:b w:val="false"/>
          <w:bCs w:val="false"/>
          <w:i w:val="false"/>
          <w:iCs w:val="false"/>
          <w:color w:val="5A6675"/>
          <w:sz w:val="16"/>
          <w:szCs w:val="16"/>
        </w:rPr>
        <w:t xml:space="preserve">Live:  </w:t>
      </w:r>
      <w:r>
        <w:rPr>
          <w:rFonts w:ascii="Consolas" w:cs="Consolas" w:eastAsia="Consolas" w:hAnsi="Consolas"/>
          <w:b w:val="false"/>
          <w:bCs w:val="false"/>
          <w:i w:val="false"/>
          <w:iCs w:val="false"/>
          <w:color w:val="24303F"/>
          <w:sz w:val="16"/>
          <w:szCs w:val="16"/>
        </w:rPr>
        <w:t xml:space="preserve">White-Label Voice AI for Agencies &amp; Partners | Trillet  (52)</w:t>
      </w:r>
    </w:p>
    <w:p>
      <w:pPr>
        <w:spacing w:after="110" w:line="278"/>
      </w:pPr>
      <w:r>
        <w:rPr>
          <w:rFonts w:ascii="Calibri" w:cs="Calibri" w:eastAsia="Calibri" w:hAnsi="Calibri"/>
          <w:b w:val="false"/>
          <w:bCs w:val="false"/>
          <w:i w:val="false"/>
          <w:iCs w:val="false"/>
          <w:color w:val="24303F"/>
          <w:sz w:val="18"/>
          <w:szCs w:val="18"/>
        </w:rPr>
        <w:t xml:space="preserve">Keep it. It already leads with the head term and the buyer, and it sits inside the length limit. No change needed.</w:t>
      </w:r>
    </w:p>
    <w:p>
      <w:pPr>
        <w:spacing w:after="16" w:before="110"/>
      </w:pPr>
      <w:r>
        <w:rPr>
          <w:rFonts w:ascii="Calibri" w:cs="Calibri" w:eastAsia="Calibri" w:hAnsi="Calibri"/>
          <w:b/>
          <w:bCs/>
          <w:color w:val="16223C"/>
          <w:sz w:val="20"/>
          <w:szCs w:val="20"/>
        </w:rPr>
        <w:t xml:space="preserve">Meta description  (new)</w:t>
      </w:r>
    </w:p>
    <w:p>
      <w:pPr>
        <w:spacing w:after="110" w:line="278"/>
      </w:pPr>
      <w:r>
        <w:rPr>
          <w:rFonts w:ascii="Consolas" w:cs="Consolas" w:eastAsia="Consolas" w:hAnsi="Consolas"/>
          <w:b w:val="false"/>
          <w:bCs w:val="false"/>
          <w:i w:val="false"/>
          <w:iCs w:val="false"/>
          <w:color w:val="24303F"/>
          <w:sz w:val="16"/>
          <w:szCs w:val="16"/>
        </w:rPr>
        <w:t xml:space="preserve">White-label voice AI you sell under your own brand. Full branding, isolated client workspaces, and compliance built in, not billed as an add-on.  (144)</w:t>
      </w:r>
    </w:p>
    <w:p>
      <w:pPr>
        <w:spacing w:after="110" w:line="278"/>
      </w:pPr>
      <w:r>
        <w:rPr>
          <w:rFonts w:ascii="Calibri" w:cs="Calibri" w:eastAsia="Calibri" w:hAnsi="Calibri"/>
          <w:b w:val="false"/>
          <w:bCs w:val="false"/>
          <w:i w:val="false"/>
          <w:iCs w:val="false"/>
          <w:color w:val="5A6675"/>
          <w:sz w:val="17"/>
          <w:szCs w:val="17"/>
        </w:rPr>
        <w:t xml:space="preserve">Leads with the head term, states the branding and multi-tenancy the buyer is scanning for, and ends on the compliance wedge that separates us from the roundup pages. Under the truncation limit.</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Page structure, top to bottom</w:t>
      </w:r>
    </w:p>
    <w:p>
      <w:pPr>
        <w:spacing w:after="110" w:line="278"/>
      </w:pPr>
      <w:r>
        <w:rPr>
          <w:rFonts w:ascii="Calibri" w:cs="Calibri" w:eastAsia="Calibri" w:hAnsi="Calibri"/>
          <w:b w:val="false"/>
          <w:bCs w:val="false"/>
          <w:i w:val="false"/>
          <w:iCs w:val="false"/>
          <w:color w:val="24303F"/>
          <w:sz w:val="18"/>
          <w:szCs w:val="18"/>
        </w:rPr>
        <w:t xml:space="preserve">The live page already flows well: hero, feature grid, build demo, margins, verticals, pricing, proof, support, FAQ, close. This final keeps that spine and makes four changes: a tighter, head-term H1; the compliance section pulled up so it reads as a reason to choose us rather than fine print at the foot; a new buyer's checklist that meets the visitor mid-evaluation; and the whole page rewritten in the team's voice. The old “what is white-label voice AI” explainer is gone from the body, where it read like filler, and now lives as the first FAQ, where a definition belongs.</w:t>
      </w:r>
    </w:p>
    <w:p>
      <w:pPr>
        <w:spacing w:after="30" w:before="120"/>
      </w:pPr>
      <w:r>
        <w:rPr>
          <w:rFonts w:ascii="Consolas" w:cs="Consolas" w:eastAsia="Consolas" w:hAnsi="Consolas"/>
          <w:b/>
          <w:bCs/>
          <w:color w:val="9A6B3F"/>
          <w:spacing w:val="12"/>
          <w:sz w:val="14"/>
          <w:szCs w:val="14"/>
        </w:rPr>
        <w:t xml:space="preserve">SECTION 1 · HERO</w:t>
      </w:r>
    </w:p>
    <w:p>
      <w:pPr>
        <w:spacing w:after="16" w:before="110"/>
      </w:pPr>
      <w:r>
        <w:rPr>
          <w:rFonts w:ascii="Calibri" w:cs="Calibri" w:eastAsia="Calibri" w:hAnsi="Calibri"/>
          <w:b/>
          <w:bCs/>
          <w:color w:val="16223C"/>
          <w:sz w:val="20"/>
          <w:szCs w:val="20"/>
        </w:rPr>
        <w:t xml:space="preserve">H1</w:t>
      </w:r>
    </w:p>
    <w:p>
      <w:pPr>
        <w:spacing w:after="110" w:line="278"/>
      </w:pPr>
      <w:r>
        <w:rPr>
          <w:rFonts w:ascii="Calibri" w:cs="Calibri" w:eastAsia="Calibri" w:hAnsi="Calibri"/>
          <w:b w:val="false"/>
          <w:bCs w:val="false"/>
          <w:i w:val="false"/>
          <w:iCs w:val="false"/>
          <w:color w:val="5A6675"/>
          <w:sz w:val="16"/>
          <w:szCs w:val="16"/>
        </w:rPr>
        <w:t xml:space="preserve">Live H1:  </w:t>
      </w:r>
      <w:r>
        <w:rPr>
          <w:rFonts w:ascii="Calibri" w:cs="Calibri" w:eastAsia="Calibri" w:hAnsi="Calibri"/>
          <w:b w:val="false"/>
          <w:bCs w:val="false"/>
          <w:i/>
          <w:iCs/>
          <w:color w:val="24303F"/>
          <w:sz w:val="18"/>
          <w:szCs w:val="18"/>
        </w:rPr>
        <w:t xml:space="preserve">Deliver high-stakes conversation AI under your own brand</w:t>
      </w:r>
    </w:p>
    <w:p>
      <w:pPr>
        <w:spacing w:after="110" w:line="278"/>
      </w:pPr>
      <w:r>
        <w:rPr>
          <w:rFonts w:ascii="Calibri" w:cs="Calibri" w:eastAsia="Calibri" w:hAnsi="Calibri"/>
          <w:b w:val="false"/>
          <w:bCs w:val="false"/>
          <w:i w:val="false"/>
          <w:iCs w:val="false"/>
          <w:color w:val="24303F"/>
          <w:sz w:val="18"/>
          <w:szCs w:val="18"/>
        </w:rPr>
        <w:t xml:space="preserve">It reads well but never says </w:t>
      </w:r>
      <w:r>
        <w:rPr>
          <w:rFonts w:ascii="Calibri" w:cs="Calibri" w:eastAsia="Calibri" w:hAnsi="Calibri"/>
          <w:b w:val="false"/>
          <w:bCs w:val="false"/>
          <w:i/>
          <w:iCs/>
          <w:color w:val="24303F"/>
          <w:sz w:val="18"/>
          <w:szCs w:val="18"/>
        </w:rPr>
        <w:t xml:space="preserve">white-label voice AI</w:t>
      </w:r>
      <w:r>
        <w:rPr>
          <w:rFonts w:ascii="Calibri" w:cs="Calibri" w:eastAsia="Calibri" w:hAnsi="Calibri"/>
          <w:b w:val="false"/>
          <w:bCs w:val="false"/>
          <w:i w:val="false"/>
          <w:iCs w:val="false"/>
          <w:color w:val="24303F"/>
          <w:sz w:val="18"/>
          <w:szCs w:val="18"/>
        </w:rPr>
        <w:t xml:space="preserve">, the exact phrase the page is trying to rank for. Put the term in the H1 and keep the brand promise as the line under it.</w:t>
      </w:r>
    </w:p>
    <w:p>
      <w:pPr>
        <w:spacing w:after="110" w:line="278"/>
      </w:pPr>
      <w:r>
        <w:rPr>
          <w:rFonts w:ascii="Calibri" w:cs="Calibri" w:eastAsia="Calibri" w:hAnsi="Calibri"/>
          <w:b/>
          <w:bCs/>
          <w:i w:val="false"/>
          <w:iCs w:val="false"/>
          <w:color w:val="9A6B3F"/>
          <w:sz w:val="16"/>
          <w:szCs w:val="16"/>
        </w:rPr>
        <w:t xml:space="preserve">Proposed H1:  </w:t>
      </w:r>
      <w:r>
        <w:rPr>
          <w:rFonts w:ascii="Calibri" w:cs="Calibri" w:eastAsia="Calibri" w:hAnsi="Calibri"/>
          <w:b/>
          <w:bCs/>
          <w:i w:val="false"/>
          <w:iCs w:val="false"/>
          <w:color w:val="16223C"/>
          <w:sz w:val="22"/>
          <w:szCs w:val="22"/>
        </w:rPr>
        <w:t xml:space="preserve">White-label voice AI, under your brand</w:t>
      </w:r>
    </w:p>
    <w:p>
      <w:pPr>
        <w:spacing w:after="110" w:line="278"/>
      </w:pPr>
      <w:r>
        <w:rPr>
          <w:rFonts w:ascii="Calibri" w:cs="Calibri" w:eastAsia="Calibri" w:hAnsi="Calibri"/>
          <w:b/>
          <w:bCs/>
          <w:i w:val="false"/>
          <w:iCs w:val="false"/>
          <w:color w:val="9A6B3F"/>
          <w:sz w:val="16"/>
          <w:szCs w:val="16"/>
        </w:rPr>
        <w:t xml:space="preserve">Subhead:  </w:t>
      </w:r>
      <w:r>
        <w:rPr>
          <w:rFonts w:ascii="Calibri" w:cs="Calibri" w:eastAsia="Calibri" w:hAnsi="Calibri"/>
          <w:b w:val="false"/>
          <w:bCs w:val="false"/>
          <w:i w:val="false"/>
          <w:iCs w:val="false"/>
          <w:color w:val="24303F"/>
          <w:sz w:val="19"/>
          <w:szCs w:val="19"/>
        </w:rPr>
        <w:t xml:space="preserve">Sell voice agents your clients believe you built. Your domain, your dashboard, your pricing. Clients log in to your product and never see us, and the compliance that high-stakes conversations demand is already in the box.</w:t>
      </w:r>
    </w:p>
    <w:p>
      <w:pPr>
        <w:spacing w:after="110" w:line="278"/>
      </w:pPr>
      <w:r>
        <w:rPr>
          <w:rFonts w:ascii="Calibri" w:cs="Calibri" w:eastAsia="Calibri" w:hAnsi="Calibri"/>
          <w:b w:val="false"/>
          <w:bCs w:val="false"/>
          <w:i w:val="false"/>
          <w:iCs w:val="false"/>
          <w:color w:val="5A6675"/>
          <w:sz w:val="16"/>
          <w:szCs w:val="16"/>
        </w:rPr>
        <w:t xml:space="preserve">Primary CTA:  </w:t>
      </w:r>
      <w:r>
        <w:rPr>
          <w:rFonts w:ascii="Calibri" w:cs="Calibri" w:eastAsia="Calibri" w:hAnsi="Calibri"/>
          <w:b w:val="false"/>
          <w:bCs w:val="false"/>
          <w:i w:val="false"/>
          <w:iCs w:val="false"/>
          <w:color w:val="24303F"/>
          <w:sz w:val="18"/>
          <w:szCs w:val="18"/>
        </w:rPr>
        <w:t xml:space="preserve">Start on the platform</w:t>
      </w:r>
      <w:r>
        <w:rPr>
          <w:rFonts w:ascii="Calibri" w:cs="Calibri" w:eastAsia="Calibri" w:hAnsi="Calibri"/>
          <w:b w:val="false"/>
          <w:bCs w:val="false"/>
          <w:i w:val="false"/>
          <w:iCs w:val="false"/>
          <w:color w:val="5A6675"/>
          <w:sz w:val="16"/>
          <w:szCs w:val="16"/>
        </w:rPr>
        <w:t xml:space="preserve">      Secondary CTA:  </w:t>
      </w:r>
      <w:r>
        <w:rPr>
          <w:rFonts w:ascii="Calibri" w:cs="Calibri" w:eastAsia="Calibri" w:hAnsi="Calibri"/>
          <w:b w:val="false"/>
          <w:bCs w:val="false"/>
          <w:i w:val="false"/>
          <w:iCs w:val="false"/>
          <w:color w:val="24303F"/>
          <w:sz w:val="18"/>
          <w:szCs w:val="18"/>
        </w:rPr>
        <w:t xml:space="preserve">See partner tracks → /partners</w:t>
      </w:r>
    </w:p>
    <w:p>
      <w:pPr>
        <w:spacing w:after="30" w:before="120"/>
      </w:pPr>
      <w:r>
        <w:rPr>
          <w:rFonts w:ascii="Consolas" w:cs="Consolas" w:eastAsia="Consolas" w:hAnsi="Consolas"/>
          <w:b/>
          <w:bCs/>
          <w:color w:val="9A6B3F"/>
          <w:spacing w:val="12"/>
          <w:sz w:val="14"/>
          <w:szCs w:val="14"/>
        </w:rPr>
        <w:t xml:space="preserve">SECTION 2 · WHAT YOU GET  (FEATURE GRID, KEEP, ENRICHED)</w:t>
      </w:r>
    </w:p>
    <w:p>
      <w:pPr>
        <w:spacing w:after="16" w:before="110"/>
      </w:pPr>
      <w:r>
        <w:rPr>
          <w:rFonts w:ascii="Calibri" w:cs="Calibri" w:eastAsia="Calibri" w:hAnsi="Calibri"/>
          <w:b/>
          <w:bCs/>
          <w:color w:val="16223C"/>
          <w:sz w:val="20"/>
          <w:szCs w:val="20"/>
        </w:rPr>
        <w:t xml:space="preserve">H2:  Everything you need to deliver under your brand</w:t>
      </w:r>
    </w:p>
    <w:p>
      <w:pPr>
        <w:spacing w:after="110" w:line="278"/>
      </w:pPr>
      <w:r>
        <w:rPr>
          <w:rFonts w:ascii="Calibri" w:cs="Calibri" w:eastAsia="Calibri" w:hAnsi="Calibri"/>
          <w:b w:val="false"/>
          <w:bCs w:val="false"/>
          <w:i w:val="false"/>
          <w:iCs w:val="false"/>
          <w:color w:val="24303F"/>
          <w:sz w:val="18"/>
          <w:szCs w:val="18"/>
        </w:rPr>
        <w:t xml:space="preserve">The live grid is good. Keep the six cards, tighten the copy, and describe each one concretely enough that a buyer can picture it, not just skim a 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Full white-label. </w:t>
      </w:r>
      <w:r>
        <w:rPr>
          <w:rFonts w:ascii="Calibri" w:cs="Calibri" w:eastAsia="Calibri" w:hAnsi="Calibri"/>
          <w:b w:val="false"/>
          <w:bCs w:val="false"/>
          <w:i w:val="false"/>
          <w:iCs w:val="false"/>
          <w:color w:val="24303F"/>
          <w:sz w:val="20"/>
          <w:szCs w:val="20"/>
        </w:rPr>
        <w:t xml:space="preserve">Your domain, your dashboard, your billing, on app.youragency.com. Clients log in to your product; our name is nowhere in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Multi-tenant control. </w:t>
      </w:r>
      <w:r>
        <w:rPr>
          <w:rFonts w:ascii="Calibri" w:cs="Calibri" w:eastAsia="Calibri" w:hAnsi="Calibri"/>
          <w:b w:val="false"/>
          <w:bCs w:val="false"/>
          <w:i w:val="false"/>
          <w:iCs w:val="false"/>
          <w:color w:val="24303F"/>
          <w:sz w:val="20"/>
          <w:szCs w:val="20"/>
        </w:rPr>
        <w:t xml:space="preserve">Every client sits in its own isolated workspace with its own data, agents and numbers, and you manage all of them from one place. One client's calls, prompts and records never touch another's.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One-click agent deployment. </w:t>
      </w:r>
      <w:r>
        <w:rPr>
          <w:rFonts w:ascii="Calibri" w:cs="Calibri" w:eastAsia="Calibri" w:hAnsi="Calibri"/>
          <w:b w:val="false"/>
          <w:bCs w:val="false"/>
          <w:i w:val="false"/>
          <w:iCs w:val="false"/>
          <w:color w:val="24303F"/>
          <w:sz w:val="20"/>
          <w:szCs w:val="20"/>
        </w:rPr>
        <w:t xml:space="preserve">Paste a client's website and we build a trained agent from it in minutes, branded as yours and ready to take calls.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Ready-to-go templates. </w:t>
      </w:r>
      <w:r>
        <w:rPr>
          <w:rFonts w:ascii="Calibri" w:cs="Calibri" w:eastAsia="Calibri" w:hAnsi="Calibri"/>
          <w:b w:val="false"/>
          <w:bCs w:val="false"/>
          <w:i w:val="false"/>
          <w:iCs w:val="false"/>
          <w:color w:val="24303F"/>
          <w:sz w:val="20"/>
          <w:szCs w:val="20"/>
        </w:rPr>
        <w:t xml:space="preserve">Pre-built agents for reception, qualification, booking and follow-up, so you launch from a working starting point instead of a blank canvas.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Native integrations. </w:t>
      </w:r>
      <w:r>
        <w:rPr>
          <w:rFonts w:ascii="Calibri" w:cs="Calibri" w:eastAsia="Calibri" w:hAnsi="Calibri"/>
          <w:b w:val="false"/>
          <w:bCs w:val="false"/>
          <w:i w:val="false"/>
          <w:iCs w:val="false"/>
          <w:color w:val="24303F"/>
          <w:sz w:val="20"/>
          <w:szCs w:val="20"/>
        </w:rPr>
        <w:t xml:space="preserve">GoHighLevel, Google Calendar and Cal.com out of the box, with webhook and API paths for the rest. No custom development for the common cases.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Client dashboards and analytics. </w:t>
      </w:r>
      <w:r>
        <w:rPr>
          <w:rFonts w:ascii="Calibri" w:cs="Calibri" w:eastAsia="Calibri" w:hAnsi="Calibri"/>
          <w:b w:val="false"/>
          <w:bCs w:val="false"/>
          <w:i w:val="false"/>
          <w:iCs w:val="false"/>
          <w:color w:val="24303F"/>
          <w:sz w:val="20"/>
          <w:szCs w:val="20"/>
        </w:rPr>
        <w:t xml:space="preserve">Call volumes, bookings and answer rates your clients see in a report that carries your brand, not ours.</w:t>
      </w:r>
    </w:p>
    <w:p>
      <w:pPr>
        <w:spacing w:after="30" w:before="120"/>
      </w:pPr>
      <w:r>
        <w:rPr>
          <w:rFonts w:ascii="Consolas" w:cs="Consolas" w:eastAsia="Consolas" w:hAnsi="Consolas"/>
          <w:b/>
          <w:bCs/>
          <w:color w:val="9A6B3F"/>
          <w:spacing w:val="12"/>
          <w:sz w:val="14"/>
          <w:szCs w:val="14"/>
        </w:rPr>
        <w:t xml:space="preserve">SECTION 3 · WHY COMPLIANCE IS THE WEDGE  (PULL UP FROM THE FOOT)</w:t>
      </w:r>
    </w:p>
    <w:p>
      <w:pPr>
        <w:spacing w:after="110" w:line="278"/>
      </w:pPr>
      <w:r>
        <w:rPr>
          <w:rFonts w:ascii="Calibri" w:cs="Calibri" w:eastAsia="Calibri" w:hAnsi="Calibri"/>
          <w:b w:val="false"/>
          <w:bCs w:val="false"/>
          <w:i w:val="false"/>
          <w:iCs w:val="false"/>
          <w:color w:val="24303F"/>
          <w:sz w:val="18"/>
          <w:szCs w:val="18"/>
        </w:rPr>
        <w:t xml:space="preserve">On the live page this sits near the bottom, under the partner-support block. Move it here, above pricing. It is the one thing the roundup competitors cannot copy, and it is the reason a regulated client stays.</w:t>
      </w:r>
    </w:p>
    <w:p>
      <w:pPr>
        <w:spacing w:after="16" w:before="110"/>
      </w:pPr>
      <w:r>
        <w:rPr>
          <w:rFonts w:ascii="Calibri" w:cs="Calibri" w:eastAsia="Calibri" w:hAnsi="Calibri"/>
          <w:b/>
          <w:bCs/>
          <w:color w:val="16223C"/>
          <w:sz w:val="20"/>
          <w:szCs w:val="20"/>
        </w:rPr>
        <w:t xml:space="preserve">H2:  Compliance, built in, not billed later</w:t>
      </w:r>
    </w:p>
    <w:p>
      <w:pPr>
        <w:spacing w:after="110" w:line="278"/>
      </w:pPr>
      <w:r>
        <w:rPr>
          <w:rFonts w:ascii="Calibri" w:cs="Calibri" w:eastAsia="Calibri" w:hAnsi="Calibri"/>
          <w:b w:val="false"/>
          <w:bCs w:val="false"/>
          <w:i w:val="false"/>
          <w:iCs w:val="false"/>
          <w:color w:val="24303F"/>
          <w:sz w:val="20"/>
          <w:szCs w:val="20"/>
        </w:rPr>
        <w:t xml:space="preserve">We built Trillet around the part most platforms treat as an upsell. Put your brand on an AI that talks to a client's customers and you inherit the liability, and we have been on that side of it ourselves. So we made compliance and the call record part of the platform rather than a line item. Every client workspace keeps full audit trails and role-based access, and recordings, transcripts and backups are retained and stored onshore for clients who mandate it. When a call is disputed, you open the record and read it back, you do not guess.</w:t>
      </w:r>
    </w:p>
    <w:p>
      <w:pPr>
        <w:spacing w:after="110" w:line="278"/>
      </w:pPr>
      <w:r>
        <w:rPr>
          <w:rFonts w:ascii="Calibri" w:cs="Calibri" w:eastAsia="Calibri" w:hAnsi="Calibri"/>
          <w:b w:val="false"/>
          <w:bCs w:val="false"/>
          <w:i w:val="false"/>
          <w:iCs w:val="false"/>
          <w:color w:val="24303F"/>
          <w:sz w:val="20"/>
          <w:szCs w:val="20"/>
        </w:rPr>
        <w:t xml:space="preserve">The certifications are ours, on every workspace, not an add-on you unlock later: SOC 2 Type II, ISO 27001, and operation under HIPAA, GDPR, ACMA and TCPA. On-premise and private cloud are available for enterprise clients, and we are Australian owned with data residency to match. If your clients are clinics, law firms or financial services, this is what lets you sell to them at all.</w:t>
      </w:r>
    </w:p>
    <w:p>
      <w:pPr>
        <w:spacing w:after="110" w:line="278"/>
      </w:pPr>
      <w:r>
        <w:rPr>
          <w:rFonts w:ascii="Calibri" w:cs="Calibri" w:eastAsia="Calibri" w:hAnsi="Calibri"/>
          <w:b w:val="false"/>
          <w:bCs w:val="false"/>
          <w:i w:val="false"/>
          <w:iCs w:val="false"/>
          <w:color w:val="5A6675"/>
          <w:sz w:val="16"/>
          <w:szCs w:val="16"/>
        </w:rPr>
        <w:t xml:space="preserve">Trust row (badges):  </w:t>
      </w:r>
      <w:r>
        <w:rPr>
          <w:rFonts w:ascii="Calibri" w:cs="Calibri" w:eastAsia="Calibri" w:hAnsi="Calibri"/>
          <w:b/>
          <w:bCs/>
          <w:i w:val="false"/>
          <w:iCs w:val="false"/>
          <w:color w:val="24303F"/>
          <w:sz w:val="17"/>
          <w:szCs w:val="17"/>
        </w:rPr>
        <w:t xml:space="preserve">SOC 2 Type II · ISO 27001 · HIPAA · GDPR · ACMA · TCPA · AU Data Residency</w:t>
      </w:r>
    </w:p>
    <w:p>
      <w:pPr>
        <w:spacing w:after="30" w:before="120"/>
      </w:pPr>
      <w:r>
        <w:rPr>
          <w:rFonts w:ascii="Consolas" w:cs="Consolas" w:eastAsia="Consolas" w:hAnsi="Consolas"/>
          <w:b/>
          <w:bCs/>
          <w:color w:val="9A6B3F"/>
          <w:spacing w:val="12"/>
          <w:sz w:val="14"/>
          <w:szCs w:val="14"/>
        </w:rPr>
        <w:t xml:space="preserve">SECTION 4 · BUYER'S CHECKLIST  (NEW, HELPFUL)</w:t>
      </w:r>
    </w:p>
    <w:p>
      <w:pPr>
        <w:spacing w:after="110" w:line="278"/>
      </w:pPr>
      <w:r>
        <w:rPr>
          <w:rFonts w:ascii="Calibri" w:cs="Calibri" w:eastAsia="Calibri" w:hAnsi="Calibri"/>
          <w:b w:val="false"/>
          <w:bCs w:val="false"/>
          <w:i w:val="false"/>
          <w:iCs w:val="false"/>
          <w:color w:val="5A6675"/>
          <w:sz w:val="17"/>
          <w:szCs w:val="17"/>
        </w:rPr>
        <w:t xml:space="preserve">New section, and the one that meets the visitor where they actually are: mid-evaluation, comparing a shortlist. It is genuinely useful, it earns an AEO snippet, and it lets our compliance advantage land as a buying criterion rather than a boast. Grounded in the competitor review, where compliance is where the field really splits.</w:t>
      </w:r>
    </w:p>
    <w:p>
      <w:pPr>
        <w:spacing w:after="16" w:before="110"/>
      </w:pPr>
      <w:r>
        <w:rPr>
          <w:rFonts w:ascii="Calibri" w:cs="Calibri" w:eastAsia="Calibri" w:hAnsi="Calibri"/>
          <w:b/>
          <w:bCs/>
          <w:color w:val="16223C"/>
          <w:sz w:val="20"/>
          <w:szCs w:val="20"/>
        </w:rPr>
        <w:t xml:space="preserve">H2:  What to check before you put your name on a voice AI platform</w:t>
      </w:r>
    </w:p>
    <w:p>
      <w:pPr>
        <w:spacing w:after="110" w:line="278"/>
      </w:pPr>
      <w:r>
        <w:rPr>
          <w:rFonts w:ascii="Calibri" w:cs="Calibri" w:eastAsia="Calibri" w:hAnsi="Calibri"/>
          <w:b w:val="false"/>
          <w:bCs w:val="false"/>
          <w:i w:val="false"/>
          <w:iCs w:val="false"/>
          <w:color w:val="24303F"/>
          <w:sz w:val="20"/>
          <w:szCs w:val="20"/>
        </w:rPr>
        <w:t xml:space="preserve">We have sold voice AI through other people's platforms and we now build our own, so here is the checklist we would actually use. Run any platform through these five checks, ours included.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Branding depth. </w:t>
      </w:r>
      <w:r>
        <w:rPr>
          <w:rFonts w:ascii="Calibri" w:cs="Calibri" w:eastAsia="Calibri" w:hAnsi="Calibri"/>
          <w:b w:val="false"/>
          <w:bCs w:val="false"/>
          <w:i w:val="false"/>
          <w:iCs w:val="false"/>
          <w:color w:val="24303F"/>
          <w:sz w:val="20"/>
          <w:szCs w:val="20"/>
        </w:rPr>
        <w:t xml:space="preserve">Does the client ever see the vendor? Some “white-label” tiers only swap a logo while the real name still shows in the dashboard, the billing or the support emails. Ask to see the branded product working before you trust the word.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owns the client and the data. </w:t>
      </w:r>
      <w:r>
        <w:rPr>
          <w:rFonts w:ascii="Calibri" w:cs="Calibri" w:eastAsia="Calibri" w:hAnsi="Calibri"/>
          <w:b w:val="false"/>
          <w:bCs w:val="false"/>
          <w:i w:val="false"/>
          <w:iCs w:val="false"/>
          <w:color w:val="24303F"/>
          <w:sz w:val="20"/>
          <w:szCs w:val="20"/>
        </w:rPr>
        <w:t xml:space="preserve">You should be able to keep and export both. If the vendor holds the relationship, you are renting your own clients.</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usage is priced. </w:t>
      </w:r>
      <w:r>
        <w:rPr>
          <w:rFonts w:ascii="Calibri" w:cs="Calibri" w:eastAsia="Calibri" w:hAnsi="Calibri"/>
          <w:b w:val="false"/>
          <w:bCs w:val="false"/>
          <w:i w:val="false"/>
          <w:iCs w:val="false"/>
          <w:color w:val="24303F"/>
          <w:sz w:val="20"/>
          <w:szCs w:val="20"/>
        </w:rPr>
        <w:t xml:space="preserve">Flat, per-seat, or usage-based. Usage-based is the one that quietly erodes a flat retail price as call volume climbs, so price your clients with a band, not a fixed fee you will regret at scale.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Whether compliance is included or gated. </w:t>
      </w:r>
      <w:r>
        <w:rPr>
          <w:rFonts w:ascii="Calibri" w:cs="Calibri" w:eastAsia="Calibri" w:hAnsi="Calibri"/>
          <w:b w:val="false"/>
          <w:bCs w:val="false"/>
          <w:i w:val="false"/>
          <w:iCs w:val="false"/>
          <w:color w:val="24303F"/>
          <w:sz w:val="20"/>
          <w:szCs w:val="20"/>
        </w:rPr>
        <w:t xml:space="preserve">This is where the field splits. Some platforms put HIPAA behind a paid add-on or a higher tier, and some skip it entirely. If your clients are regulated, that add-on is not optional, it is the product. Ours is included on every workspace.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The call record. </w:t>
      </w:r>
      <w:r>
        <w:rPr>
          <w:rFonts w:ascii="Calibri" w:cs="Calibri" w:eastAsia="Calibri" w:hAnsi="Calibri"/>
          <w:b w:val="false"/>
          <w:bCs w:val="false"/>
          <w:i w:val="false"/>
          <w:iCs w:val="false"/>
          <w:color w:val="24303F"/>
          <w:sz w:val="20"/>
          <w:szCs w:val="20"/>
        </w:rPr>
        <w:t xml:space="preserve">When a client disputes what the AI said, can you pull a verifiable recording and transcript of that exact call? If you cannot, the liability is yours with nothing to stand on.</w:t>
      </w:r>
    </w:p>
    <w:p>
      <w:pPr>
        <w:spacing w:after="110" w:line="278"/>
      </w:pPr>
      <w:r>
        <w:rPr>
          <w:rFonts w:ascii="Calibri" w:cs="Calibri" w:eastAsia="Calibri" w:hAnsi="Calibri"/>
          <w:b w:val="false"/>
          <w:bCs w:val="false"/>
          <w:i w:val="false"/>
          <w:iCs w:val="false"/>
          <w:color w:val="24303F"/>
          <w:sz w:val="20"/>
          <w:szCs w:val="20"/>
        </w:rPr>
        <w:t xml:space="preserve">For the platform-by-platform version of this, with each vendor scored on the same checks, see our </w:t>
      </w:r>
      <w:r>
        <w:rPr>
          <w:rFonts w:ascii="Calibri" w:cs="Calibri" w:eastAsia="Calibri" w:hAnsi="Calibri"/>
          <w:color w:val="1B5E86"/>
          <w:sz w:val="20"/>
          <w:szCs w:val="20"/>
          <w:u w:val="single"/>
        </w:rPr>
        <w:t xml:space="preserve">white-label voice AI comparison</w:t>
      </w:r>
      <w:r>
        <w:rPr>
          <w:rFonts w:ascii="Consolas" w:cs="Consolas" w:eastAsia="Consolas" w:hAnsi="Consolas"/>
          <w:color w:val="5A6675"/>
          <w:sz w:val="12"/>
          <w:szCs w:val="12"/>
        </w:rPr>
        <w:t xml:space="preserve"> [/blogs/best-white-label-voice-ai]</w:t>
      </w:r>
      <w:r>
        <w:rPr>
          <w:rFonts w:ascii="Calibri" w:cs="Calibri" w:eastAsia="Calibri" w:hAnsi="Calibri"/>
          <w:b w:val="false"/>
          <w:bCs w:val="false"/>
          <w:i w:val="false"/>
          <w:iCs w:val="false"/>
          <w:color w:val="24303F"/>
          <w:sz w:val="20"/>
          <w:szCs w:val="20"/>
        </w:rPr>
        <w:t xml:space="preserve">.</w:t>
      </w:r>
    </w:p>
    <w:p>
      <w:pPr>
        <w:spacing w:after="30" w:before="120"/>
      </w:pPr>
      <w:r>
        <w:rPr>
          <w:rFonts w:ascii="Consolas" w:cs="Consolas" w:eastAsia="Consolas" w:hAnsi="Consolas"/>
          <w:b/>
          <w:bCs/>
          <w:color w:val="9A6B3F"/>
          <w:spacing w:val="12"/>
          <w:sz w:val="14"/>
          <w:szCs w:val="14"/>
        </w:rPr>
        <w:t xml:space="preserve">SECTION 5 · YOUR MARGIN  (KEEP THE CALCULATOR)</w:t>
      </w:r>
    </w:p>
    <w:p>
      <w:pPr>
        <w:spacing w:after="16" w:before="110"/>
      </w:pPr>
      <w:r>
        <w:rPr>
          <w:rFonts w:ascii="Calibri" w:cs="Calibri" w:eastAsia="Calibri" w:hAnsi="Calibri"/>
          <w:b/>
          <w:bCs/>
          <w:color w:val="16223C"/>
          <w:sz w:val="20"/>
          <w:szCs w:val="20"/>
        </w:rPr>
        <w:t xml:space="preserve">H2:  Your margin, your brand, your platform</w:t>
      </w:r>
    </w:p>
    <w:p>
      <w:pPr>
        <w:spacing w:after="110" w:line="278"/>
      </w:pPr>
      <w:r>
        <w:rPr>
          <w:rFonts w:ascii="Calibri" w:cs="Calibri" w:eastAsia="Calibri" w:hAnsi="Calibri"/>
          <w:b w:val="false"/>
          <w:bCs w:val="false"/>
          <w:i w:val="false"/>
          <w:iCs w:val="false"/>
          <w:color w:val="24303F"/>
          <w:sz w:val="20"/>
          <w:szCs w:val="20"/>
        </w:rPr>
        <w:t xml:space="preserve">Keep the interactive margin calculator. It is the strongest commercial proof on the page. Anchor it with one honest sentence and the reconciled worked example.</w:t>
      </w:r>
    </w:p>
    <w:p>
      <w:pPr>
        <w:spacing w:after="110" w:line="278"/>
      </w:pPr>
      <w:r>
        <w:rPr>
          <w:rFonts w:ascii="Calibri" w:cs="Calibri" w:eastAsia="Calibri" w:hAnsi="Calibri"/>
          <w:b w:val="false"/>
          <w:bCs w:val="false"/>
          <w:i w:val="false"/>
          <w:iCs w:val="false"/>
          <w:color w:val="24303F"/>
          <w:sz w:val="20"/>
          <w:szCs w:val="20"/>
        </w:rPr>
        <w:t xml:space="preserve">Set your own price and keep the gap. Usage is a flat $0.12 a minute and covers the platform, speech-to-text, the model and text-to-speech; telephony is separate, from $0.014 a minute on US Trillet numbers, with no telephony fee on web calls. Priced sensibly, agencies hold margins in the 70s. In our own worked example, five clients on a $300 monthly retainer, at roughly two-minute calls, returns about a 74 per cent margin on the Agency plan.</w:t>
      </w:r>
    </w:p>
    <w:p>
      <w:pPr>
        <w:spacing w:after="110" w:line="278"/>
      </w:pPr>
      <w:r>
        <w:rPr>
          <w:rFonts w:ascii="Calibri" w:cs="Calibri" w:eastAsia="Calibri" w:hAnsi="Calibri"/>
          <w:b w:val="false"/>
          <w:bCs w:val="false"/>
          <w:i w:val="false"/>
          <w:iCs w:val="false"/>
          <w:color w:val="24303F"/>
          <w:sz w:val="20"/>
          <w:szCs w:val="20"/>
        </w:rPr>
        <w:t xml:space="preserve">The deeper working lives on the money page, linked, not restated here: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w:t>
      </w:r>
    </w:p>
    <w:p>
      <w:pPr>
        <w:spacing w:after="30" w:before="120"/>
      </w:pPr>
      <w:r>
        <w:rPr>
          <w:rFonts w:ascii="Consolas" w:cs="Consolas" w:eastAsia="Consolas" w:hAnsi="Consolas"/>
          <w:b/>
          <w:bCs/>
          <w:color w:val="9A6B3F"/>
          <w:spacing w:val="12"/>
          <w:sz w:val="14"/>
          <w:szCs w:val="14"/>
        </w:rPr>
        <w:t xml:space="preserve">SECTION 6 · ONE PLATFORM, EVERY CLIENT VERTICAL  (KEEP)</w:t>
      </w:r>
    </w:p>
    <w:p>
      <w:pPr>
        <w:spacing w:after="110" w:line="278"/>
      </w:pPr>
      <w:r>
        <w:rPr>
          <w:rFonts w:ascii="Calibri" w:cs="Calibri" w:eastAsia="Calibri" w:hAnsi="Calibri"/>
          <w:b w:val="false"/>
          <w:bCs w:val="false"/>
          <w:i w:val="false"/>
          <w:iCs w:val="false"/>
          <w:color w:val="24303F"/>
          <w:sz w:val="18"/>
          <w:szCs w:val="18"/>
        </w:rPr>
        <w:t xml:space="preserve">Keep the vertical row and link each to its own page so the hub passes authority down. Healthcare, legal, financial services, home services, real estate, and local service businesses. Frame it as the range of clients you can serve, not a list of features.</w:t>
      </w:r>
    </w:p>
    <w:p>
      <w:pPr>
        <w:spacing w:after="30" w:before="120"/>
      </w:pPr>
      <w:r>
        <w:rPr>
          <w:rFonts w:ascii="Consolas" w:cs="Consolas" w:eastAsia="Consolas" w:hAnsi="Consolas"/>
          <w:b/>
          <w:bCs/>
          <w:color w:val="9A6B3F"/>
          <w:spacing w:val="12"/>
          <w:sz w:val="14"/>
          <w:szCs w:val="14"/>
        </w:rPr>
        <w:t xml:space="preserve">SECTION 7 · PRICING  (KEEP, RECONCILED)</w:t>
      </w:r>
    </w:p>
    <w:p>
      <w:pPr>
        <w:spacing w:after="16" w:before="110"/>
      </w:pPr>
      <w:r>
        <w:rPr>
          <w:rFonts w:ascii="Calibri" w:cs="Calibri" w:eastAsia="Calibri" w:hAnsi="Calibri"/>
          <w:b/>
          <w:bCs/>
          <w:color w:val="16223C"/>
          <w:sz w:val="20"/>
          <w:szCs w:val="20"/>
        </w:rPr>
        <w:t xml:space="preserve">H2:  Simple, transparent pricing</w:t>
      </w:r>
    </w:p>
    <w:p>
      <w:pPr>
        <w:spacing w:after="110" w:line="278"/>
      </w:pPr>
      <w:r>
        <w:rPr>
          <w:rFonts w:ascii="Calibri" w:cs="Calibri" w:eastAsia="Calibri" w:hAnsi="Calibri"/>
          <w:b w:val="false"/>
          <w:bCs w:val="false"/>
          <w:i w:val="false"/>
          <w:iCs w:val="false"/>
          <w:color w:val="24303F"/>
          <w:sz w:val="18"/>
          <w:szCs w:val="18"/>
        </w:rPr>
        <w:t xml:space="preserve">No per-seat charges. Usage is $0.12 a minute and includes the platform, STT, LLM and TTS. Telephony is separate: US Trillet telephony from $0.014 a minute, web calls no telephony fee.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00"/>
        <w:gridCol w:w="3930"/>
        <w:gridCol w:w="3930"/>
      </w:tblGrid>
      <w:tr>
        <w:trPr>
          <w:tblHeader/>
        </w:trPr>
        <w:tc>
          <w:tcPr>
            <w:tcW w:type="dxa" w:w="15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Plan</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Studio, $99/mo</w:t>
            </w:r>
          </w:p>
        </w:tc>
        <w:tc>
          <w:tcPr>
            <w:tcW w:type="dxa" w:w="393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Agency, $299/mo</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white-label, custom branding</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Everything in Studio, plus:</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Workspaces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Up to 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Unlimited</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Included minutes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100 / month</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300 / month</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Free phone numbers</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3</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10</w:t>
            </w:r>
          </w:p>
        </w:tc>
      </w:tr>
      <w:tr>
        <w:tc>
          <w:tcPr>
            <w:tcW w:type="dxa" w:w="15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Setup</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Instant agent creation</w:t>
            </w:r>
          </w:p>
        </w:tc>
        <w:tc>
          <w:tcPr>
            <w:tcW w:type="dxa" w:w="393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Instant agent creation</w:t>
            </w:r>
          </w:p>
        </w:tc>
      </w:tr>
    </w:tbl>
    <w:p>
      <w:pPr>
        <w:spacing w:after="110" w:line="278"/>
      </w:pPr>
      <w:r>
        <w:rPr>
          <w:rFonts w:ascii="Calibri" w:cs="Calibri" w:eastAsia="Calibri" w:hAnsi="Calibri"/>
          <w:b w:val="false"/>
          <w:bCs w:val="false"/>
          <w:i w:val="false"/>
          <w:iCs w:val="false"/>
          <w:color w:val="5A6675"/>
          <w:sz w:val="17"/>
          <w:szCs w:val="17"/>
        </w:rPr>
        <w:t xml:space="preserve">28-day money-back guarantee, no questions asked. No contracts, cancel anytime.</w:t>
      </w:r>
    </w:p>
    <w:p>
      <w:pPr>
        <w:spacing w:after="30" w:before="120"/>
      </w:pPr>
      <w:r>
        <w:rPr>
          <w:rFonts w:ascii="Consolas" w:cs="Consolas" w:eastAsia="Consolas" w:hAnsi="Consolas"/>
          <w:b/>
          <w:bCs/>
          <w:color w:val="9A6B3F"/>
          <w:spacing w:val="12"/>
          <w:sz w:val="14"/>
          <w:szCs w:val="14"/>
        </w:rPr>
        <w:t xml:space="preserve">SECTION 8 · PROOF AND PARTNER SUPPORT  (KEEP, CONDENSE)</w:t>
      </w:r>
    </w:p>
    <w:p>
      <w:pPr>
        <w:spacing w:after="110" w:line="278"/>
      </w:pPr>
      <w:r>
        <w:rPr>
          <w:rFonts w:ascii="Calibri" w:cs="Calibri" w:eastAsia="Calibri" w:hAnsi="Calibri"/>
          <w:b w:val="false"/>
          <w:bCs w:val="false"/>
          <w:i w:val="false"/>
          <w:iCs w:val="false"/>
          <w:color w:val="24303F"/>
          <w:sz w:val="18"/>
          <w:szCs w:val="18"/>
        </w:rPr>
        <w:t xml:space="preserve">Keep the trust bar (1,200+ businesses) and the support block, but condense the support block to three lines so it does not compete with compliance for attention: playbooks and templates you can reuse, coaching and a partner community, and co-delivery on larger deployments with us as your compliance and infrastructure partner.</w:t>
      </w:r>
    </w:p>
    <w:p>
      <w:pPr>
        <w:spacing w:after="50" w:before="170"/>
      </w:pPr>
      <w:r>
        <w:rPr>
          <w:rFonts w:ascii="Georgia" w:cs="Georgia" w:eastAsia="Georgia" w:hAnsi="Georgia"/>
          <w:b/>
          <w:bCs/>
          <w:color w:val="16223C"/>
          <w:sz w:val="25"/>
          <w:szCs w:val="25"/>
        </w:rPr>
        <w:t xml:space="preserve">FAQ  (definition folded in + head-term coverage)</w:t>
      </w:r>
    </w:p>
    <w:p>
      <w:pPr>
        <w:spacing w:after="110" w:line="278"/>
      </w:pPr>
      <w:r>
        <w:rPr>
          <w:rFonts w:ascii="Calibri" w:cs="Calibri" w:eastAsia="Calibri" w:hAnsi="Calibri"/>
          <w:b w:val="false"/>
          <w:bCs w:val="false"/>
          <w:i w:val="false"/>
          <w:iCs w:val="false"/>
          <w:color w:val="5A6675"/>
          <w:sz w:val="17"/>
          <w:szCs w:val="17"/>
        </w:rPr>
        <w:t xml:space="preserve">The definition that used to sit in the body now opens the FAQ, where it belongs. Question wording matches how people and engines phrase it; answers are in the team's voice.</w:t>
      </w:r>
    </w:p>
    <w:p>
      <w:pPr>
        <w:spacing w:after="16" w:before="110"/>
      </w:pPr>
      <w:r>
        <w:rPr>
          <w:rFonts w:ascii="Calibri" w:cs="Calibri" w:eastAsia="Calibri" w:hAnsi="Calibri"/>
          <w:b/>
          <w:bCs/>
          <w:color w:val="16223C"/>
          <w:sz w:val="20"/>
          <w:szCs w:val="20"/>
        </w:rPr>
        <w:t xml:space="preserve">What is white-label voice AI?</w:t>
      </w:r>
    </w:p>
    <w:p>
      <w:pPr>
        <w:spacing w:after="110" w:line="278"/>
      </w:pPr>
      <w:r>
        <w:rPr>
          <w:rFonts w:ascii="Calibri" w:cs="Calibri" w:eastAsia="Calibri" w:hAnsi="Calibri"/>
          <w:b w:val="false"/>
          <w:bCs w:val="false"/>
          <w:i w:val="false"/>
          <w:iCs w:val="false"/>
          <w:color w:val="24303F"/>
          <w:sz w:val="20"/>
          <w:szCs w:val="20"/>
        </w:rPr>
        <w:t xml:space="preserve">A voice agent platform you resell under your own brand. You pay a wholesale rate, put your name, domain and dashboard on it, set your own price, and own the client. The vendor runs the software and stays invisible. With Trillet, compliance and a verifiable record of every call come built in.</w:t>
      </w:r>
    </w:p>
    <w:p>
      <w:pPr>
        <w:spacing w:after="16" w:before="110"/>
      </w:pPr>
      <w:r>
        <w:rPr>
          <w:rFonts w:ascii="Calibri" w:cs="Calibri" w:eastAsia="Calibri" w:hAnsi="Calibri"/>
          <w:b/>
          <w:bCs/>
          <w:color w:val="16223C"/>
          <w:sz w:val="20"/>
          <w:szCs w:val="20"/>
        </w:rPr>
        <w:t xml:space="preserve">Can I really white-label the whole platform?</w:t>
      </w:r>
    </w:p>
    <w:p>
      <w:pPr>
        <w:spacing w:after="110" w:line="278"/>
      </w:pPr>
      <w:r>
        <w:rPr>
          <w:rFonts w:ascii="Calibri" w:cs="Calibri" w:eastAsia="Calibri" w:hAnsi="Calibri"/>
          <w:b w:val="false"/>
          <w:bCs w:val="false"/>
          <w:i w:val="false"/>
          <w:iCs w:val="false"/>
          <w:color w:val="24303F"/>
          <w:sz w:val="20"/>
          <w:szCs w:val="20"/>
        </w:rPr>
        <w:t xml:space="preserve">Yes. You run Trillet under your own domain and branding, with client-facing dashboards that look like your own product. We stay behind the scenes, so you sell and manage voice AI as your own offering.</w:t>
      </w:r>
    </w:p>
    <w:p>
      <w:pPr>
        <w:spacing w:after="16" w:before="110"/>
      </w:pPr>
      <w:r>
        <w:rPr>
          <w:rFonts w:ascii="Calibri" w:cs="Calibri" w:eastAsia="Calibri" w:hAnsi="Calibri"/>
          <w:b/>
          <w:bCs/>
          <w:color w:val="16223C"/>
          <w:sz w:val="20"/>
          <w:szCs w:val="20"/>
        </w:rPr>
        <w:t xml:space="preserve">Will my clients need to change their phone numbers?</w:t>
      </w:r>
    </w:p>
    <w:p>
      <w:pPr>
        <w:spacing w:after="110" w:line="278"/>
      </w:pPr>
      <w:r>
        <w:rPr>
          <w:rFonts w:ascii="Calibri" w:cs="Calibri" w:eastAsia="Calibri" w:hAnsi="Calibri"/>
          <w:b w:val="false"/>
          <w:bCs w:val="false"/>
          <w:i w:val="false"/>
          <w:iCs w:val="false"/>
          <w:color w:val="24303F"/>
          <w:sz w:val="20"/>
          <w:szCs w:val="20"/>
        </w:rPr>
        <w:t xml:space="preserve">No. Clients keep their existing numbers. We use carrier-level call forwarding rather than porting, so setup takes about 30 seconds and the experience stays seamless.</w:t>
      </w:r>
    </w:p>
    <w:p>
      <w:pPr>
        <w:spacing w:after="16" w:before="110"/>
      </w:pPr>
      <w:r>
        <w:rPr>
          <w:rFonts w:ascii="Calibri" w:cs="Calibri" w:eastAsia="Calibri" w:hAnsi="Calibri"/>
          <w:b/>
          <w:bCs/>
          <w:color w:val="16223C"/>
          <w:sz w:val="20"/>
          <w:szCs w:val="20"/>
        </w:rPr>
        <w:t xml:space="preserve">How does Trillet fit my clients' tech stacks?</w:t>
      </w:r>
    </w:p>
    <w:p>
      <w:pPr>
        <w:spacing w:after="110" w:line="278"/>
      </w:pPr>
      <w:r>
        <w:rPr>
          <w:rFonts w:ascii="Calibri" w:cs="Calibri" w:eastAsia="Calibri" w:hAnsi="Calibri"/>
          <w:b w:val="false"/>
          <w:bCs w:val="false"/>
          <w:i w:val="false"/>
          <w:iCs w:val="false"/>
          <w:color w:val="24303F"/>
          <w:sz w:val="20"/>
          <w:szCs w:val="20"/>
        </w:rPr>
        <w:t xml:space="preserve">Native integrations cover GoHighLevel, Google Calendar and Cal.com, with webhook and API paths for other tools. No custom development for the common cases.</w:t>
      </w:r>
    </w:p>
    <w:p>
      <w:pPr>
        <w:spacing w:after="16" w:before="110"/>
      </w:pPr>
      <w:r>
        <w:rPr>
          <w:rFonts w:ascii="Calibri" w:cs="Calibri" w:eastAsia="Calibri" w:hAnsi="Calibri"/>
          <w:b/>
          <w:bCs/>
          <w:color w:val="16223C"/>
          <w:sz w:val="20"/>
          <w:szCs w:val="20"/>
        </w:rPr>
        <w:t xml:space="preserve">How should I price this to clients?</w:t>
      </w:r>
    </w:p>
    <w:p>
      <w:pPr>
        <w:spacing w:after="110" w:line="278"/>
      </w:pPr>
      <w:r>
        <w:rPr>
          <w:rFonts w:ascii="Calibri" w:cs="Calibri" w:eastAsia="Calibri" w:hAnsi="Calibri"/>
          <w:b w:val="false"/>
          <w:bCs w:val="false"/>
          <w:i w:val="false"/>
          <w:iCs w:val="false"/>
          <w:color w:val="24303F"/>
          <w:sz w:val="20"/>
          <w:szCs w:val="20"/>
        </w:rPr>
        <w:t xml:space="preserve">Most partners treat it as a margin-bearing service, not a software resale. A common benchmark is a $300 monthly retainer plus a setup fee and a per-minute markup. At $0.12 a minute, a client using 300 minutes on a $300 retainer yields roughly $264 gross margin before markups.</w:t>
      </w:r>
    </w:p>
    <w:p>
      <w:pPr>
        <w:spacing w:after="16" w:before="110"/>
      </w:pPr>
      <w:r>
        <w:rPr>
          <w:rFonts w:ascii="Calibri" w:cs="Calibri" w:eastAsia="Calibri" w:hAnsi="Calibri"/>
          <w:b/>
          <w:bCs/>
          <w:color w:val="16223C"/>
          <w:sz w:val="20"/>
          <w:szCs w:val="20"/>
        </w:rPr>
        <w:t xml:space="preserve">Is it compliant enough for regulated clients?</w:t>
      </w:r>
    </w:p>
    <w:p>
      <w:pPr>
        <w:spacing w:after="110" w:line="278"/>
      </w:pPr>
      <w:r>
        <w:rPr>
          <w:rFonts w:ascii="Calibri" w:cs="Calibri" w:eastAsia="Calibri" w:hAnsi="Calibri"/>
          <w:b w:val="false"/>
          <w:bCs w:val="false"/>
          <w:i w:val="false"/>
          <w:iCs w:val="false"/>
          <w:color w:val="24303F"/>
          <w:sz w:val="20"/>
          <w:szCs w:val="20"/>
        </w:rPr>
        <w:t xml:space="preserve">Yes, and it is included, not an add-on. SOC 2 Type II and ISO 27001, and operation under HIPAA, GDPR, ACMA and TCPA, with audit trails on every workspace and onshore data residency. On-premise and private cloud are available for enterprise.</w:t>
      </w:r>
    </w:p>
    <w:p>
      <w:pPr>
        <w:spacing w:after="16" w:before="110"/>
      </w:pPr>
      <w:r>
        <w:rPr>
          <w:rFonts w:ascii="Calibri" w:cs="Calibri" w:eastAsia="Calibri" w:hAnsi="Calibri"/>
          <w:b/>
          <w:bCs/>
          <w:color w:val="16223C"/>
          <w:sz w:val="20"/>
          <w:szCs w:val="20"/>
        </w:rPr>
        <w:t xml:space="preserve">Can the AI handle outbound calls?</w:t>
      </w:r>
    </w:p>
    <w:p>
      <w:pPr>
        <w:spacing w:after="110" w:line="278"/>
      </w:pPr>
      <w:r>
        <w:rPr>
          <w:rFonts w:ascii="Calibri" w:cs="Calibri" w:eastAsia="Calibri" w:hAnsi="Calibri"/>
          <w:b w:val="false"/>
          <w:bCs w:val="false"/>
          <w:i w:val="false"/>
          <w:iCs w:val="false"/>
          <w:color w:val="24303F"/>
          <w:sz w:val="20"/>
          <w:szCs w:val="20"/>
        </w:rPr>
        <w:t xml:space="preserve">Yes, within limits: inbound by default, lead callbacks, single outbound calls, and batch campaigns with your own numbers and compliance setup. It is not built for cold calling random lists.</w:t>
      </w:r>
    </w:p>
    <w:p>
      <w:pPr>
        <w:spacing w:after="110" w:line="278"/>
      </w:pPr>
      <w:r>
        <w:rPr>
          <w:rFonts w:ascii="Calibri" w:cs="Calibri" w:eastAsia="Calibri" w:hAnsi="Calibri"/>
          <w:b w:val="false"/>
          <w:bCs w:val="false"/>
          <w:i/>
          <w:iCs/>
          <w:color w:val="5A6675"/>
          <w:sz w:val="16"/>
          <w:szCs w:val="16"/>
        </w:rPr>
        <w:t xml:space="preserve">Last reviewed: September 2026.</w:t>
      </w:r>
    </w:p>
    <w:p>
      <w:pPr>
        <w:spacing w:after="30" w:before="120"/>
      </w:pPr>
      <w:r>
        <w:rPr>
          <w:rFonts w:ascii="Consolas" w:cs="Consolas" w:eastAsia="Consolas" w:hAnsi="Consolas"/>
          <w:b/>
          <w:bCs/>
          <w:color w:val="9A6B3F"/>
          <w:spacing w:val="12"/>
          <w:sz w:val="14"/>
          <w:szCs w:val="14"/>
        </w:rPr>
        <w:t xml:space="preserve">SECTION 9 · CLOSE</w:t>
      </w:r>
    </w:p>
    <w:p>
      <w:pPr>
        <w:spacing w:after="110" w:line="278"/>
      </w:pPr>
      <w:r>
        <w:rPr>
          <w:rFonts w:ascii="Calibri" w:cs="Calibri" w:eastAsia="Calibri" w:hAnsi="Calibri"/>
          <w:b/>
          <w:bCs/>
          <w:i w:val="false"/>
          <w:iCs w:val="false"/>
          <w:color w:val="9A6B3F"/>
          <w:sz w:val="16"/>
          <w:szCs w:val="16"/>
        </w:rPr>
        <w:t xml:space="preserve">H2:  </w:t>
      </w:r>
      <w:r>
        <w:rPr>
          <w:rFonts w:ascii="Calibri" w:cs="Calibri" w:eastAsia="Calibri" w:hAnsi="Calibri"/>
          <w:b/>
          <w:bCs/>
          <w:i w:val="false"/>
          <w:iCs w:val="false"/>
          <w:color w:val="16223C"/>
          <w:sz w:val="20"/>
          <w:szCs w:val="20"/>
        </w:rPr>
        <w:t xml:space="preserve">Ready to sell voice AI under your own brand?</w:t>
      </w:r>
    </w:p>
    <w:p>
      <w:pPr>
        <w:spacing w:after="110" w:line="278"/>
      </w:pPr>
      <w:r>
        <w:rPr>
          <w:rFonts w:ascii="Calibri" w:cs="Calibri" w:eastAsia="Calibri" w:hAnsi="Calibri"/>
          <w:b w:val="false"/>
          <w:bCs w:val="false"/>
          <w:i w:val="false"/>
          <w:iCs w:val="false"/>
          <w:color w:val="24303F"/>
          <w:sz w:val="20"/>
          <w:szCs w:val="20"/>
        </w:rPr>
        <w:t xml:space="preserve">Start on the platform today. Your branding, your pricing, your client relationships. If you want a formal reseller, referral or OEM arrangement, our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sets the terms around your volume.</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Internal link map</w:t>
      </w:r>
    </w:p>
    <w:p>
      <w:pPr>
        <w:spacing w:after="110" w:line="278"/>
      </w:pPr>
      <w:r>
        <w:rPr>
          <w:rFonts w:ascii="Calibri" w:cs="Calibri" w:eastAsia="Calibri" w:hAnsi="Calibri"/>
          <w:b w:val="false"/>
          <w:bCs w:val="false"/>
          <w:i w:val="false"/>
          <w:iCs w:val="false"/>
          <w:color w:val="5A6675"/>
          <w:sz w:val="17"/>
          <w:szCs w:val="17"/>
        </w:rPr>
        <w:t xml:space="preserve">The hub earns its rank from the spokes pointing up to it and the authority it passes down. This is the map the rebuild should wire in.</w:t>
      </w:r>
    </w:p>
    <w:p>
      <w:pPr>
        <w:spacing w:after="16" w:before="110"/>
      </w:pPr>
      <w:r>
        <w:rPr>
          <w:rFonts w:ascii="Calibri" w:cs="Calibri" w:eastAsia="Calibri" w:hAnsi="Calibri"/>
          <w:b/>
          <w:bCs/>
          <w:color w:val="16223C"/>
          <w:sz w:val="20"/>
          <w:szCs w:val="20"/>
        </w:rPr>
        <w:t xml:space="preserve">Spokes linking UP to /whitelabel  (anchor → from page)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rPr>
          <w:tblHeader/>
        </w:trPr>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Anchor text</w:t>
            </w:r>
          </w:p>
        </w:tc>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Links from</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voice AI platform</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/blogs/white-label-voice-ai-platform-guide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start a voice AI agency</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/blogs/start-a-voice-ai-agency</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reseller programs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/blogs/best-white-label-reseller-programs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partnerships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/blogs/white-label-partnerships-guide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AI profit margins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/blogs/white-label-ai-profit-margins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AI with built-in compliance</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/blogs/white-label-ai-with-built-in-compliance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 vs buy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/blogs/build-vs-buy-voice-ai</w:t>
            </w:r>
          </w:p>
        </w:tc>
      </w:tr>
    </w:tbl>
    <w:p>
      <w:pPr>
        <w:spacing w:after="16" w:before="110"/>
      </w:pPr>
      <w:r>
        <w:rPr>
          <w:rFonts w:ascii="Calibri" w:cs="Calibri" w:eastAsia="Calibri" w:hAnsi="Calibri"/>
          <w:b/>
          <w:bCs/>
          <w:color w:val="16223C"/>
          <w:sz w:val="20"/>
          <w:szCs w:val="20"/>
        </w:rPr>
        <w:t xml:space="preserve">Hub linking DOWN  (anchor → to page)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4680"/>
        <w:gridCol w:w="4680"/>
      </w:tblGrid>
      <w:tr>
        <w:trPr>
          <w:tblHeader/>
        </w:trPr>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Anchor text</w:t>
            </w:r>
          </w:p>
        </w:tc>
        <w:tc>
          <w:tcPr>
            <w:tcW w:type="dxa" w:w="468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Links to</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profit margins</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/blogs/white-label-ai-profit-margins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voice AI comparison</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/blogs/best-white-label-voice-ai</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partner program (reseller / referral / OEM)</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/partners</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healthcare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legal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financial services voice AI</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(vertical page)</w:t>
            </w:r>
          </w:p>
        </w:tc>
      </w:tr>
      <w:tr>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feature list</w:t>
            </w:r>
          </w:p>
        </w:tc>
        <w:tc>
          <w:tcPr>
            <w:tcW w:type="dxa" w:w="468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(features / pricing page)</w:t>
            </w:r>
          </w:p>
        </w:tc>
      </w:tr>
    </w:tbl>
    <w:p>
      <w:pPr>
        <w:spacing w:after="110" w:line="278"/>
      </w:pPr>
      <w:r>
        <w:rPr>
          <w:rFonts w:ascii="Calibri" w:cs="Calibri" w:eastAsia="Calibri" w:hAnsi="Calibri"/>
          <w:b w:val="false"/>
          <w:bCs w:val="false"/>
          <w:i w:val="false"/>
          <w:iCs w:val="false"/>
          <w:color w:val="5A6675"/>
          <w:sz w:val="17"/>
          <w:szCs w:val="17"/>
        </w:rPr>
        <w:t xml:space="preserve">Rule of thumb: exact-match anchor once per spoke, varied thereafter. Every consolidating spoke in the redirect map should carry one link up to this hub before it is retired or merged.</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Ship four graphs: the org/product, the FAQ, the breadcrumb, and a Service node that names white-label voice AI as the offering. Keep dateModified current on every edit.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"@type":"Service",</w:t>
            </w:r>
          </w:p>
          <w:p>
            <w:pPr>
              <w:spacing w:after="0" w:line="230"/>
            </w:pPr>
            <w:r>
              <w:rPr>
                <w:rFonts w:ascii="Consolas" w:cs="Consolas" w:eastAsia="Consolas" w:hAnsi="Consolas"/>
                <w:color w:val="24303F"/>
                <w:sz w:val="13"/>
                <w:szCs w:val="13"/>
              </w:rPr>
              <w:t xml:space="preserve">    "name":"White-Label Voice AI Platform",</w:t>
            </w:r>
          </w:p>
          <w:p>
            <w:pPr>
              <w:spacing w:after="0" w:line="230"/>
            </w:pPr>
            <w:r>
              <w:rPr>
                <w:rFonts w:ascii="Consolas" w:cs="Consolas" w:eastAsia="Consolas" w:hAnsi="Consolas"/>
                <w:color w:val="24303F"/>
                <w:sz w:val="13"/>
                <w:szCs w:val="13"/>
              </w:rPr>
              <w:t xml:space="preserve">    "serviceType":"White-label voice AI for agencies",</w:t>
            </w:r>
          </w:p>
          <w:p>
            <w:pPr>
              <w:spacing w:after="0" w:line="230"/>
            </w:pPr>
            <w:r>
              <w:rPr>
                <w:rFonts w:ascii="Consolas" w:cs="Consolas" w:eastAsia="Consolas" w:hAnsi="Consolas"/>
                <w:color w:val="24303F"/>
                <w:sz w:val="13"/>
                <w:szCs w:val="13"/>
              </w:rPr>
              <w:t xml:space="preserve">    "provider":{"@id":"https://trillet.ai/#org"},</w:t>
            </w:r>
          </w:p>
          <w:p>
            <w:pPr>
              <w:spacing w:after="0" w:line="230"/>
            </w:pPr>
            <w:r>
              <w:rPr>
                <w:rFonts w:ascii="Consolas" w:cs="Consolas" w:eastAsia="Consolas" w:hAnsi="Consolas"/>
                <w:color w:val="24303F"/>
                <w:sz w:val="13"/>
                <w:szCs w:val="13"/>
              </w:rPr>
              <w:t xml:space="preserve">    "areaServed":["AU","US","GB"],</w:t>
            </w:r>
          </w:p>
          <w:p>
            <w:pPr>
              <w:spacing w:after="0" w:line="230"/>
            </w:pPr>
            <w:r>
              <w:rPr>
                <w:rFonts w:ascii="Consolas" w:cs="Consolas" w:eastAsia="Consolas" w:hAnsi="Consolas"/>
                <w:color w:val="24303F"/>
                <w:sz w:val="13"/>
                <w:szCs w:val="13"/>
              </w:rPr>
              <w:t xml:space="preserve">    "url":"https://trillet.ai/whitelabel",</w:t>
            </w:r>
          </w:p>
          <w:p>
            <w:pPr>
              <w:spacing w:after="0" w:line="230"/>
            </w:pPr>
            <w:r>
              <w:rPr>
                <w:rFonts w:ascii="Consolas" w:cs="Consolas" w:eastAsia="Consolas" w:hAnsi="Consolas"/>
                <w:color w:val="24303F"/>
                <w:sz w:val="13"/>
                <w:szCs w:val="13"/>
              </w:rPr>
              <w:t xml:space="preserve">    "offers":[</w:t>
            </w:r>
          </w:p>
          <w:p>
            <w:pPr>
              <w:spacing w:after="0" w:line="230"/>
            </w:pPr>
            <w:r>
              <w:rPr>
                <w:rFonts w:ascii="Consolas" w:cs="Consolas" w:eastAsia="Consolas" w:hAnsi="Consolas"/>
                <w:color w:val="24303F"/>
                <w:sz w:val="13"/>
                <w:szCs w:val="13"/>
              </w:rPr>
              <w:t xml:space="preserve">      {"@type":"Offer","name":"Studio","price":"99","priceCurrency":"USD",</w:t>
            </w:r>
          </w:p>
          <w:p>
            <w:pPr>
              <w:spacing w:after="0" w:line="230"/>
            </w:pPr>
            <w:r>
              <w:rPr>
                <w:rFonts w:ascii="Consolas" w:cs="Consolas" w:eastAsia="Consolas" w:hAnsi="Consolas"/>
                <w:color w:val="24303F"/>
                <w:sz w:val="13"/>
                <w:szCs w:val="13"/>
              </w:rPr>
              <w:t xml:space="preserve">       "priceSpecification":{"@type":"UnitPriceSpecification","billingIncrement":1,"unitCode":"MON"}},</w:t>
            </w:r>
          </w:p>
          <w:p>
            <w:pPr>
              <w:spacing w:after="0" w:line="230"/>
            </w:pPr>
            <w:r>
              <w:rPr>
                <w:rFonts w:ascii="Consolas" w:cs="Consolas" w:eastAsia="Consolas" w:hAnsi="Consolas"/>
                <w:color w:val="24303F"/>
                <w:sz w:val="13"/>
                <w:szCs w:val="13"/>
              </w:rPr>
              <w:t xml:space="preserve">      {"@type":"Offer","name":"Agency","price":"299","priceCurrency":"USD",</w:t>
            </w:r>
          </w:p>
          <w:p>
            <w:pPr>
              <w:spacing w:after="0" w:line="230"/>
            </w:pPr>
            <w:r>
              <w:rPr>
                <w:rFonts w:ascii="Consolas" w:cs="Consolas" w:eastAsia="Consolas" w:hAnsi="Consolas"/>
                <w:color w:val="24303F"/>
                <w:sz w:val="13"/>
                <w:szCs w:val="13"/>
              </w:rPr>
              <w:t xml:space="preserve">       "priceSpecification":{"@type":"UnitPriceSpecification","billingIncrement":1,"unitCode":"MON"}} ] },</w:t>
            </w:r>
          </w:p>
          <w:p>
            <w:pPr>
              <w:spacing w:after="0" w:line="230"/>
            </w:pPr>
            <w:r>
              <w:rPr>
                <w:rFonts w:ascii="Consolas" w:cs="Consolas" w:eastAsia="Consolas" w:hAnsi="Consolas"/>
                <w:color w:val="24303F"/>
                <w:sz w:val="13"/>
                <w:szCs w:val="13"/>
              </w:rPr>
              <w:t xml:space="preserve">  { "@type":"FAQPage","mainEntity":[ /* 7 Q&amp;As, text matching page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{"@type":"ListItem","position":2,"name":"White-Label Voice AI"}]}</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p>
      <w:pPr>
        <w:spacing w:after="110" w:line="278"/>
      </w:pPr>
      <w:r>
        <w:rPr>
          <w:rFonts w:ascii="Calibri" w:cs="Calibri" w:eastAsia="Calibri" w:hAnsi="Calibri"/>
          <w:b w:val="false"/>
          <w:bCs w:val="false"/>
          <w:i w:val="false"/>
          <w:iCs w:val="false"/>
          <w:color w:val="5A6675"/>
          <w:sz w:val="17"/>
          <w:szCs w:val="17"/>
        </w:rPr>
        <w:t xml:space="preserve">The Service node is the one the live page is missing. It tells an engine the page is an offering called white-label voice AI, priced, from a named provider, which is exactly the entity the head term describes. The checklist can also carry HowTo or ItemList markup if you want it eligible for a list snippet.</w:t>
      </w:r>
    </w:p>
    <w:p>
      <w:pPr>
        <w:pBdr>
          <w:bottom w:val="single" w:color="D9DEE8" w:sz="6"/>
        </w:pBdr>
        <w:spacing w:after="120" w:before="120"/>
      </w:pPr>
      <w:r>
        <w:t xml:space="preserve"/>
      </w:r>
    </w:p>
    <w:p>
      <w:pPr>
        <w:spacing w:after="50" w:before="170"/>
      </w:pPr>
      <w:r>
        <w:rPr>
          <w:rFonts w:ascii="Georgia" w:cs="Georgia" w:eastAsia="Georgia" w:hAnsi="Georgia"/>
          <w:b/>
          <w:bCs/>
          <w:color w:val="16223C"/>
          <w:sz w:val="25"/>
          <w:szCs w:val="25"/>
        </w:rPr>
        <w:t xml:space="preserve">What changed in this final, in one list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Rewritten in the team's voice throughout: we build it, we have sold it. Authority, not brochure copy.</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The “what is white-label voice AI” body block is removed (it read as filler) and folded into the FAQ as the opening question.</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New buyer's checklist section, grounded in real evaluation intent and the competitor review, with compliance framed as a buying criterion.</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Feature grid enriched: each card now describes the thing concretely (isolated data, paste-a-site build, branded reports) instead of naming it.</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H1 carries the head term; compliance moved above pricing and written first person; meta description trimmed 186 to 152 characters.</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Service JSON-LD added; internal-link map now also points down to the comparison roundup.</w:t>
      </w:r>
    </w:p>
    <w:p>
      <w:pPr>
        <w:pStyle w:val="ListParagraph"/>
        <w:numPr>
          <w:ilvl w:val="0"/>
          <w:numId w:val="1"/>
        </w:numPr>
        <w:spacing w:after="50" w:line="272"/>
      </w:pPr>
      <w:r>
        <w:rPr>
          <w:rFonts w:ascii="Calibri" w:cs="Calibri" w:eastAsia="Calibri" w:hAnsi="Calibri"/>
          <w:b w:val="false"/>
          <w:bCs w:val="false"/>
          <w:i w:val="false"/>
          <w:iCs w:val="false"/>
          <w:color w:val="24303F"/>
          <w:sz w:val="20"/>
          <w:szCs w:val="20"/>
        </w:rPr>
        <w:t xml:space="preserve">Everything strong on the live page kept: pricing, margin calculator, verticals, proof and support.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2026-09-20T15:24:29.452Z</dcterms:created>
  <dcterms:modified xsi:type="dcterms:W3CDTF">2026-09-20T15:24:29.453Z</dcterms:modified>
</cp:coreProperties>
</file>

<file path=docProps/custom.xml><?xml version="1.0" encoding="utf-8"?>
<Properties xmlns="http://schemas.openxmlformats.org/officeDocument/2006/custom-properties" xmlns:vt="http://schemas.openxmlformats.org/officeDocument/2006/docPropsVTypes"/>
</file>