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onsolas" w:cs="Consolas" w:eastAsia="Consolas" w:hAnsi="Consolas"/>
          <w:b/>
          <w:bCs/>
          <w:color w:val="9A6B3F"/>
          <w:spacing w:val="18"/>
          <w:sz w:val="15"/>
          <w:szCs w:val="15"/>
        </w:rPr>
        <w:t xml:space="preserve">TRILLET · WHITE-LABEL CLUSTER</w:t>
      </w:r>
    </w:p>
    <w:p>
      <w:pPr>
        <w:spacing w:after="70"/>
      </w:pPr>
      <w:r>
        <w:rPr>
          <w:rFonts w:ascii="Georgia" w:cs="Georgia" w:eastAsia="Georgia" w:hAnsi="Georgia"/>
          <w:b/>
          <w:bCs/>
          <w:color w:val="16223C"/>
          <w:sz w:val="40"/>
          <w:szCs w:val="40"/>
        </w:rPr>
        <w:t xml:space="preserve">Strategy &amp; Action Plan</w:t>
      </w:r>
    </w:p>
    <w:p>
      <w:pPr>
        <w:spacing w:after="90"/>
      </w:pPr>
      <w:r>
        <w:rPr>
          <w:rFonts w:ascii="Calibri" w:cs="Calibri" w:eastAsia="Calibri" w:hAnsi="Calibri"/>
          <w:i w:val="false"/>
          <w:iCs w:val="false"/>
          <w:color w:val="5A6675"/>
          <w:sz w:val="20"/>
          <w:szCs w:val="20"/>
        </w:rPr>
        <w:t xml:space="preserve">Where the white-label cluster stands today, why its current shape holds it back, and the plan to turn it into the strongest white-label voice-AI presence in the market.</w:t>
      </w:r>
    </w:p>
    <w:p>
      <w:pPr>
        <w:spacing w:after="60" w:before="60"/>
      </w:pPr>
      <w:r>
        <w:rPr>
          <w:rFonts w:ascii="Georgia" w:cs="Georgia" w:eastAsia="Georgia" w:hAnsi="Georgia"/>
          <w:b/>
          <w:bCs/>
          <w:color w:val="16223C"/>
          <w:sz w:val="26"/>
          <w:szCs w:val="26"/>
        </w:rPr>
        <w:t xml:space="preserve">1 · Executive summary</w:t>
      </w:r>
    </w:p>
    <w:p>
      <w:pPr>
        <w:spacing w:after="90"/>
      </w:pPr>
      <w:r>
        <w:rPr>
          <w:rFonts w:ascii="Calibri" w:cs="Calibri" w:eastAsia="Calibri" w:hAnsi="Calibri"/>
          <w:i w:val="false"/>
          <w:iCs w:val="false"/>
          <w:color w:val="24303F"/>
          <w:sz w:val="20"/>
          <w:szCs w:val="20"/>
        </w:rPr>
        <w:t xml:space="preserve">Trillet has more white-label content than any competitor in the category — roughly 130 pages covering platform, pricing, verticals, competitor comparisons, agency growth and integrations. The problem is not coverage; it is structure. Those pages compete with each other for the same searches, the money pages are buried beneath the blog, and the pages that do rank rarely earn the click. The result: the cluster attracts a large share of search demand but converts almost none of it.</w:t>
      </w:r>
    </w:p>
    <w:p>
      <w:pPr>
        <w:spacing w:after="90"/>
      </w:pPr>
      <w:r>
        <w:rPr>
          <w:rFonts w:ascii="Calibri" w:cs="Calibri" w:eastAsia="Calibri" w:hAnsi="Calibri"/>
          <w:i w:val="false"/>
          <w:iCs w:val="false"/>
          <w:color w:val="24303F"/>
          <w:sz w:val="20"/>
          <w:szCs w:val="20"/>
        </w:rPr>
        <w:t xml:space="preserve">The plan is to consolidate the cluster into a clear hub-and-spoke, fix the handful of pages that carry most of the demand, retire the content that pulls the wrong audience, and point the whole cluster at the pages that sell. This is largely reorganisation and rewriting, not net-new production.</w:t>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2340"/>
        <w:gridCol w:w="2340"/>
        <w:gridCol w:w="2340"/>
        <w:gridCol w:w="2340"/>
      </w:tblGrid>
      <w:tr>
        <w:tc>
          <w:tcPr>
            <w:tcW w:type="dxa" w:w="2340"/>
            <w:tcBorders>
              <w:top w:val="single" w:color="D9DEE8" w:sz="4"/>
              <w:left w:val="single" w:color="D9DEE8" w:sz="4"/>
              <w:bottom w:val="single" w:color="D9DEE8" w:sz="4"/>
              <w:right w:val="single" w:color="D9DEE8" w:sz="4"/>
            </w:tcBorders>
            <w:shd w:fill="F7F8FA" w:color="auto" w:val="clear"/>
            <w:tcMar>
              <w:top w:type="dxa" w:w="100"/>
              <w:left w:type="dxa" w:w="80"/>
              <w:bottom w:type="dxa" w:w="100"/>
              <w:right w:type="dxa" w:w="80"/>
            </w:tcMar>
          </w:tcPr>
          <w:p>
            <w:pPr>
              <w:spacing w:after="20"/>
              <w:jc w:val="center"/>
            </w:pPr>
            <w:r>
              <w:rPr>
                <w:rFonts w:ascii="Georgia" w:cs="Georgia" w:eastAsia="Georgia" w:hAnsi="Georgia"/>
                <w:b/>
                <w:bCs/>
                <w:color w:val="16223C"/>
                <w:sz w:val="32"/>
                <w:szCs w:val="32"/>
              </w:rPr>
              <w:t xml:space="preserve">~130</w:t>
            </w:r>
          </w:p>
          <w:p>
            <w:pPr>
              <w:jc w:val="center"/>
            </w:pPr>
            <w:r>
              <w:rPr>
                <w:rFonts w:ascii="Calibri" w:cs="Calibri" w:eastAsia="Calibri" w:hAnsi="Calibri"/>
                <w:color w:val="5A6675"/>
                <w:sz w:val="15"/>
                <w:szCs w:val="15"/>
              </w:rPr>
              <w:t xml:space="preserve">white-label pages</w:t>
            </w:r>
          </w:p>
        </w:tc>
        <w:tc>
          <w:tcPr>
            <w:tcW w:type="dxa" w:w="2340"/>
            <w:tcBorders>
              <w:top w:val="single" w:color="D9DEE8" w:sz="4"/>
              <w:left w:val="single" w:color="D9DEE8" w:sz="4"/>
              <w:bottom w:val="single" w:color="D9DEE8" w:sz="4"/>
              <w:right w:val="single" w:color="D9DEE8" w:sz="4"/>
            </w:tcBorders>
            <w:shd w:fill="F7F8FA" w:color="auto" w:val="clear"/>
            <w:tcMar>
              <w:top w:type="dxa" w:w="100"/>
              <w:left w:type="dxa" w:w="80"/>
              <w:bottom w:type="dxa" w:w="100"/>
              <w:right w:type="dxa" w:w="80"/>
            </w:tcMar>
          </w:tcPr>
          <w:p>
            <w:pPr>
              <w:spacing w:after="20"/>
              <w:jc w:val="center"/>
            </w:pPr>
            <w:r>
              <w:rPr>
                <w:rFonts w:ascii="Georgia" w:cs="Georgia" w:eastAsia="Georgia" w:hAnsi="Georgia"/>
                <w:b/>
                <w:bCs/>
                <w:color w:val="16223C"/>
                <w:sz w:val="32"/>
                <w:szCs w:val="32"/>
              </w:rPr>
              <w:t xml:space="preserve">40%</w:t>
            </w:r>
          </w:p>
          <w:p>
            <w:pPr>
              <w:jc w:val="center"/>
            </w:pPr>
            <w:r>
              <w:rPr>
                <w:rFonts w:ascii="Calibri" w:cs="Calibri" w:eastAsia="Calibri" w:hAnsi="Calibri"/>
                <w:color w:val="5A6675"/>
                <w:sz w:val="15"/>
                <w:szCs w:val="15"/>
              </w:rPr>
              <w:t xml:space="preserve">of all site impressions</w:t>
            </w:r>
          </w:p>
        </w:tc>
        <w:tc>
          <w:tcPr>
            <w:tcW w:type="dxa" w:w="2340"/>
            <w:tcBorders>
              <w:top w:val="single" w:color="D9DEE8" w:sz="4"/>
              <w:left w:val="single" w:color="D9DEE8" w:sz="4"/>
              <w:bottom w:val="single" w:color="D9DEE8" w:sz="4"/>
              <w:right w:val="single" w:color="D9DEE8" w:sz="4"/>
            </w:tcBorders>
            <w:shd w:fill="F7F8FA" w:color="auto" w:val="clear"/>
            <w:tcMar>
              <w:top w:type="dxa" w:w="100"/>
              <w:left w:type="dxa" w:w="80"/>
              <w:bottom w:type="dxa" w:w="100"/>
              <w:right w:type="dxa" w:w="80"/>
            </w:tcMar>
          </w:tcPr>
          <w:p>
            <w:pPr>
              <w:spacing w:after="20"/>
              <w:jc w:val="center"/>
            </w:pPr>
            <w:r>
              <w:rPr>
                <w:rFonts w:ascii="Georgia" w:cs="Georgia" w:eastAsia="Georgia" w:hAnsi="Georgia"/>
                <w:b/>
                <w:bCs/>
                <w:color w:val="16223C"/>
                <w:sz w:val="32"/>
                <w:szCs w:val="32"/>
              </w:rPr>
              <w:t xml:space="preserve">0.27%</w:t>
            </w:r>
          </w:p>
          <w:p>
            <w:pPr>
              <w:jc w:val="center"/>
            </w:pPr>
            <w:r>
              <w:rPr>
                <w:rFonts w:ascii="Calibri" w:cs="Calibri" w:eastAsia="Calibri" w:hAnsi="Calibri"/>
                <w:color w:val="5A6675"/>
                <w:sz w:val="15"/>
                <w:szCs w:val="15"/>
              </w:rPr>
              <w:t xml:space="preserve">cluster click-through rate</w:t>
            </w:r>
          </w:p>
        </w:tc>
        <w:tc>
          <w:tcPr>
            <w:tcW w:type="dxa" w:w="2340"/>
            <w:tcBorders>
              <w:top w:val="single" w:color="D9DEE8" w:sz="4"/>
              <w:left w:val="single" w:color="D9DEE8" w:sz="4"/>
              <w:bottom w:val="single" w:color="D9DEE8" w:sz="4"/>
              <w:right w:val="single" w:color="D9DEE8" w:sz="4"/>
            </w:tcBorders>
            <w:shd w:fill="F7F8FA" w:color="auto" w:val="clear"/>
            <w:tcMar>
              <w:top w:type="dxa" w:w="100"/>
              <w:left w:type="dxa" w:w="80"/>
              <w:bottom w:type="dxa" w:w="100"/>
              <w:right w:type="dxa" w:w="80"/>
            </w:tcMar>
          </w:tcPr>
          <w:p>
            <w:pPr>
              <w:spacing w:after="20"/>
              <w:jc w:val="center"/>
            </w:pPr>
            <w:r>
              <w:rPr>
                <w:rFonts w:ascii="Georgia" w:cs="Georgia" w:eastAsia="Georgia" w:hAnsi="Georgia"/>
                <w:b/>
                <w:bCs/>
                <w:color w:val="16223C"/>
                <w:sz w:val="32"/>
                <w:szCs w:val="32"/>
              </w:rPr>
              <w:t xml:space="preserve">pos 27</w:t>
            </w:r>
          </w:p>
          <w:p>
            <w:pPr>
              <w:jc w:val="center"/>
            </w:pPr>
            <w:r>
              <w:rPr>
                <w:rFonts w:ascii="Calibri" w:cs="Calibri" w:eastAsia="Calibri" w:hAnsi="Calibri"/>
                <w:color w:val="5A6675"/>
                <w:sz w:val="15"/>
                <w:szCs w:val="15"/>
              </w:rPr>
              <w:t xml:space="preserve">hub rank for the head term</w:t>
            </w:r>
          </w:p>
        </w:tc>
      </w:tr>
    </w:tbl>
    <w:p>
      <w:pPr>
        <w:pBdr>
          <w:bottom w:val="single" w:color="D9DEE8" w:sz="6"/>
        </w:pBdr>
        <w:spacing w:after="130" w:before="130"/>
      </w:pPr>
      <w:r>
        <w:t xml:space="preserve"/>
      </w:r>
    </w:p>
    <w:p>
      <w:pPr>
        <w:spacing w:after="60" w:before="60"/>
      </w:pPr>
      <w:r>
        <w:rPr>
          <w:rFonts w:ascii="Georgia" w:cs="Georgia" w:eastAsia="Georgia" w:hAnsi="Georgia"/>
          <w:b/>
          <w:bCs/>
          <w:color w:val="16223C"/>
          <w:sz w:val="26"/>
          <w:szCs w:val="26"/>
        </w:rPr>
        <w:t xml:space="preserve">2 · Where we are today</w:t>
      </w:r>
    </w:p>
    <w:p>
      <w:pPr>
        <w:spacing w:after="90"/>
      </w:pPr>
      <w:r>
        <w:rPr>
          <w:rFonts w:ascii="Calibri" w:cs="Calibri" w:eastAsia="Calibri" w:hAnsi="Calibri"/>
          <w:i w:val="false"/>
          <w:iCs w:val="false"/>
          <w:color w:val="24303F"/>
          <w:sz w:val="20"/>
          <w:szCs w:val="20"/>
        </w:rPr>
        <w:t xml:space="preserve">The white-label cluster accounts for about 40% of all search impressions the site earns, yet returns a fraction of the clicks. Demand is clearly there; the site is failing to capture it.</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4600"/>
        <w:gridCol w:w="4760"/>
      </w:tblGrid>
      <w:tr>
        <w:trPr>
          <w:tblHeader/>
        </w:trPr>
        <w:tc>
          <w:tcPr>
            <w:tcW w:type="dxa" w:w="4600"/>
            <w:tcBorders>
              <w:top w:val="single" w:color="D9DEE8" w:sz="4"/>
              <w:left w:val="single" w:color="D9DEE8" w:sz="4"/>
              <w:bottom w:val="single" w:color="D9DEE8" w:sz="4"/>
              <w:right w:val="single" w:color="D9DEE8" w:sz="4"/>
            </w:tcBorders>
            <w:shd w:fill="16223C" w:color="auto" w:val="clear"/>
            <w:tcMar>
              <w:top w:type="dxa" w:w="70"/>
              <w:left w:type="dxa" w:w="110"/>
              <w:bottom w:type="dxa" w:w="70"/>
              <w:right w:type="dxa" w:w="110"/>
            </w:tcMar>
          </w:tcPr>
          <w:p>
            <w:pPr>
              <w:spacing w:after="0" w:line="250"/>
            </w:pPr>
            <w:r>
              <w:rPr>
                <w:rFonts w:ascii="Calibri" w:cs="Calibri" w:eastAsia="Calibri" w:hAnsi="Calibri"/>
                <w:b/>
                <w:bCs/>
                <w:color w:val="FFFFFF"/>
                <w:sz w:val="16"/>
                <w:szCs w:val="16"/>
              </w:rPr>
              <w:t xml:space="preserve">What exists</w:t>
            </w:r>
          </w:p>
        </w:tc>
        <w:tc>
          <w:tcPr>
            <w:tcW w:type="dxa" w:w="4760"/>
            <w:tcBorders>
              <w:top w:val="single" w:color="D9DEE8" w:sz="4"/>
              <w:left w:val="single" w:color="D9DEE8" w:sz="4"/>
              <w:bottom w:val="single" w:color="D9DEE8" w:sz="4"/>
              <w:right w:val="single" w:color="D9DEE8" w:sz="4"/>
            </w:tcBorders>
            <w:shd w:fill="16223C" w:color="auto" w:val="clear"/>
            <w:tcMar>
              <w:top w:type="dxa" w:w="70"/>
              <w:left w:type="dxa" w:w="110"/>
              <w:bottom w:type="dxa" w:w="70"/>
              <w:right w:type="dxa" w:w="110"/>
            </w:tcMar>
          </w:tcPr>
          <w:p>
            <w:pPr>
              <w:spacing w:after="0" w:line="250"/>
            </w:pPr>
            <w:r>
              <w:rPr>
                <w:rFonts w:ascii="Calibri" w:cs="Calibri" w:eastAsia="Calibri" w:hAnsi="Calibri"/>
                <w:b/>
                <w:bCs/>
                <w:color w:val="FFFFFF"/>
                <w:sz w:val="16"/>
                <w:szCs w:val="16"/>
              </w:rPr>
              <w:t xml:space="preserve">Reality</w:t>
            </w:r>
          </w:p>
        </w:tc>
      </w:tr>
      <w:tr>
        <w:tc>
          <w:tcPr>
            <w:tcW w:type="dxa" w:w="4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Money pages</w:t>
            </w:r>
          </w:p>
          <w:p>
            <w:pPr>
              <w:spacing w:after="0" w:line="250"/>
            </w:pPr>
            <w:r>
              <w:rPr>
                <w:rFonts w:ascii="Calibri" w:cs="Calibri" w:eastAsia="Calibri" w:hAnsi="Calibri"/>
                <w:b w:val="false"/>
                <w:bCs w:val="false"/>
                <w:color w:val="24303F"/>
                <w:sz w:val="15"/>
                <w:szCs w:val="15"/>
              </w:rPr>
              <w:t xml:space="preserve">/whitelabel, /whitelabel/pricing, /partners</w:t>
            </w:r>
          </w:p>
        </w:tc>
        <w:tc>
          <w:tcPr>
            <w:tcW w:type="dxa" w:w="47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Live, but rank almost only for branded searches. For non-brand head terms they sit on page 2-3.</w:t>
            </w:r>
          </w:p>
        </w:tc>
      </w:tr>
      <w:tr>
        <w:tc>
          <w:tcPr>
            <w:tcW w:type="dxa" w:w="4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~130 blog / resource pages</w:t>
            </w:r>
          </w:p>
        </w:tc>
        <w:tc>
          <w:tcPr>
            <w:tcW w:type="dxa" w:w="47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Comprehensive coverage of every sub-topic — but flat, unstructured, and frequently overlapping.</w:t>
            </w:r>
          </w:p>
        </w:tc>
      </w:tr>
      <w:tr>
        <w:tc>
          <w:tcPr>
            <w:tcW w:type="dxa" w:w="4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Head-term visibility</w:t>
            </w:r>
          </w:p>
        </w:tc>
        <w:tc>
          <w:tcPr>
            <w:tcW w:type="dxa" w:w="47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Terms like "white label voice ai" and "white label ai voice agent" are split across 8-13 different Trillet URLs; none reach the top of page 1.</w:t>
            </w:r>
          </w:p>
        </w:tc>
      </w:tr>
      <w:tr>
        <w:tc>
          <w:tcPr>
            <w:tcW w:type="dxa" w:w="4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The one clear winner</w:t>
            </w:r>
          </w:p>
        </w:tc>
        <w:tc>
          <w:tcPr>
            <w:tcW w:type="dxa" w:w="47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The white-label AI receptionist content already ranks around position 6 and converts well above the rest of the cluster.</w:t>
            </w:r>
          </w:p>
        </w:tc>
      </w:tr>
    </w:tbl>
    <w:p>
      <w:pPr>
        <w:pBdr>
          <w:bottom w:val="single" w:color="D9DEE8" w:sz="6"/>
        </w:pBdr>
        <w:spacing w:after="130" w:before="130"/>
      </w:pPr>
      <w:r>
        <w:t xml:space="preserve"/>
      </w:r>
    </w:p>
    <w:p>
      <w:pPr>
        <w:spacing w:after="60" w:before="60"/>
      </w:pPr>
      <w:r>
        <w:rPr>
          <w:rFonts w:ascii="Georgia" w:cs="Georgia" w:eastAsia="Georgia" w:hAnsi="Georgia"/>
          <w:b/>
          <w:bCs/>
          <w:color w:val="16223C"/>
          <w:sz w:val="26"/>
          <w:szCs w:val="26"/>
        </w:rPr>
        <w:t xml:space="preserve">3 · Why the current shape is the problem</w:t>
      </w:r>
    </w:p>
    <w:p>
      <w:pPr>
        <w:spacing w:after="20" w:before="70"/>
      </w:pPr>
      <w:r>
        <w:rPr>
          <w:rFonts w:ascii="Calibri" w:cs="Calibri" w:eastAsia="Calibri" w:hAnsi="Calibri"/>
          <w:b/>
          <w:bCs/>
          <w:color w:val="16223C"/>
          <w:sz w:val="20"/>
          <w:szCs w:val="20"/>
        </w:rPr>
        <w:t xml:space="preserve">Pages compete with each other (cannibalisation)</w:t>
      </w:r>
    </w:p>
    <w:p>
      <w:pPr>
        <w:spacing w:after="90"/>
      </w:pPr>
      <w:r>
        <w:rPr>
          <w:rFonts w:ascii="Calibri" w:cs="Calibri" w:eastAsia="Calibri" w:hAnsi="Calibri"/>
          <w:i w:val="false"/>
          <w:iCs w:val="false"/>
          <w:color w:val="5A6675"/>
          <w:sz w:val="20"/>
          <w:szCs w:val="20"/>
        </w:rPr>
        <w:t xml:space="preserve">The most valuable searches are spread across many near-identical pages, so search engines can't decide which to rank and none rank strongly. The main white-label page draws over 800 impressions for a single head term while stranded on page 3.</w:t>
      </w:r>
    </w:p>
    <w:p>
      <w:pPr>
        <w:spacing w:after="20" w:before="70"/>
      </w:pPr>
      <w:r>
        <w:rPr>
          <w:rFonts w:ascii="Calibri" w:cs="Calibri" w:eastAsia="Calibri" w:hAnsi="Calibri"/>
          <w:b/>
          <w:bCs/>
          <w:color w:val="16223C"/>
          <w:sz w:val="20"/>
          <w:szCs w:val="20"/>
        </w:rPr>
        <w:t xml:space="preserve">Duplicate content for the same need</w:t>
      </w:r>
    </w:p>
    <w:p>
      <w:pPr>
        <w:spacing w:after="90"/>
      </w:pPr>
      <w:r>
        <w:rPr>
          <w:rFonts w:ascii="Calibri" w:cs="Calibri" w:eastAsia="Calibri" w:hAnsi="Calibri"/>
          <w:i w:val="false"/>
          <w:iCs w:val="false"/>
          <w:color w:val="5A6675"/>
          <w:sz w:val="20"/>
          <w:szCs w:val="20"/>
        </w:rPr>
        <w:t xml:space="preserve">Multiple pages target one intent — three separate white-label pricing pages, four "best/top white-label" round-ups, two profit-margin pages, and two or three pages for several individual competitors. Effort is divided instead of compounded.</w:t>
      </w:r>
    </w:p>
    <w:p>
      <w:pPr>
        <w:spacing w:after="20" w:before="70"/>
      </w:pPr>
      <w:r>
        <w:rPr>
          <w:rFonts w:ascii="Calibri" w:cs="Calibri" w:eastAsia="Calibri" w:hAnsi="Calibri"/>
          <w:b/>
          <w:bCs/>
          <w:color w:val="16223C"/>
          <w:sz w:val="20"/>
          <w:szCs w:val="20"/>
        </w:rPr>
        <w:t xml:space="preserve">High visibility, almost no clicks</w:t>
      </w:r>
    </w:p>
    <w:p>
      <w:pPr>
        <w:spacing w:after="90"/>
      </w:pPr>
      <w:r>
        <w:rPr>
          <w:rFonts w:ascii="Calibri" w:cs="Calibri" w:eastAsia="Calibri" w:hAnsi="Calibri"/>
          <w:i w:val="false"/>
          <w:iCs w:val="false"/>
          <w:color w:val="5A6675"/>
          <w:sz w:val="20"/>
          <w:szCs w:val="20"/>
        </w:rPr>
        <w:t xml:space="preserve">Several pages rank on page 1 yet earn next to nothing because the title and description don't match what the searcher typed. The clearest case: a pricing page seen 42,000 times in 16 months with a click-through rate near zero.</w:t>
      </w:r>
    </w:p>
    <w:p>
      <w:pPr>
        <w:spacing w:after="20" w:before="70"/>
      </w:pPr>
      <w:r>
        <w:rPr>
          <w:rFonts w:ascii="Calibri" w:cs="Calibri" w:eastAsia="Calibri" w:hAnsi="Calibri"/>
          <w:b/>
          <w:bCs/>
          <w:color w:val="16223C"/>
          <w:sz w:val="20"/>
          <w:szCs w:val="20"/>
        </w:rPr>
        <w:t xml:space="preserve">Content that pulls the wrong audience</w:t>
      </w:r>
    </w:p>
    <w:p>
      <w:pPr>
        <w:spacing w:after="90"/>
      </w:pPr>
      <w:r>
        <w:rPr>
          <w:rFonts w:ascii="Calibri" w:cs="Calibri" w:eastAsia="Calibri" w:hAnsi="Calibri"/>
          <w:i w:val="false"/>
          <w:iCs w:val="false"/>
          <w:color w:val="5A6675"/>
          <w:sz w:val="20"/>
          <w:szCs w:val="20"/>
        </w:rPr>
        <w:t xml:space="preserve">A cluster of "chatbot" pages attracts sizeable demand that a voice-first product cannot satisfy. The traffic is real but structurally unconvertible, and the framing dilutes what Trillet actually is.</w:t>
      </w:r>
    </w:p>
    <w:p>
      <w:pPr>
        <w:spacing w:after="20" w:before="70"/>
      </w:pPr>
      <w:r>
        <w:rPr>
          <w:rFonts w:ascii="Calibri" w:cs="Calibri" w:eastAsia="Calibri" w:hAnsi="Calibri"/>
          <w:b/>
          <w:bCs/>
          <w:color w:val="16223C"/>
          <w:sz w:val="20"/>
          <w:szCs w:val="20"/>
        </w:rPr>
        <w:t xml:space="preserve">No structure to carry authority to the sale</w:t>
      </w:r>
    </w:p>
    <w:p>
      <w:pPr>
        <w:spacing w:after="90"/>
      </w:pPr>
      <w:r>
        <w:rPr>
          <w:rFonts w:ascii="Calibri" w:cs="Calibri" w:eastAsia="Calibri" w:hAnsi="Calibri"/>
          <w:i w:val="false"/>
          <w:iCs w:val="false"/>
          <w:color w:val="5A6675"/>
          <w:sz w:val="20"/>
          <w:szCs w:val="20"/>
        </w:rPr>
        <w:t xml:space="preserve">The pages sit as a flat list of posts with weak links to the pages that actually sell, so authority earned by the content never flows to /whitelabel or /partners.</w:t>
      </w:r>
    </w:p>
    <w:p>
      <w:pPr>
        <w:pBdr>
          <w:bottom w:val="single" w:color="D9DEE8" w:sz="6"/>
        </w:pBdr>
        <w:spacing w:after="130" w:before="130"/>
      </w:pPr>
      <w:r>
        <w:t xml:space="preserve"/>
      </w:r>
    </w:p>
    <w:p>
      <w:pPr>
        <w:spacing w:after="60" w:before="60"/>
      </w:pPr>
      <w:r>
        <w:rPr>
          <w:rFonts w:ascii="Georgia" w:cs="Georgia" w:eastAsia="Georgia" w:hAnsi="Georgia"/>
          <w:b/>
          <w:bCs/>
          <w:color w:val="16223C"/>
          <w:sz w:val="26"/>
          <w:szCs w:val="26"/>
        </w:rPr>
        <w:t xml:space="preserve">4 · What we're going to do</w:t>
      </w:r>
    </w:p>
    <w:p>
      <w:pPr>
        <w:spacing w:after="90"/>
      </w:pPr>
      <w:r>
        <w:rPr>
          <w:rFonts w:ascii="Calibri" w:cs="Calibri" w:eastAsia="Calibri" w:hAnsi="Calibri"/>
          <w:i w:val="false"/>
          <w:iCs w:val="false"/>
          <w:color w:val="24303F"/>
          <w:sz w:val="20"/>
          <w:szCs w:val="20"/>
        </w:rPr>
        <w:t xml:space="preserve">Reshape the whole cluster into a hub-and-spoke: one clear page owns each search intent, supporting pages link up to it, and every path leads to the pages that sell. Six pillars organise the cluster:</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2700"/>
        <w:gridCol w:w="4100"/>
        <w:gridCol w:w="2560"/>
      </w:tblGrid>
      <w:tr>
        <w:trPr>
          <w:tblHeader/>
        </w:trPr>
        <w:tc>
          <w:tcPr>
            <w:tcW w:type="dxa" w:w="2700"/>
            <w:tcBorders>
              <w:top w:val="single" w:color="D9DEE8" w:sz="4"/>
              <w:left w:val="single" w:color="D9DEE8" w:sz="4"/>
              <w:bottom w:val="single" w:color="D9DEE8" w:sz="4"/>
              <w:right w:val="single" w:color="D9DEE8" w:sz="4"/>
            </w:tcBorders>
            <w:shd w:fill="16223C" w:color="auto" w:val="clear"/>
            <w:tcMar>
              <w:top w:type="dxa" w:w="70"/>
              <w:left w:type="dxa" w:w="110"/>
              <w:bottom w:type="dxa" w:w="70"/>
              <w:right w:type="dxa" w:w="110"/>
            </w:tcMar>
          </w:tcPr>
          <w:p>
            <w:pPr>
              <w:spacing w:after="0" w:line="250"/>
            </w:pPr>
            <w:r>
              <w:rPr>
                <w:rFonts w:ascii="Calibri" w:cs="Calibri" w:eastAsia="Calibri" w:hAnsi="Calibri"/>
                <w:b/>
                <w:bCs/>
                <w:color w:val="FFFFFF"/>
                <w:sz w:val="16"/>
                <w:szCs w:val="16"/>
              </w:rPr>
              <w:t xml:space="preserve">Pillar (hub)</w:t>
            </w:r>
          </w:p>
        </w:tc>
        <w:tc>
          <w:tcPr>
            <w:tcW w:type="dxa" w:w="4100"/>
            <w:tcBorders>
              <w:top w:val="single" w:color="D9DEE8" w:sz="4"/>
              <w:left w:val="single" w:color="D9DEE8" w:sz="4"/>
              <w:bottom w:val="single" w:color="D9DEE8" w:sz="4"/>
              <w:right w:val="single" w:color="D9DEE8" w:sz="4"/>
            </w:tcBorders>
            <w:shd w:fill="16223C" w:color="auto" w:val="clear"/>
            <w:tcMar>
              <w:top w:type="dxa" w:w="70"/>
              <w:left w:type="dxa" w:w="110"/>
              <w:bottom w:type="dxa" w:w="70"/>
              <w:right w:type="dxa" w:w="110"/>
            </w:tcMar>
          </w:tcPr>
          <w:p>
            <w:pPr>
              <w:spacing w:after="0" w:line="250"/>
            </w:pPr>
            <w:r>
              <w:rPr>
                <w:rFonts w:ascii="Calibri" w:cs="Calibri" w:eastAsia="Calibri" w:hAnsi="Calibri"/>
                <w:b/>
                <w:bCs/>
                <w:color w:val="FFFFFF"/>
                <w:sz w:val="16"/>
                <w:szCs w:val="16"/>
              </w:rPr>
              <w:t xml:space="preserve">Owns</w:t>
            </w:r>
          </w:p>
        </w:tc>
        <w:tc>
          <w:tcPr>
            <w:tcW w:type="dxa" w:w="2560"/>
            <w:tcBorders>
              <w:top w:val="single" w:color="D9DEE8" w:sz="4"/>
              <w:left w:val="single" w:color="D9DEE8" w:sz="4"/>
              <w:bottom w:val="single" w:color="D9DEE8" w:sz="4"/>
              <w:right w:val="single" w:color="D9DEE8" w:sz="4"/>
            </w:tcBorders>
            <w:shd w:fill="16223C" w:color="auto" w:val="clear"/>
            <w:tcMar>
              <w:top w:type="dxa" w:w="70"/>
              <w:left w:type="dxa" w:w="110"/>
              <w:bottom w:type="dxa" w:w="70"/>
              <w:right w:type="dxa" w:w="110"/>
            </w:tcMar>
          </w:tcPr>
          <w:p>
            <w:pPr>
              <w:spacing w:after="0" w:line="250"/>
            </w:pPr>
            <w:r>
              <w:rPr>
                <w:rFonts w:ascii="Calibri" w:cs="Calibri" w:eastAsia="Calibri" w:hAnsi="Calibri"/>
                <w:b/>
                <w:bCs/>
                <w:color w:val="FFFFFF"/>
                <w:sz w:val="16"/>
                <w:szCs w:val="16"/>
              </w:rPr>
              <w:t xml:space="preserve">Role</w:t>
            </w:r>
          </w:p>
        </w:tc>
      </w:tr>
      <w:tr>
        <w:tc>
          <w:tcPr>
            <w:tcW w:type="dxa" w:w="27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White-label platform</w:t>
            </w:r>
          </w:p>
          <w:p>
            <w:pPr>
              <w:spacing w:after="0" w:line="250"/>
            </w:pPr>
            <w:r>
              <w:rPr>
                <w:rFonts w:ascii="Calibri" w:cs="Calibri" w:eastAsia="Calibri" w:hAnsi="Calibri"/>
                <w:b w:val="false"/>
                <w:bCs w:val="false"/>
                <w:color w:val="24303F"/>
                <w:sz w:val="15"/>
                <w:szCs w:val="15"/>
              </w:rPr>
              <w:t xml:space="preserve">/whitelabel</w:t>
            </w:r>
          </w:p>
        </w:tc>
        <w:tc>
          <w:tcPr>
            <w:tcW w:type="dxa" w:w="41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"white label voice ai", "ai voice agent white label", "white label ai platform"</w:t>
            </w:r>
          </w:p>
        </w:tc>
        <w:tc>
          <w:tcPr>
            <w:tcW w:type="dxa" w:w="25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The commercial home. Everything links here.</w:t>
            </w:r>
          </w:p>
        </w:tc>
      </w:tr>
      <w:tr>
        <w:tc>
          <w:tcPr>
            <w:tcW w:type="dxa" w:w="27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AI receptionist</w:t>
            </w:r>
          </w:p>
        </w:tc>
        <w:tc>
          <w:tcPr>
            <w:tcW w:type="dxa" w:w="41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"white label ai receptionist" and variants</w:t>
            </w:r>
          </w:p>
        </w:tc>
        <w:tc>
          <w:tcPr>
            <w:tcW w:type="dxa" w:w="25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The proven converter — protect and expand it.</w:t>
            </w:r>
          </w:p>
        </w:tc>
      </w:tr>
      <w:tr>
        <w:tc>
          <w:tcPr>
            <w:tcW w:type="dxa" w:w="27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Agency growth</w:t>
            </w:r>
          </w:p>
        </w:tc>
        <w:tc>
          <w:tcPr>
            <w:tcW w:type="dxa" w:w="41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how to start, price, scale and run a voice-AI agency</w:t>
            </w:r>
          </w:p>
        </w:tc>
        <w:tc>
          <w:tcPr>
            <w:tcW w:type="dxa" w:w="25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Turns founders into customers; feeds the partner program.</w:t>
            </w:r>
          </w:p>
        </w:tc>
      </w:tr>
      <w:tr>
        <w:tc>
          <w:tcPr>
            <w:tcW w:type="dxa" w:w="27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Compare &amp; alternatives</w:t>
            </w:r>
          </w:p>
        </w:tc>
        <w:tc>
          <w:tcPr>
            <w:tcW w:type="dxa" w:w="41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competitor and "vs" searches</w:t>
            </w:r>
          </w:p>
        </w:tc>
        <w:tc>
          <w:tcPr>
            <w:tcW w:type="dxa" w:w="25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Intercepts buyers already shopping.</w:t>
            </w:r>
          </w:p>
        </w:tc>
      </w:tr>
      <w:tr>
        <w:tc>
          <w:tcPr>
            <w:tcW w:type="dxa" w:w="27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Pricing &amp; economics</w:t>
            </w:r>
          </w:p>
        </w:tc>
        <w:tc>
          <w:tcPr>
            <w:tcW w:type="dxa" w:w="41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pricing, margins, ROI</w:t>
            </w:r>
          </w:p>
        </w:tc>
        <w:tc>
          <w:tcPr>
            <w:tcW w:type="dxa" w:w="25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Answers the money question; links to the pricing page.</w:t>
            </w:r>
          </w:p>
        </w:tc>
      </w:tr>
      <w:tr>
        <w:tc>
          <w:tcPr>
            <w:tcW w:type="dxa" w:w="27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Integrations</w:t>
            </w:r>
          </w:p>
        </w:tc>
        <w:tc>
          <w:tcPr>
            <w:tcW w:type="dxa" w:w="41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GoHighLevel, CRM, telephony, billing</w:t>
            </w:r>
          </w:p>
        </w:tc>
        <w:tc>
          <w:tcPr>
            <w:tcW w:type="dxa" w:w="25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Shows it fits the tools agencies already run.</w:t>
            </w:r>
          </w:p>
        </w:tc>
      </w:tr>
    </w:tbl>
    <w:p>
      <w:pPr>
        <w:pBdr>
          <w:bottom w:val="single" w:color="D9DEE8" w:sz="6"/>
        </w:pBdr>
        <w:spacing w:after="130" w:before="130"/>
      </w:pPr>
      <w:r>
        <w:t xml:space="preserve"/>
      </w:r>
    </w:p>
    <w:p>
      <w:pPr>
        <w:spacing w:after="60" w:before="60"/>
      </w:pPr>
      <w:r>
        <w:rPr>
          <w:rFonts w:ascii="Georgia" w:cs="Georgia" w:eastAsia="Georgia" w:hAnsi="Georgia"/>
          <w:b/>
          <w:bCs/>
          <w:color w:val="16223C"/>
          <w:sz w:val="26"/>
          <w:szCs w:val="26"/>
        </w:rPr>
        <w:t xml:space="preserve">5 · The workstreams</w:t>
      </w:r>
    </w:p>
    <w:p>
      <w:pPr>
        <w:spacing w:after="20" w:before="70"/>
      </w:pPr>
      <w:r>
        <w:rPr>
          <w:rFonts w:ascii="Calibri" w:cs="Calibri" w:eastAsia="Calibri" w:hAnsi="Calibri"/>
          <w:b/>
          <w:bCs/>
          <w:color w:val="16223C"/>
          <w:sz w:val="20"/>
          <w:szCs w:val="20"/>
        </w:rPr>
        <w:t xml:space="preserve">A. Consolidate the duplicates</w:t>
      </w:r>
    </w:p>
    <w:p>
      <w:pPr>
        <w:pStyle w:val="ListParagraph"/>
        <w:numPr>
          <w:ilvl w:val="0"/>
          <w:numId w:val="1"/>
        </w:numPr>
        <w:spacing w:after="40"/>
      </w:pPr>
      <w:r>
        <w:rPr>
          <w:rFonts w:ascii="Calibri" w:cs="Calibri" w:eastAsia="Calibri" w:hAnsi="Calibri"/>
          <w:b w:val="false"/>
          <w:bCs w:val="false"/>
          <w:color w:val="24303F"/>
          <w:sz w:val="19"/>
          <w:szCs w:val="19"/>
        </w:rPr>
        <w:t xml:space="preserve">Pick one canonical page per intent; fold the overlapping pages into it and redirect the rest so their value transfers rather than competes.</w:t>
      </w:r>
    </w:p>
    <w:p>
      <w:pPr>
        <w:pStyle w:val="ListParagraph"/>
        <w:numPr>
          <w:ilvl w:val="0"/>
          <w:numId w:val="1"/>
        </w:numPr>
        <w:spacing w:after="40"/>
      </w:pPr>
      <w:r>
        <w:rPr>
          <w:rFonts w:ascii="Calibri" w:cs="Calibri" w:eastAsia="Calibri" w:hAnsi="Calibri"/>
          <w:b w:val="false"/>
          <w:bCs w:val="false"/>
          <w:color w:val="24303F"/>
          <w:sz w:val="19"/>
          <w:szCs w:val="19"/>
        </w:rPr>
        <w:t xml:space="preserve">Around 30 pages consolidate this way. The rest are kept as distinct, supporting pages.</w:t>
      </w:r>
    </w:p>
    <w:p>
      <w:pPr>
        <w:spacing w:after="20" w:before="70"/>
      </w:pPr>
      <w:r>
        <w:rPr>
          <w:rFonts w:ascii="Calibri" w:cs="Calibri" w:eastAsia="Calibri" w:hAnsi="Calibri"/>
          <w:b/>
          <w:bCs/>
          <w:color w:val="16223C"/>
          <w:sz w:val="20"/>
          <w:szCs w:val="20"/>
        </w:rPr>
        <w:t xml:space="preserve">B. Rebuild the hub and end the head-term split</w:t>
      </w:r>
    </w:p>
    <w:p>
      <w:pPr>
        <w:pStyle w:val="ListParagraph"/>
        <w:numPr>
          <w:ilvl w:val="0"/>
          <w:numId w:val="1"/>
        </w:numPr>
        <w:spacing w:after="40"/>
      </w:pPr>
      <w:r>
        <w:rPr>
          <w:rFonts w:ascii="Calibri" w:cs="Calibri" w:eastAsia="Calibri" w:hAnsi="Calibri"/>
          <w:b w:val="false"/>
          <w:bCs w:val="false"/>
          <w:color w:val="24303F"/>
          <w:sz w:val="19"/>
          <w:szCs w:val="19"/>
        </w:rPr>
        <w:t xml:space="preserve">Rebuild /whitelabel as the clear commercial pillar, and link the supporting pages up to it so the head-term signal consolidates onto one strong page instead of a dozen weak ones.</w:t>
      </w:r>
    </w:p>
    <w:p>
      <w:pPr>
        <w:spacing w:after="20" w:before="70"/>
      </w:pPr>
      <w:r>
        <w:rPr>
          <w:rFonts w:ascii="Calibri" w:cs="Calibri" w:eastAsia="Calibri" w:hAnsi="Calibri"/>
          <w:b/>
          <w:bCs/>
          <w:color w:val="16223C"/>
          <w:sz w:val="20"/>
          <w:szCs w:val="20"/>
        </w:rPr>
        <w:t xml:space="preserve">C. Rescue the click-through rate</w:t>
      </w:r>
    </w:p>
    <w:p>
      <w:pPr>
        <w:pStyle w:val="ListParagraph"/>
        <w:numPr>
          <w:ilvl w:val="0"/>
          <w:numId w:val="1"/>
        </w:numPr>
        <w:spacing w:after="40"/>
      </w:pPr>
      <w:r>
        <w:rPr>
          <w:rFonts w:ascii="Calibri" w:cs="Calibri" w:eastAsia="Calibri" w:hAnsi="Calibri"/>
          <w:b w:val="false"/>
          <w:bCs w:val="false"/>
          <w:color w:val="24303F"/>
          <w:sz w:val="19"/>
          <w:szCs w:val="19"/>
        </w:rPr>
        <w:t xml:space="preserve">Rewrite the titles and descriptions of the high-visibility, low-click pages so they match how people actually search — starting with the pages that already rank on page 1. This is the fastest, highest-return work.</w:t>
      </w:r>
    </w:p>
    <w:p>
      <w:pPr>
        <w:spacing w:after="20" w:before="70"/>
      </w:pPr>
      <w:r>
        <w:rPr>
          <w:rFonts w:ascii="Calibri" w:cs="Calibri" w:eastAsia="Calibri" w:hAnsi="Calibri"/>
          <w:b/>
          <w:bCs/>
          <w:color w:val="16223C"/>
          <w:sz w:val="20"/>
          <w:szCs w:val="20"/>
        </w:rPr>
        <w:t xml:space="preserve">D. Refocus on voice</w:t>
      </w:r>
    </w:p>
    <w:p>
      <w:pPr>
        <w:pStyle w:val="ListParagraph"/>
        <w:numPr>
          <w:ilvl w:val="0"/>
          <w:numId w:val="1"/>
        </w:numPr>
        <w:spacing w:after="40"/>
      </w:pPr>
      <w:r>
        <w:rPr>
          <w:rFonts w:ascii="Calibri" w:cs="Calibri" w:eastAsia="Calibri" w:hAnsi="Calibri"/>
          <w:b w:val="false"/>
          <w:bCs w:val="false"/>
          <w:color w:val="24303F"/>
          <w:sz w:val="19"/>
          <w:szCs w:val="19"/>
        </w:rPr>
        <w:t xml:space="preserve">Reframe or retire the chatbot pages, redirecting that intent to the voice equivalents. Stop competing for demand the product can't serve.</w:t>
      </w:r>
    </w:p>
    <w:p>
      <w:pPr>
        <w:spacing w:after="20" w:before="70"/>
      </w:pPr>
      <w:r>
        <w:rPr>
          <w:rFonts w:ascii="Calibri" w:cs="Calibri" w:eastAsia="Calibri" w:hAnsi="Calibri"/>
          <w:b/>
          <w:bCs/>
          <w:color w:val="16223C"/>
          <w:sz w:val="20"/>
          <w:szCs w:val="20"/>
        </w:rPr>
        <w:t xml:space="preserve">E. Protect and grow the receptionist winner</w:t>
      </w:r>
    </w:p>
    <w:p>
      <w:pPr>
        <w:pStyle w:val="ListParagraph"/>
        <w:numPr>
          <w:ilvl w:val="0"/>
          <w:numId w:val="1"/>
        </w:numPr>
        <w:spacing w:after="40"/>
      </w:pPr>
      <w:r>
        <w:rPr>
          <w:rFonts w:ascii="Calibri" w:cs="Calibri" w:eastAsia="Calibri" w:hAnsi="Calibri"/>
          <w:b w:val="false"/>
          <w:bCs w:val="false"/>
          <w:color w:val="24303F"/>
          <w:sz w:val="19"/>
          <w:szCs w:val="19"/>
        </w:rPr>
        <w:t xml:space="preserve">Keep the receptionist content as its own pillar and strengthen it — it is already the cluster's best performer and the quickest additional win.</w:t>
      </w:r>
    </w:p>
    <w:p>
      <w:pPr>
        <w:spacing w:after="20" w:before="70"/>
      </w:pPr>
      <w:r>
        <w:rPr>
          <w:rFonts w:ascii="Calibri" w:cs="Calibri" w:eastAsia="Calibri" w:hAnsi="Calibri"/>
          <w:b/>
          <w:bCs/>
          <w:color w:val="16223C"/>
          <w:sz w:val="20"/>
          <w:szCs w:val="20"/>
        </w:rPr>
        <w:t xml:space="preserve">F. Build the few missing surfaces</w:t>
      </w:r>
    </w:p>
    <w:p>
      <w:pPr>
        <w:pStyle w:val="ListParagraph"/>
        <w:numPr>
          <w:ilvl w:val="0"/>
          <w:numId w:val="1"/>
        </w:numPr>
        <w:spacing w:after="40"/>
      </w:pPr>
      <w:r>
        <w:rPr>
          <w:rFonts w:ascii="Calibri" w:cs="Calibri" w:eastAsia="Calibri" w:hAnsi="Calibri"/>
          <w:b w:val="false"/>
          <w:bCs w:val="false"/>
          <w:color w:val="24303F"/>
          <w:sz w:val="19"/>
          <w:szCs w:val="19"/>
        </w:rPr>
        <w:t xml:space="preserve">A GoHighLevel landing page, an integrations directory, an agency-growth hub that organises the existing how-to library, and a reviews page. These are the only genuinely new builds.</w:t>
      </w:r>
    </w:p>
    <w:p>
      <w:pPr>
        <w:spacing w:after="20" w:before="70"/>
      </w:pPr>
      <w:r>
        <w:rPr>
          <w:rFonts w:ascii="Calibri" w:cs="Calibri" w:eastAsia="Calibri" w:hAnsi="Calibri"/>
          <w:b/>
          <w:bCs/>
          <w:color w:val="16223C"/>
          <w:sz w:val="20"/>
          <w:szCs w:val="20"/>
        </w:rPr>
        <w:t xml:space="preserve">G. Turn partners into a real program</w:t>
      </w:r>
    </w:p>
    <w:p>
      <w:pPr>
        <w:pStyle w:val="ListParagraph"/>
        <w:numPr>
          <w:ilvl w:val="0"/>
          <w:numId w:val="1"/>
        </w:numPr>
        <w:spacing w:after="40"/>
      </w:pPr>
      <w:r>
        <w:rPr>
          <w:rFonts w:ascii="Calibri" w:cs="Calibri" w:eastAsia="Calibri" w:hAnsi="Calibri"/>
          <w:b w:val="false"/>
          <w:bCs w:val="false"/>
          <w:color w:val="24303F"/>
          <w:sz w:val="19"/>
          <w:szCs w:val="19"/>
        </w:rPr>
        <w:t xml:space="preserve">Make the partner pages a proper reseller/OEM/referral program with clear terms, and connect the agency-growth content to it so readers convert into partners.</w:t>
      </w:r>
    </w:p>
    <w:p>
      <w:pPr>
        <w:spacing w:after="20" w:before="70"/>
      </w:pPr>
      <w:r>
        <w:rPr>
          <w:rFonts w:ascii="Calibri" w:cs="Calibri" w:eastAsia="Calibri" w:hAnsi="Calibri"/>
          <w:b/>
          <w:bCs/>
          <w:color w:val="16223C"/>
          <w:sz w:val="20"/>
          <w:szCs w:val="20"/>
        </w:rPr>
        <w:t xml:space="preserve">H. Technical hygiene</w:t>
      </w:r>
    </w:p>
    <w:p>
      <w:pPr>
        <w:pStyle w:val="ListParagraph"/>
        <w:numPr>
          <w:ilvl w:val="0"/>
          <w:numId w:val="1"/>
        </w:numPr>
        <w:spacing w:after="40"/>
      </w:pPr>
      <w:r>
        <w:rPr>
          <w:rFonts w:ascii="Calibri" w:cs="Calibri" w:eastAsia="Calibri" w:hAnsi="Calibri"/>
          <w:b w:val="false"/>
          <w:bCs w:val="false"/>
          <w:color w:val="24303F"/>
          <w:sz w:val="19"/>
          <w:szCs w:val="19"/>
        </w:rPr>
        <w:t xml:space="preserve">Remove the mis-targeted metadata sitewide, add correct structured data and self-referencing canonicals, and implement the redirects cleanly.</w:t>
      </w:r>
    </w:p>
    <w:p>
      <w:pPr>
        <w:pBdr>
          <w:bottom w:val="single" w:color="D9DEE8" w:sz="6"/>
        </w:pBdr>
        <w:spacing w:after="130" w:before="130"/>
      </w:pPr>
      <w:r>
        <w:t xml:space="preserve"/>
      </w:r>
    </w:p>
    <w:p>
      <w:pPr>
        <w:spacing w:after="60" w:before="60"/>
      </w:pPr>
      <w:r>
        <w:rPr>
          <w:rFonts w:ascii="Georgia" w:cs="Georgia" w:eastAsia="Georgia" w:hAnsi="Georgia"/>
          <w:b/>
          <w:bCs/>
          <w:color w:val="16223C"/>
          <w:sz w:val="26"/>
          <w:szCs w:val="26"/>
        </w:rPr>
        <w:t xml:space="preserve">6 · Phased roadmap</w:t>
      </w:r>
    </w:p>
    <w:p>
      <w:pPr>
        <w:spacing w:after="60"/>
      </w:pPr>
      <w:r>
        <w:rPr>
          <w:rFonts w:ascii="Georgia" w:cs="Georgia" w:eastAsia="Georgia" w:hAnsi="Georgia"/>
          <w:b/>
          <w:bCs/>
          <w:color w:val="9A6B3F"/>
          <w:sz w:val="20"/>
          <w:szCs w:val="20"/>
        </w:rPr>
        <w:t xml:space="preserve">1.  </w:t>
      </w:r>
      <w:r>
        <w:rPr>
          <w:rFonts w:ascii="Calibri" w:cs="Calibri" w:eastAsia="Calibri" w:hAnsi="Calibri"/>
          <w:b/>
          <w:bCs/>
          <w:color w:val="24303F"/>
          <w:sz w:val="19"/>
          <w:szCs w:val="19"/>
        </w:rPr>
        <w:t xml:space="preserve">Phase 0 — Foundations — </w:t>
      </w:r>
      <w:r>
        <w:rPr>
          <w:rFonts w:ascii="Calibri" w:cs="Calibri" w:eastAsia="Calibri" w:hAnsi="Calibri"/>
          <w:color w:val="5A6675"/>
          <w:sz w:val="19"/>
          <w:szCs w:val="19"/>
        </w:rPr>
        <w:t xml:space="preserve">Metadata and structured-data cleanup. Quick, and everything else builds on it.</w:t>
      </w:r>
    </w:p>
    <w:p>
      <w:pPr>
        <w:spacing w:after="60"/>
      </w:pPr>
      <w:r>
        <w:rPr>
          <w:rFonts w:ascii="Georgia" w:cs="Georgia" w:eastAsia="Georgia" w:hAnsi="Georgia"/>
          <w:b/>
          <w:bCs/>
          <w:color w:val="9A6B3F"/>
          <w:sz w:val="20"/>
          <w:szCs w:val="20"/>
        </w:rPr>
        <w:t xml:space="preserve">2.  </w:t>
      </w:r>
      <w:r>
        <w:rPr>
          <w:rFonts w:ascii="Calibri" w:cs="Calibri" w:eastAsia="Calibri" w:hAnsi="Calibri"/>
          <w:b/>
          <w:bCs/>
          <w:color w:val="24303F"/>
          <w:sz w:val="19"/>
          <w:szCs w:val="19"/>
        </w:rPr>
        <w:t xml:space="preserve">Phase 1 — Hub + quick wins — </w:t>
      </w:r>
      <w:r>
        <w:rPr>
          <w:rFonts w:ascii="Calibri" w:cs="Calibri" w:eastAsia="Calibri" w:hAnsi="Calibri"/>
          <w:color w:val="5A6675"/>
          <w:sz w:val="19"/>
          <w:szCs w:val="19"/>
        </w:rPr>
        <w:t xml:space="preserve">Rebuild /whitelabel and rewrite titles/descriptions on the highest-visibility pages. This is where most of the trapped demand converts.</w:t>
      </w:r>
    </w:p>
    <w:p>
      <w:pPr>
        <w:spacing w:after="60"/>
      </w:pPr>
      <w:r>
        <w:rPr>
          <w:rFonts w:ascii="Georgia" w:cs="Georgia" w:eastAsia="Georgia" w:hAnsi="Georgia"/>
          <w:b/>
          <w:bCs/>
          <w:color w:val="9A6B3F"/>
          <w:sz w:val="20"/>
          <w:szCs w:val="20"/>
        </w:rPr>
        <w:t xml:space="preserve">3.  </w:t>
      </w:r>
      <w:r>
        <w:rPr>
          <w:rFonts w:ascii="Calibri" w:cs="Calibri" w:eastAsia="Calibri" w:hAnsi="Calibri"/>
          <w:b/>
          <w:bCs/>
          <w:color w:val="24303F"/>
          <w:sz w:val="19"/>
          <w:szCs w:val="19"/>
        </w:rPr>
        <w:t xml:space="preserve">Phase 2 — Consolidate &amp; refocus — </w:t>
      </w:r>
      <w:r>
        <w:rPr>
          <w:rFonts w:ascii="Calibri" w:cs="Calibri" w:eastAsia="Calibri" w:hAnsi="Calibri"/>
          <w:color w:val="5A6675"/>
          <w:sz w:val="19"/>
          <w:szCs w:val="19"/>
        </w:rPr>
        <w:t xml:space="preserve">Execute the merges and redirects; reframe or retire the chatbot pages.</w:t>
      </w:r>
    </w:p>
    <w:p>
      <w:pPr>
        <w:spacing w:after="60"/>
      </w:pPr>
      <w:r>
        <w:rPr>
          <w:rFonts w:ascii="Georgia" w:cs="Georgia" w:eastAsia="Georgia" w:hAnsi="Georgia"/>
          <w:b/>
          <w:bCs/>
          <w:color w:val="9A6B3F"/>
          <w:sz w:val="20"/>
          <w:szCs w:val="20"/>
        </w:rPr>
        <w:t xml:space="preserve">4.  </w:t>
      </w:r>
      <w:r>
        <w:rPr>
          <w:rFonts w:ascii="Calibri" w:cs="Calibri" w:eastAsia="Calibri" w:hAnsi="Calibri"/>
          <w:b/>
          <w:bCs/>
          <w:color w:val="24303F"/>
          <w:sz w:val="19"/>
          <w:szCs w:val="19"/>
        </w:rPr>
        <w:t xml:space="preserve">Phase 3 — Structure — </w:t>
      </w:r>
      <w:r>
        <w:rPr>
          <w:rFonts w:ascii="Calibri" w:cs="Calibri" w:eastAsia="Calibri" w:hAnsi="Calibri"/>
          <w:color w:val="5A6675"/>
          <w:sz w:val="19"/>
          <w:szCs w:val="19"/>
        </w:rPr>
        <w:t xml:space="preserve">Build the pillar hubs and wire the internal links that carry authority to the money pages.</w:t>
      </w:r>
    </w:p>
    <w:p>
      <w:pPr>
        <w:spacing w:after="60"/>
      </w:pPr>
      <w:r>
        <w:rPr>
          <w:rFonts w:ascii="Georgia" w:cs="Georgia" w:eastAsia="Georgia" w:hAnsi="Georgia"/>
          <w:b/>
          <w:bCs/>
          <w:color w:val="9A6B3F"/>
          <w:sz w:val="20"/>
          <w:szCs w:val="20"/>
        </w:rPr>
        <w:t xml:space="preserve">5.  </w:t>
      </w:r>
      <w:r>
        <w:rPr>
          <w:rFonts w:ascii="Calibri" w:cs="Calibri" w:eastAsia="Calibri" w:hAnsi="Calibri"/>
          <w:b/>
          <w:bCs/>
          <w:color w:val="24303F"/>
          <w:sz w:val="19"/>
          <w:szCs w:val="19"/>
        </w:rPr>
        <w:t xml:space="preserve">Phase 4 — New surfaces — </w:t>
      </w:r>
      <w:r>
        <w:rPr>
          <w:rFonts w:ascii="Calibri" w:cs="Calibri" w:eastAsia="Calibri" w:hAnsi="Calibri"/>
          <w:color w:val="5A6675"/>
          <w:sz w:val="19"/>
          <w:szCs w:val="19"/>
        </w:rPr>
        <w:t xml:space="preserve">GoHighLevel landing, integrations directory, agency-growth hub, reviews page.</w:t>
      </w:r>
    </w:p>
    <w:p>
      <w:pPr>
        <w:spacing w:after="60"/>
      </w:pPr>
      <w:r>
        <w:rPr>
          <w:rFonts w:ascii="Georgia" w:cs="Georgia" w:eastAsia="Georgia" w:hAnsi="Georgia"/>
          <w:b/>
          <w:bCs/>
          <w:color w:val="9A6B3F"/>
          <w:sz w:val="20"/>
          <w:szCs w:val="20"/>
        </w:rPr>
        <w:t xml:space="preserve">6.  </w:t>
      </w:r>
      <w:r>
        <w:rPr>
          <w:rFonts w:ascii="Calibri" w:cs="Calibri" w:eastAsia="Calibri" w:hAnsi="Calibri"/>
          <w:b/>
          <w:bCs/>
          <w:color w:val="24303F"/>
          <w:sz w:val="19"/>
          <w:szCs w:val="19"/>
        </w:rPr>
        <w:t xml:space="preserve">Phase 5 — Partners — </w:t>
      </w:r>
      <w:r>
        <w:rPr>
          <w:rFonts w:ascii="Calibri" w:cs="Calibri" w:eastAsia="Calibri" w:hAnsi="Calibri"/>
          <w:color w:val="5A6675"/>
          <w:sz w:val="19"/>
          <w:szCs w:val="19"/>
        </w:rPr>
        <w:t xml:space="preserve">Stand up the partner program and connect the agency content to it.</w:t>
      </w:r>
    </w:p>
    <w:p>
      <w:pPr>
        <w:spacing w:after="60"/>
      </w:pPr>
      <w:r>
        <w:rPr>
          <w:rFonts w:ascii="Georgia" w:cs="Georgia" w:eastAsia="Georgia" w:hAnsi="Georgia"/>
          <w:b/>
          <w:bCs/>
          <w:color w:val="9A6B3F"/>
          <w:sz w:val="20"/>
          <w:szCs w:val="20"/>
        </w:rPr>
        <w:t xml:space="preserve">7.  </w:t>
      </w:r>
      <w:r>
        <w:rPr>
          <w:rFonts w:ascii="Calibri" w:cs="Calibri" w:eastAsia="Calibri" w:hAnsi="Calibri"/>
          <w:b/>
          <w:bCs/>
          <w:color w:val="24303F"/>
          <w:sz w:val="19"/>
          <w:szCs w:val="19"/>
        </w:rPr>
        <w:t xml:space="preserve">Ongoing — Discipline — </w:t>
      </w:r>
      <w:r>
        <w:rPr>
          <w:rFonts w:ascii="Calibri" w:cs="Calibri" w:eastAsia="Calibri" w:hAnsi="Calibri"/>
          <w:color w:val="5A6675"/>
          <w:sz w:val="19"/>
          <w:szCs w:val="19"/>
        </w:rPr>
        <w:t xml:space="preserve">One page per intent; measure by cluster; review quarterly.</w:t>
      </w:r>
    </w:p>
    <w:p>
      <w:pPr>
        <w:pBdr>
          <w:bottom w:val="single" w:color="D9DEE8" w:sz="6"/>
        </w:pBdr>
        <w:spacing w:after="130" w:before="130"/>
      </w:pPr>
      <w:r>
        <w:t xml:space="preserve"/>
      </w:r>
    </w:p>
    <w:p>
      <w:pPr>
        <w:spacing w:after="60" w:before="60"/>
      </w:pPr>
      <w:r>
        <w:rPr>
          <w:rFonts w:ascii="Georgia" w:cs="Georgia" w:eastAsia="Georgia" w:hAnsi="Georgia"/>
          <w:b/>
          <w:bCs/>
          <w:color w:val="16223C"/>
          <w:sz w:val="26"/>
          <w:szCs w:val="26"/>
        </w:rPr>
        <w:t xml:space="preserve">7 · How we'll measure success</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4600"/>
        <w:gridCol w:w="4760"/>
      </w:tblGrid>
      <w:tr>
        <w:trPr>
          <w:tblHeader/>
        </w:trPr>
        <w:tc>
          <w:tcPr>
            <w:tcW w:type="dxa" w:w="4600"/>
            <w:tcBorders>
              <w:top w:val="single" w:color="D9DEE8" w:sz="4"/>
              <w:left w:val="single" w:color="D9DEE8" w:sz="4"/>
              <w:bottom w:val="single" w:color="D9DEE8" w:sz="4"/>
              <w:right w:val="single" w:color="D9DEE8" w:sz="4"/>
            </w:tcBorders>
            <w:shd w:fill="16223C" w:color="auto" w:val="clear"/>
            <w:tcMar>
              <w:top w:type="dxa" w:w="70"/>
              <w:left w:type="dxa" w:w="110"/>
              <w:bottom w:type="dxa" w:w="70"/>
              <w:right w:type="dxa" w:w="110"/>
            </w:tcMar>
          </w:tcPr>
          <w:p>
            <w:pPr>
              <w:spacing w:after="0" w:line="250"/>
            </w:pPr>
            <w:r>
              <w:rPr>
                <w:rFonts w:ascii="Calibri" w:cs="Calibri" w:eastAsia="Calibri" w:hAnsi="Calibri"/>
                <w:b/>
                <w:bCs/>
                <w:color w:val="FFFFFF"/>
                <w:sz w:val="16"/>
                <w:szCs w:val="16"/>
              </w:rPr>
              <w:t xml:space="preserve">Measure</w:t>
            </w:r>
          </w:p>
        </w:tc>
        <w:tc>
          <w:tcPr>
            <w:tcW w:type="dxa" w:w="4760"/>
            <w:tcBorders>
              <w:top w:val="single" w:color="D9DEE8" w:sz="4"/>
              <w:left w:val="single" w:color="D9DEE8" w:sz="4"/>
              <w:bottom w:val="single" w:color="D9DEE8" w:sz="4"/>
              <w:right w:val="single" w:color="D9DEE8" w:sz="4"/>
            </w:tcBorders>
            <w:shd w:fill="16223C" w:color="auto" w:val="clear"/>
            <w:tcMar>
              <w:top w:type="dxa" w:w="70"/>
              <w:left w:type="dxa" w:w="110"/>
              <w:bottom w:type="dxa" w:w="70"/>
              <w:right w:type="dxa" w:w="110"/>
            </w:tcMar>
          </w:tcPr>
          <w:p>
            <w:pPr>
              <w:spacing w:after="0" w:line="250"/>
            </w:pPr>
            <w:r>
              <w:rPr>
                <w:rFonts w:ascii="Calibri" w:cs="Calibri" w:eastAsia="Calibri" w:hAnsi="Calibri"/>
                <w:b/>
                <w:bCs/>
                <w:color w:val="FFFFFF"/>
                <w:sz w:val="16"/>
                <w:szCs w:val="16"/>
              </w:rPr>
              <w:t xml:space="preserve">Target direction</w:t>
            </w:r>
          </w:p>
        </w:tc>
      </w:tr>
      <w:tr>
        <w:tc>
          <w:tcPr>
            <w:tcW w:type="dxa" w:w="4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Non-brand clicks from the cluster</w:t>
            </w:r>
          </w:p>
        </w:tc>
        <w:tc>
          <w:tcPr>
            <w:tcW w:type="dxa" w:w="47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Up materially — the core goal</w:t>
            </w:r>
          </w:p>
        </w:tc>
      </w:tr>
      <w:tr>
        <w:tc>
          <w:tcPr>
            <w:tcW w:type="dxa" w:w="4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Click-through rate on page-1 pages</w:t>
            </w:r>
          </w:p>
        </w:tc>
        <w:tc>
          <w:tcPr>
            <w:tcW w:type="dxa" w:w="47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From near-zero toward category-normal (2%+)</w:t>
            </w:r>
          </w:p>
        </w:tc>
      </w:tr>
      <w:tr>
        <w:tc>
          <w:tcPr>
            <w:tcW w:type="dxa" w:w="4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Position for the head terms</w:t>
            </w:r>
          </w:p>
        </w:tc>
        <w:tc>
          <w:tcPr>
            <w:tcW w:type="dxa" w:w="47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"white label voice ai / ai voice agent" onto page 1; the receptionist term into the top 5</w:t>
            </w:r>
          </w:p>
        </w:tc>
      </w:tr>
      <w:tr>
        <w:tc>
          <w:tcPr>
            <w:tcW w:type="dxa" w:w="4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Pages competing per intent</w:t>
            </w:r>
          </w:p>
        </w:tc>
        <w:tc>
          <w:tcPr>
            <w:tcW w:type="dxa" w:w="47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Down to one canonical page each</w:t>
            </w:r>
          </w:p>
        </w:tc>
      </w:tr>
      <w:tr>
        <w:tc>
          <w:tcPr>
            <w:tcW w:type="dxa" w:w="4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Leads to /whitelabel and /partners</w:t>
            </w:r>
          </w:p>
        </w:tc>
        <w:tc>
          <w:tcPr>
            <w:tcW w:type="dxa" w:w="47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Up — the cluster's real job</w:t>
            </w:r>
          </w:p>
        </w:tc>
      </w:tr>
    </w:tbl>
    <w:p>
      <w:pPr>
        <w:pBdr>
          <w:bottom w:val="single" w:color="D9DEE8" w:sz="6"/>
        </w:pBdr>
        <w:spacing w:after="130" w:before="130"/>
      </w:pPr>
      <w:r>
        <w:t xml:space="preserve"/>
      </w:r>
    </w:p>
    <w:p>
      <w:pPr>
        <w:spacing w:after="60" w:before="60"/>
      </w:pPr>
      <w:r>
        <w:rPr>
          <w:rFonts w:ascii="Georgia" w:cs="Georgia" w:eastAsia="Georgia" w:hAnsi="Georgia"/>
          <w:b/>
          <w:bCs/>
          <w:color w:val="16223C"/>
          <w:sz w:val="26"/>
          <w:szCs w:val="26"/>
        </w:rPr>
        <w:t xml:space="preserve">8 · Guardrails</w:t>
      </w:r>
    </w:p>
    <w:p>
      <w:pPr>
        <w:pStyle w:val="ListParagraph"/>
        <w:numPr>
          <w:ilvl w:val="0"/>
          <w:numId w:val="1"/>
        </w:numPr>
        <w:spacing w:after="40"/>
      </w:pPr>
      <w:r>
        <w:rPr>
          <w:rFonts w:ascii="Calibri" w:cs="Calibri" w:eastAsia="Calibri" w:hAnsi="Calibri"/>
          <w:b w:val="false"/>
          <w:bCs w:val="false"/>
          <w:color w:val="24303F"/>
          <w:sz w:val="19"/>
          <w:szCs w:val="19"/>
        </w:rPr>
        <w:t xml:space="preserve">No new pages in this cluster until the consolidation is done — the library is already oversized.</w:t>
      </w:r>
    </w:p>
    <w:p>
      <w:pPr>
        <w:pStyle w:val="ListParagraph"/>
        <w:numPr>
          <w:ilvl w:val="0"/>
          <w:numId w:val="1"/>
        </w:numPr>
        <w:spacing w:after="40"/>
      </w:pPr>
      <w:r>
        <w:rPr>
          <w:rFonts w:ascii="Calibri" w:cs="Calibri" w:eastAsia="Calibri" w:hAnsi="Calibri"/>
          <w:b w:val="false"/>
          <w:bCs w:val="false"/>
          <w:color w:val="24303F"/>
          <w:sz w:val="19"/>
          <w:szCs w:val="19"/>
        </w:rPr>
        <w:t xml:space="preserve">Every new idea extends an existing page before a new URL is created.</w:t>
      </w:r>
    </w:p>
    <w:p>
      <w:pPr>
        <w:pStyle w:val="ListParagraph"/>
        <w:numPr>
          <w:ilvl w:val="0"/>
          <w:numId w:val="1"/>
        </w:numPr>
        <w:spacing w:after="40"/>
      </w:pPr>
      <w:r>
        <w:rPr>
          <w:rFonts w:ascii="Calibri" w:cs="Calibri" w:eastAsia="Calibri" w:hAnsi="Calibri"/>
          <w:b w:val="false"/>
          <w:bCs w:val="false"/>
          <w:color w:val="24303F"/>
          <w:sz w:val="19"/>
          <w:szCs w:val="19"/>
        </w:rPr>
        <w:t xml:space="preserve">Lead with what only Trillet can claim — compliance and an auditable record at every price tier — not speed or price alone.</w:t>
      </w:r>
    </w:p>
    <w:p>
      <w:pPr>
        <w:pStyle w:val="ListParagraph"/>
        <w:numPr>
          <w:ilvl w:val="0"/>
          <w:numId w:val="1"/>
        </w:numPr>
        <w:spacing w:after="40"/>
      </w:pPr>
      <w:r>
        <w:rPr>
          <w:rFonts w:ascii="Calibri" w:cs="Calibri" w:eastAsia="Calibri" w:hAnsi="Calibri"/>
          <w:b w:val="false"/>
          <w:bCs w:val="false"/>
          <w:color w:val="24303F"/>
          <w:sz w:val="19"/>
          <w:szCs w:val="19"/>
        </w:rPr>
        <w:t xml:space="preserve">Keep competitor comparisons on their own pages, never on the homepage or hub.</w:t>
      </w:r>
    </w:p>
    <w:p>
      <w:pPr>
        <w:spacing w:before="200"/>
        <w:jc w:val="center"/>
      </w:pPr>
      <w:r>
        <w:rPr>
          <w:rFonts w:ascii="Consolas" w:cs="Consolas" w:eastAsia="Consolas" w:hAnsi="Consolas"/>
          <w:color w:val="5A6675"/>
          <w:sz w:val="15"/>
          <w:szCs w:val="15"/>
        </w:rPr>
        <w:t xml:space="preserve">Trillet white-label cluster · strategy &amp; action plan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2026-09-10T07:27:30.284Z</dcterms:created>
  <dcterms:modified xsi:type="dcterms:W3CDTF">2026-09-10T07:27:30.340Z</dcterms:modified>
</cp:coreProperties>
</file>

<file path=docProps/custom.xml><?xml version="1.0" encoding="utf-8"?>
<Properties xmlns="http://schemas.openxmlformats.org/officeDocument/2006/custom-properties" xmlns:vt="http://schemas.openxmlformats.org/officeDocument/2006/docPropsVTypes"/>
</file>