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onsolas" w:cs="Consolas" w:eastAsia="Consolas" w:hAnsi="Consolas"/>
          <w:b/>
          <w:bCs/>
          <w:color w:val="9A6B3F"/>
          <w:spacing w:val="18"/>
          <w:sz w:val="15"/>
          <w:szCs w:val="15"/>
        </w:rPr>
        <w:t xml:space="preserve">TRILLET · WHITE-LABEL CLUSTER</w:t>
      </w:r>
    </w:p>
    <w:p>
      <w:pPr>
        <w:spacing w:after="70"/>
      </w:pPr>
      <w:r>
        <w:rPr>
          <w:rFonts w:ascii="Georgia" w:cs="Georgia" w:eastAsia="Georgia" w:hAnsi="Georgia"/>
          <w:b/>
          <w:bCs/>
          <w:color w:val="16223C"/>
          <w:sz w:val="38"/>
          <w:szCs w:val="38"/>
        </w:rPr>
        <w:t xml:space="preserve">4-Week Sprint Plan</w:t>
      </w:r>
    </w:p>
    <w:p>
      <w:pPr>
        <w:spacing w:after="90"/>
      </w:pPr>
      <w:r>
        <w:rPr>
          <w:rFonts w:ascii="Calibri" w:cs="Calibri" w:eastAsia="Calibri" w:hAnsi="Calibri"/>
          <w:i w:val="false"/>
          <w:iCs w:val="false"/>
          <w:color w:val="5A6675"/>
          <w:sz w:val="20"/>
          <w:szCs w:val="20"/>
        </w:rPr>
        <w:t xml:space="preserve">A compressed, honestly-sized plan for the white-label cluster, 14 Sep - 11 Oct 2026. Task timing follows real effort, not round numbers: the metadata and redirect work is hours and ships immediately; content is the only real constraint and sets the four-week length. Six new white-label blogs (the gaps against Insighto) are folded in.</w:t>
      </w:r>
    </w:p>
    <w:tbl>
      <w:tblPr>
        <w:tblW w:type="dxa" w:w="9360"/>
        <w:tblBorders>
          <w:top w:val="single" w:color="9A6B3F" w:sz="4"/>
          <w:left w:val="single" w:color="9A6B3F" w:sz="4"/>
          <w:bottom w:val="single" w:color="9A6B3F" w:sz="4"/>
          <w:right w:val="single" w:color="9A6B3F" w:sz="4"/>
          <w:insideH w:val="single" w:color="9A6B3F" w:sz="4"/>
          <w:insideV w:val="single" w:color="9A6B3F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6B3F" w:sz="4"/>
              <w:left w:val="single" w:color="9A6B3F" w:sz="4"/>
              <w:bottom w:val="single" w:color="9A6B3F" w:sz="4"/>
              <w:right w:val="single" w:color="9A6B3F" w:sz="4"/>
            </w:tcBorders>
            <w:shd w:fill="F1ECE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50"/>
            </w:pPr>
            <w:r>
              <w:rPr>
                <w:rFonts w:ascii="Georgia" w:cs="Georgia" w:eastAsia="Georgia" w:hAnsi="Georgia"/>
                <w:b/>
                <w:bCs/>
                <w:color w:val="16223C"/>
                <w:sz w:val="21"/>
                <w:szCs w:val="21"/>
              </w:rPr>
              <w:t xml:space="preserve">What makes four weeks real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4303F"/>
                <w:sz w:val="18"/>
                <w:szCs w:val="18"/>
              </w:rPr>
              <w:t xml:space="preserve">Assumes ~1 developer + ~1.5 content writers working focused. With less, the four broad listicle blogs slip first — they are reach plays, lower intent.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4303F"/>
                <w:sz w:val="18"/>
                <w:szCs w:val="18"/>
              </w:rPr>
              <w:t xml:space="preserve">The audit is done. Snippets and redirect configs are hours of work, so they ship in Week 1 rather than being spread out.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24303F"/>
                <w:sz w:val="18"/>
                <w:szCs w:val="18"/>
              </w:rPr>
              <w:t xml:space="preserve">The extra index hubs (/compare, /industries, /academy, /reviews) are cut — not required for the core fix. Listed as deferred, not padded in.</w:t>
            </w:r>
          </w:p>
        </w:tc>
      </w:tr>
    </w:tbl>
    <w:p>
      <w:pPr>
        <w:pBdr>
          <w:bottom w:val="single" w:color="D9DEE8" w:sz="6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16223C"/>
          <w:sz w:val="26"/>
          <w:szCs w:val="26"/>
        </w:rPr>
        <w:t xml:space="preserve">Task sizing (the sanity check)</w:t>
      </w:r>
    </w:p>
    <w:p>
      <w:pPr>
        <w:spacing w:after="90"/>
      </w:pPr>
      <w:r>
        <w:rPr>
          <w:rFonts w:ascii="Calibri" w:cs="Calibri" w:eastAsia="Calibri" w:hAnsi="Calibri"/>
          <w:i w:val="false"/>
          <w:iCs w:val="false"/>
          <w:color w:val="5A6675"/>
          <w:sz w:val="20"/>
          <w:szCs w:val="20"/>
        </w:rPr>
        <w:t xml:space="preserve">Real effort per task, and why it lands where it does. Small tasks are not stretched to fill weeks.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3050"/>
        <w:gridCol w:w="1450"/>
        <w:gridCol w:w="3560"/>
        <w:gridCol w:w="1300"/>
      </w:tblGrid>
      <w:tr>
        <w:trPr>
          <w:tblHeader/>
        </w:trP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Task</w:t>
            </w:r>
          </w:p>
        </w:tc>
        <w:tc>
          <w:tcPr>
            <w:tcW w:type="dxa" w:w="14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Real effort</w:t>
            </w:r>
          </w:p>
        </w:tc>
        <w:tc>
          <w:tcPr>
            <w:tcW w:type="dxa" w:w="3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Week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Snippet rewrites — 17 pages</w:t>
            </w:r>
          </w:p>
        </w:tc>
        <w:tc>
          <w:tcPr>
            <w:tcW w:type="dxa" w:w="14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~0.5 day</w:t>
            </w:r>
          </w:p>
        </w:tc>
        <w:tc>
          <w:tcPr>
            <w:tcW w:type="dxa" w:w="3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Copy already written in the CTR worklist; paste into CMS. Not a multi-week job.</w:t>
            </w:r>
          </w:p>
        </w:tc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W1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Structured data + self-canonicals</w:t>
            </w:r>
          </w:p>
        </w:tc>
        <w:tc>
          <w:tcPr>
            <w:tcW w:type="dxa" w:w="14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1-2 days</w:t>
            </w:r>
          </w:p>
        </w:tc>
        <w:tc>
          <w:tcPr>
            <w:tcW w:type="dxa" w:w="3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Org / WebSite / SoftwareApplication / FAQ, sitewide templates.</w:t>
            </w:r>
          </w:p>
        </w:tc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W1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Baseline metrics snapshot</w:t>
            </w:r>
          </w:p>
        </w:tc>
        <w:tc>
          <w:tcPr>
            <w:tcW w:type="dxa" w:w="14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0.5 day</w:t>
            </w:r>
          </w:p>
        </w:tc>
        <w:tc>
          <w:tcPr>
            <w:tcW w:type="dxa" w:w="3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Freeze the before-numbers.</w:t>
            </w:r>
          </w:p>
        </w:tc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W1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Redirect configs — 22</w:t>
            </w:r>
          </w:p>
        </w:tc>
        <w:tc>
          <w:tcPr>
            <w:tcW w:type="dxa" w:w="14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~0.5 day total</w:t>
            </w:r>
          </w:p>
        </w:tc>
        <w:tc>
          <w:tcPr>
            <w:tcW w:type="dxa" w:w="3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Trivial to configure. Risk, not effort, forces the two waves.</w:t>
            </w:r>
          </w:p>
        </w:tc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W1 + W3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/whitelabel hub rebuild</w:t>
            </w:r>
          </w:p>
        </w:tc>
        <w:tc>
          <w:tcPr>
            <w:tcW w:type="dxa" w:w="14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4-5 days</w:t>
            </w:r>
          </w:p>
        </w:tc>
        <w:tc>
          <w:tcPr>
            <w:tcW w:type="dxa" w:w="3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The long pole. Content + design.</w:t>
            </w:r>
          </w:p>
        </w:tc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W1→W2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6 new white-label blogs</w:t>
            </w:r>
          </w:p>
        </w:tc>
        <w:tc>
          <w:tcPr>
            <w:tcW w:type="dxa" w:w="14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~1 day each</w:t>
            </w:r>
          </w:p>
        </w:tc>
        <w:tc>
          <w:tcPr>
            <w:tcW w:type="dxa" w:w="3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1,500-2,500-word guides / roundups.</w:t>
            </w:r>
          </w:p>
        </w:tc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W1-W3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6 P1 on-page rewrites</w:t>
            </w:r>
          </w:p>
        </w:tc>
        <w:tc>
          <w:tcPr>
            <w:tcW w:type="dxa" w:w="14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~0.5 day each</w:t>
            </w:r>
          </w:p>
        </w:tc>
        <w:tc>
          <w:tcPr>
            <w:tcW w:type="dxa" w:w="3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Expand &amp; restructure existing blogs.</w:t>
            </w:r>
          </w:p>
        </w:tc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W2-W3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2 chatbot reframes</w:t>
            </w:r>
          </w:p>
        </w:tc>
        <w:tc>
          <w:tcPr>
            <w:tcW w:type="dxa" w:w="14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~0.5 day each</w:t>
            </w:r>
          </w:p>
        </w:tc>
        <w:tc>
          <w:tcPr>
            <w:tcW w:type="dxa" w:w="3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Rewrite to voice framing.</w:t>
            </w:r>
          </w:p>
        </w:tc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W2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Content merge for Wave 2</w:t>
            </w:r>
          </w:p>
        </w:tc>
        <w:tc>
          <w:tcPr>
            <w:tcW w:type="dxa" w:w="14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3-4 days</w:t>
            </w:r>
          </w:p>
        </w:tc>
        <w:tc>
          <w:tcPr>
            <w:tcW w:type="dxa" w:w="3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Fold unique content of heavy sources into targets before redirecting.</w:t>
            </w:r>
          </w:p>
        </w:tc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W2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/integrations/gohighlevel landing</w:t>
            </w:r>
          </w:p>
        </w:tc>
        <w:tc>
          <w:tcPr>
            <w:tcW w:type="dxa" w:w="14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1-2 days</w:t>
            </w:r>
          </w:p>
        </w:tc>
        <w:tc>
          <w:tcPr>
            <w:tcW w:type="dxa" w:w="3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Must exist before the GHL redirect.</w:t>
            </w:r>
          </w:p>
        </w:tc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W2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/partners reseller hub</w:t>
            </w:r>
          </w:p>
        </w:tc>
        <w:tc>
          <w:tcPr>
            <w:tcW w:type="dxa" w:w="14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2-3 days</w:t>
            </w:r>
          </w:p>
        </w:tc>
        <w:tc>
          <w:tcPr>
            <w:tcW w:type="dxa" w:w="3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Consolidate 3 invisible pages + real program content.</w:t>
            </w:r>
          </w:p>
        </w:tc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W3</w:t>
            </w:r>
          </w:p>
        </w:tc>
      </w:tr>
      <w:tr>
        <w:tc>
          <w:tcPr>
            <w:tcW w:type="dxa" w:w="30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Internal-linking pass</w:t>
            </w:r>
          </w:p>
        </w:tc>
        <w:tc>
          <w:tcPr>
            <w:tcW w:type="dxa" w:w="14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1-2 days</w:t>
            </w:r>
          </w:p>
        </w:tc>
        <w:tc>
          <w:tcPr>
            <w:tcW w:type="dxa" w:w="35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Wire blogs + new content up to /whitelabel and /partners.</w:t>
            </w:r>
          </w:p>
        </w:tc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W3-W4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i/>
          <w:iCs/>
          <w:color w:val="5A6675"/>
          <w:sz w:val="20"/>
          <w:szCs w:val="20"/>
        </w:rPr>
        <w:t xml:space="preserve">Totals ≈ 24 content person-days + ~5 dev-days across four weeks. That is the resourcing the schedule below assumes.</w:t>
      </w:r>
    </w:p>
    <w:p>
      <w:pPr>
        <w:pBdr>
          <w:bottom w:val="single" w:color="D9DEE8" w:sz="6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16223C"/>
          <w:sz w:val="26"/>
          <w:szCs w:val="26"/>
        </w:rPr>
        <w:t xml:space="preserve">The four weeks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1300"/>
        <w:gridCol w:w="6660"/>
        <w:gridCol w:w="1400"/>
      </w:tblGrid>
      <w:tr>
        <w:trPr>
          <w:tblHeader/>
        </w:trPr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Week</w:t>
            </w:r>
          </w:p>
        </w:tc>
        <w:tc>
          <w:tcPr>
            <w:tcW w:type="dxa" w:w="66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What ships</w:t>
            </w:r>
          </w:p>
        </w:tc>
        <w:tc>
          <w:tcPr>
            <w:tcW w:type="dxa" w:w="1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Gate / check</w:t>
            </w:r>
          </w:p>
        </w:tc>
      </w:tr>
      <w:tr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W1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14-20 Sep</w:t>
            </w:r>
          </w:p>
        </w:tc>
        <w:tc>
          <w:tcPr>
            <w:tcW w:type="dxa" w:w="66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• Dev: all 17 snippet title/meta rewrites live (P0+P1+P2 — copy is ready).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• Dev: structured data + self-canonicals sitewide. Freeze baseline.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• Dev: fire Redirect WAVE 1 — 9 pages, &lt;1k impr (dead/low; little or no content to merge).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• Content: /whitelabel rebuild — draft.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• Content: publish Blog 1 (White-Label Partnerships: Complete Guide) + Blog 2 (Best White-Label Reseller Programs 2026) — both feed /partners.</w:t>
            </w:r>
          </w:p>
        </w:tc>
        <w:tc>
          <w:tcPr>
            <w:tcW w:type="dxa" w:w="1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Baseline frozen; Wave-1 301s verified</w:t>
            </w:r>
          </w:p>
        </w:tc>
      </w:tr>
      <w:tr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W2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21-27 Sep</w:t>
            </w:r>
          </w:p>
        </w:tc>
        <w:tc>
          <w:tcPr>
            <w:tcW w:type="dxa" w:w="66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• Content: publish the rebuilt /whitelabel hub.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• Content: publish Blog 3 (White-Label SaaS Platforms) + Blog 4 (White-Label Tools for Agencies).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• Content: merge Wave-2 sources into targets; rewrite the 2 chatbot reframe pages.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• Dev: build /integrations/gohighlevel (before its Wave-2 redirect).</w:t>
            </w:r>
          </w:p>
        </w:tc>
        <w:tc>
          <w:tcPr>
            <w:tcW w:type="dxa" w:w="1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Wave-1 health check</w:t>
            </w:r>
          </w:p>
        </w:tc>
      </w:tr>
      <w:tr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W3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28 Sep-4 Oct</w:t>
            </w:r>
          </w:p>
        </w:tc>
        <w:tc>
          <w:tcPr>
            <w:tcW w:type="dxa" w:w="66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• Dev: fire Redirect WAVE 2 — 13 pages, ≥1k impr (incl. the 44k / 18k / 16k pages). Publish chatbot reframes.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• Content: 6 P1 on-page rewrites; /partners reseller hub (consolidate /reseller, /oem, /referral + content).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• Content: publish Blog 5 (Best AI White-Label Services) + Blog 6 (White-Label Digital Products).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• SEO: internal-linking pass begins (blogs + new content → /whitelabel, /partners).</w:t>
            </w:r>
          </w:p>
        </w:tc>
        <w:tc>
          <w:tcPr>
            <w:tcW w:type="dxa" w:w="1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Wave-2 301s verified</w:t>
            </w:r>
          </w:p>
        </w:tc>
      </w:tr>
      <w:tr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W4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5-11 Oct</w:t>
            </w:r>
          </w:p>
        </w:tc>
        <w:tc>
          <w:tcPr>
            <w:tcW w:type="dxa" w:w="66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• SEO: finish internal linking; orphan sweep + link QA.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• Dev: /integrations directory (light) if capacity allows.</w:t>
            </w:r>
          </w:p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• CHECKPOINT: early CTR read (snippets, ~3 wks); Wave-2 health; /whitelabel head-term movement; programme review.</w:t>
            </w:r>
          </w:p>
        </w:tc>
        <w:tc>
          <w:tcPr>
            <w:tcW w:type="dxa" w:w="14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End-of-sprint review</w:t>
            </w:r>
          </w:p>
        </w:tc>
      </w:tr>
    </w:tbl>
    <w:p>
      <w:pPr>
        <w:pBdr>
          <w:bottom w:val="single" w:color="D9DEE8" w:sz="6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16223C"/>
          <w:sz w:val="26"/>
          <w:szCs w:val="26"/>
        </w:rPr>
        <w:t xml:space="preserve">The 6 new white-label blogs (Insighto gaps)</w:t>
      </w:r>
    </w:p>
    <w:p>
      <w:pPr>
        <w:spacing w:after="90"/>
      </w:pPr>
      <w:r>
        <w:rPr>
          <w:rFonts w:ascii="Calibri" w:cs="Calibri" w:eastAsia="Calibri" w:hAnsi="Calibri"/>
          <w:i w:val="false"/>
          <w:iCs w:val="false"/>
          <w:color w:val="5A6675"/>
          <w:sz w:val="20"/>
          <w:szCs w:val="20"/>
        </w:rPr>
        <w:t xml:space="preserve">Topics Insighto ranks for and Trillet has zero of — the top-of-funnel discovery layer above voice-AI-white-label. Prioritised so the two that feed the invisible /partners funnel go first.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600"/>
        <w:gridCol w:w="3550"/>
        <w:gridCol w:w="3060"/>
        <w:gridCol w:w="2150"/>
      </w:tblGrid>
      <w:tr>
        <w:trPr>
          <w:tblHeader/>
        </w:trPr>
        <w:tc>
          <w:tcPr>
            <w:tcW w:type="dxa" w:w="6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Blog</w:t>
            </w:r>
          </w:p>
        </w:tc>
        <w:tc>
          <w:tcPr>
            <w:tcW w:type="dxa" w:w="30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Targets / gap</w:t>
            </w:r>
          </w:p>
        </w:tc>
        <w:tc>
          <w:tcPr>
            <w:tcW w:type="dxa" w:w="2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Funnel role · week</w:t>
            </w:r>
          </w:p>
        </w:tc>
      </w:tr>
      <w:tr>
        <w:tc>
          <w:tcPr>
            <w:tcW w:type="dxa" w:w="6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1</w:t>
            </w:r>
          </w:p>
        </w:tc>
        <w:tc>
          <w:tcPr>
            <w:tcW w:type="dxa" w:w="3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White-Label Partnerships: The Complete Guide</w:t>
            </w:r>
          </w:p>
        </w:tc>
        <w:tc>
          <w:tcPr>
            <w:tcW w:type="dxa" w:w="30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"white label partnerships" — informational pillar; Trillet: none</w:t>
            </w:r>
          </w:p>
        </w:tc>
        <w:tc>
          <w:tcPr>
            <w:tcW w:type="dxa" w:w="2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→ /partners · W1</w:t>
            </w:r>
          </w:p>
        </w:tc>
      </w:tr>
      <w:tr>
        <w:tc>
          <w:tcPr>
            <w:tcW w:type="dxa" w:w="6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2</w:t>
            </w:r>
          </w:p>
        </w:tc>
        <w:tc>
          <w:tcPr>
            <w:tcW w:type="dxa" w:w="3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Best White-Label Reseller Programs 2026</w:t>
            </w:r>
          </w:p>
        </w:tc>
        <w:tc>
          <w:tcPr>
            <w:tcW w:type="dxa" w:w="30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"white label reseller programs" — broad roundup; Trillet: voice-only</w:t>
            </w:r>
          </w:p>
        </w:tc>
        <w:tc>
          <w:tcPr>
            <w:tcW w:type="dxa" w:w="2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→ /partners, /whitelabel · W1</w:t>
            </w:r>
          </w:p>
        </w:tc>
      </w:tr>
      <w:tr>
        <w:tc>
          <w:tcPr>
            <w:tcW w:type="dxa" w:w="6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3</w:t>
            </w:r>
          </w:p>
        </w:tc>
        <w:tc>
          <w:tcPr>
            <w:tcW w:type="dxa" w:w="3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Best White-Label SaaS Platforms to Resell 2026</w:t>
            </w:r>
          </w:p>
        </w:tc>
        <w:tc>
          <w:tcPr>
            <w:tcW w:type="dxa" w:w="30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"white label saas" — broad, high volume</w:t>
            </w:r>
          </w:p>
        </w:tc>
        <w:tc>
          <w:tcPr>
            <w:tcW w:type="dxa" w:w="2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→ /whitelabel · W2</w:t>
            </w:r>
          </w:p>
        </w:tc>
      </w:tr>
      <w:tr>
        <w:tc>
          <w:tcPr>
            <w:tcW w:type="dxa" w:w="6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4</w:t>
            </w:r>
          </w:p>
        </w:tc>
        <w:tc>
          <w:tcPr>
            <w:tcW w:type="dxa" w:w="3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White-Label Tools for Agencies: 2026 Stack</w:t>
            </w:r>
          </w:p>
        </w:tc>
        <w:tc>
          <w:tcPr>
            <w:tcW w:type="dxa" w:w="30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"white label tools for agencies" — Trillet: none</w:t>
            </w:r>
          </w:p>
        </w:tc>
        <w:tc>
          <w:tcPr>
            <w:tcW w:type="dxa" w:w="2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→ /whitelabel · W2</w:t>
            </w:r>
          </w:p>
        </w:tc>
      </w:tr>
      <w:tr>
        <w:tc>
          <w:tcPr>
            <w:tcW w:type="dxa" w:w="6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5</w:t>
            </w:r>
          </w:p>
        </w:tc>
        <w:tc>
          <w:tcPr>
            <w:tcW w:type="dxa" w:w="3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Best AI White-Label Services to Resell 2026</w:t>
            </w:r>
          </w:p>
        </w:tc>
        <w:tc>
          <w:tcPr>
            <w:tcW w:type="dxa" w:w="30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"ai white label services" — Trillet: voice-specific only</w:t>
            </w:r>
          </w:p>
        </w:tc>
        <w:tc>
          <w:tcPr>
            <w:tcW w:type="dxa" w:w="2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→ /whitelabel, /partners · W3</w:t>
            </w:r>
          </w:p>
        </w:tc>
      </w:tr>
      <w:tr>
        <w:tc>
          <w:tcPr>
            <w:tcW w:type="dxa" w:w="6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6</w:t>
            </w:r>
          </w:p>
        </w:tc>
        <w:tc>
          <w:tcPr>
            <w:tcW w:type="dxa" w:w="35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Best White-Label Digital Products to Sell 2026</w:t>
            </w:r>
          </w:p>
        </w:tc>
        <w:tc>
          <w:tcPr>
            <w:tcW w:type="dxa" w:w="30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"white label digital products" — Trillet: none</w:t>
            </w:r>
          </w:p>
        </w:tc>
        <w:tc>
          <w:tcPr>
            <w:tcW w:type="dxa" w:w="21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→ /whitelabel · W3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i/>
          <w:iCs/>
          <w:color w:val="5A6675"/>
          <w:sz w:val="20"/>
          <w:szCs w:val="20"/>
        </w:rPr>
        <w:t xml:space="preserve">These are listicle/guide formats — they name other tools/categories, which is standard on a blog (not the homepage): Trillet is the featured pick, leading with compliance and the auditable record. They trade higher reach for lower voice-AI intent than the existing high-intent pages.</w:t>
      </w:r>
    </w:p>
    <w:p>
      <w:pPr>
        <w:pBdr>
          <w:bottom w:val="single" w:color="D9DEE8" w:sz="6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16223C"/>
          <w:sz w:val="26"/>
          <w:szCs w:val="26"/>
        </w:rPr>
        <w:t xml:space="preserve">Redirect waves (22, in two gated waves)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1250"/>
        <w:gridCol w:w="1300"/>
        <w:gridCol w:w="900"/>
        <w:gridCol w:w="5910"/>
      </w:tblGrid>
      <w:tr>
        <w:trPr>
          <w:tblHeader/>
        </w:trPr>
        <w:tc>
          <w:tcPr>
            <w:tcW w:type="dxa" w:w="12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Wave</w:t>
            </w:r>
          </w:p>
        </w:tc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Fire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Pages</w:t>
            </w:r>
          </w:p>
        </w:tc>
        <w:tc>
          <w:tcPr>
            <w:tcW w:type="dxa" w:w="59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Contents</w:t>
            </w:r>
          </w:p>
        </w:tc>
      </w:tr>
      <w:tr>
        <w:tc>
          <w:tcPr>
            <w:tcW w:type="dxa" w:w="12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WAVE 1</w:t>
            </w:r>
          </w:p>
        </w:tc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W1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9</w:t>
            </w:r>
          </w:p>
        </w:tc>
        <w:tc>
          <w:tcPr>
            <w:tcW w:type="dxa" w:w="59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&lt;1k impr — dead &amp; low, little/no content to merge. Validates the mechanics safely. Incl. how-do-white-label-chatbots-work, voice-ai-architecture-native-vs-wrapper, ai-chatbot-agency-business-model, monthly-revenue-breakdown, voice-ai-vs-text-ai-for-customer-service, ghl-v3-native-ai-vs-dedicated, how-much-money-can-you-make, white-label-ai-profit-margin-analysis.</w:t>
            </w:r>
          </w:p>
        </w:tc>
      </w:tr>
      <w:tr>
        <w:tc>
          <w:tcPr>
            <w:tcW w:type="dxa" w:w="125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WAVE 2</w:t>
            </w:r>
          </w:p>
        </w:tc>
        <w:tc>
          <w:tcPr>
            <w:tcW w:type="dxa" w:w="13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W3</w:t>
            </w:r>
          </w:p>
        </w:tc>
        <w:tc>
          <w:tcPr>
            <w:tcW w:type="dxa" w:w="9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13</w:t>
            </w:r>
          </w:p>
        </w:tc>
        <w:tc>
          <w:tcPr>
            <w:tcW w:type="dxa" w:w="591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spacing w:after="0" w:line="248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5"/>
                <w:szCs w:val="15"/>
              </w:rPr>
              <w:t xml:space="preserve">≥1k impr — content folded into targets in W2 first, fired after Wave 1 is verified. Incl. the heavy hitters: best-white-label-ai-chatbot-for-agencies-2026 (44k), gohighlevel-voice-ai-integration (18k → /integrations/gohighlevel), what-is-white-label-ai-chatbot (17k), ai-receptionist-white-label-pricing (16k), white-label-ai-chatbot-pricing-comparison (14k), + 8 more.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i/>
          <w:iCs/>
          <w:color w:val="5A6675"/>
          <w:sz w:val="20"/>
          <w:szCs w:val="20"/>
        </w:rPr>
        <w:t xml:space="preserve">Two waves, not three — four weeks does not allow three gated checkpoints. Rollback rule: if a 301 doesn't resolve or a target loses material ranking, pause and diagnose before continuing. If content capacity is tight, the heaviest Wave-2 merges can slip a few days into W4 without breaking anything.</w:t>
      </w:r>
    </w:p>
    <w:p>
      <w:pPr>
        <w:pBdr>
          <w:bottom w:val="single" w:color="D9DEE8" w:sz="6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16223C"/>
          <w:sz w:val="26"/>
          <w:szCs w:val="26"/>
        </w:rPr>
        <w:t xml:space="preserve">Cut from scope (deferred, not dropped)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Index hubs — /whitelabel/compare, /industries, /academy, /reviews. </w:t>
      </w:r>
      <w:r>
        <w:rPr>
          <w:rFonts w:ascii="Calibri" w:cs="Calibri" w:eastAsia="Calibri" w:hAnsi="Calibri"/>
          <w:b w:val="false"/>
          <w:bCs w:val="false"/>
          <w:color w:val="24303F"/>
          <w:sz w:val="19"/>
          <w:szCs w:val="19"/>
        </w:rPr>
        <w:t xml:space="preserve">Structural nice-to-haves; the internal-linking pass covers the same authority routing for now. Build post-sprint.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 w:val="false"/>
          <w:bCs w:val="false"/>
          <w:color w:val="24303F"/>
          <w:sz w:val="19"/>
          <w:szCs w:val="19"/>
        </w:rPr>
        <w:t xml:space="preserve">The 2 chatbot REFRAME pages stay as reframes, not redirects — </w:t>
      </w:r>
      <w:r>
        <w:rPr>
          <w:rFonts w:ascii="Calibri" w:cs="Calibri" w:eastAsia="Calibri" w:hAnsi="Calibri"/>
          <w:b w:val="false"/>
          <w:bCs w:val="false"/>
          <w:color w:val="24303F"/>
          <w:sz w:val="19"/>
          <w:szCs w:val="19"/>
        </w:rPr>
        <w:t xml:space="preserve">they hold real query demand; rewriting to voice framing keeps it.</w:t>
      </w:r>
    </w:p>
    <w:p>
      <w:pPr>
        <w:spacing w:after="60" w:before="60"/>
      </w:pPr>
      <w:r>
        <w:rPr>
          <w:rFonts w:ascii="Georgia" w:cs="Georgia" w:eastAsia="Georgia" w:hAnsi="Georgia"/>
          <w:b/>
          <w:bCs/>
          <w:color w:val="16223C"/>
          <w:sz w:val="26"/>
          <w:szCs w:val="26"/>
        </w:rPr>
        <w:t xml:space="preserve">Honest risks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Content is the bottleneck. </w:t>
      </w:r>
      <w:r>
        <w:rPr>
          <w:rFonts w:ascii="Calibri" w:cs="Calibri" w:eastAsia="Calibri" w:hAnsi="Calibri"/>
          <w:b w:val="false"/>
          <w:bCs w:val="false"/>
          <w:color w:val="24303F"/>
          <w:sz w:val="19"/>
          <w:szCs w:val="19"/>
        </w:rPr>
        <w:t xml:space="preserve">~24 content-days in four weeks needs real writing capacity. Short on it, cut Blogs 3-6 first (lower intent) — never the hub rebuild or the merges.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Tighter redirect gating. </w:t>
      </w:r>
      <w:r>
        <w:rPr>
          <w:rFonts w:ascii="Calibri" w:cs="Calibri" w:eastAsia="Calibri" w:hAnsi="Calibri"/>
          <w:b w:val="false"/>
          <w:bCs w:val="false"/>
          <w:color w:val="24303F"/>
          <w:sz w:val="19"/>
          <w:szCs w:val="19"/>
        </w:rPr>
        <w:t xml:space="preserve">One week between waves gives partial reindex signal. The rollback rule matters more at this pace.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4303F"/>
          <w:sz w:val="19"/>
          <w:szCs w:val="19"/>
        </w:rPr>
        <w:t xml:space="preserve">The W4 review is a direction read, not a result. </w:t>
      </w:r>
      <w:r>
        <w:rPr>
          <w:rFonts w:ascii="Calibri" w:cs="Calibri" w:eastAsia="Calibri" w:hAnsi="Calibri"/>
          <w:b w:val="false"/>
          <w:bCs w:val="false"/>
          <w:color w:val="24303F"/>
          <w:sz w:val="19"/>
          <w:szCs w:val="19"/>
        </w:rPr>
        <w:t xml:space="preserve">Consolidation ranking gains take 4-8 weeks; the real read is ~mid-to-late October. Snippet CTR moves faster and should show first.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03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2026-09-11T17:52:25.813Z</dcterms:created>
  <dcterms:modified xsi:type="dcterms:W3CDTF">2026-09-11T17:52:25.831Z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