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pPr>
      <w:r>
        <w:rPr>
          <w:rFonts w:ascii="Consolas" w:cs="Consolas" w:eastAsia="Consolas" w:hAnsi="Consolas"/>
          <w:b/>
          <w:bCs/>
          <w:color w:val="9A6B3F"/>
          <w:spacing w:val="18"/>
          <w:sz w:val="15"/>
          <w:szCs w:val="15"/>
        </w:rPr>
        <w:t xml:space="preserve">TRILLET · ARTICLE DRAFT V2 · BLOG 1 OF 6</w:t>
      </w:r>
    </w:p>
    <w:p>
      <w:pPr>
        <w:spacing w:after="70"/>
      </w:pPr>
      <w:r>
        <w:rPr>
          <w:rFonts w:ascii="Georgia" w:cs="Georgia" w:eastAsia="Georgia" w:hAnsi="Georgia"/>
          <w:b/>
          <w:bCs/>
          <w:color w:val="16223C"/>
          <w:sz w:val="38"/>
          <w:szCs w:val="38"/>
        </w:rPr>
        <w:t xml:space="preserve">What I Wish I Knew Before My First White-Label Partnership</w:t>
      </w:r>
    </w:p>
    <w:p>
      <w:pPr>
        <w:spacing w:after="26"/>
      </w:pPr>
      <w:r>
        <w:rPr>
          <w:rFonts w:ascii="Consolas" w:cs="Consolas" w:eastAsia="Consolas" w:hAnsi="Consolas"/>
          <w:b/>
          <w:bCs/>
          <w:color w:val="9A6B3F"/>
          <w:sz w:val="14"/>
          <w:szCs w:val="14"/>
        </w:rPr>
        <w:t xml:space="preserve">SLUG   </w:t>
      </w:r>
      <w:r>
        <w:rPr>
          <w:rFonts w:ascii="Consolas" w:cs="Consolas" w:eastAsia="Consolas" w:hAnsi="Consolas"/>
          <w:b w:val="false"/>
          <w:bCs w:val="false"/>
          <w:color w:val="24303F"/>
          <w:sz w:val="15"/>
          <w:szCs w:val="15"/>
        </w:rPr>
        <w:t xml:space="preserve">/blogs/white-label-partnerships-guide  (evergreen)</w:t>
      </w:r>
    </w:p>
    <w:p>
      <w:pPr>
        <w:spacing w:after="26"/>
      </w:pPr>
      <w:r>
        <w:rPr>
          <w:rFonts w:ascii="Consolas" w:cs="Consolas" w:eastAsia="Consolas" w:hAnsi="Consolas"/>
          <w:b/>
          <w:bCs/>
          <w:color w:val="9A6B3F"/>
          <w:sz w:val="14"/>
          <w:szCs w:val="14"/>
        </w:rPr>
        <w:t xml:space="preserve">META TITLE   </w:t>
      </w:r>
      <w:r>
        <w:rPr>
          <w:rFonts w:ascii="Consolas" w:cs="Consolas" w:eastAsia="Consolas" w:hAnsi="Consolas"/>
          <w:b w:val="false"/>
          <w:bCs w:val="false"/>
          <w:color w:val="24303F"/>
          <w:sz w:val="15"/>
          <w:szCs w:val="15"/>
        </w:rPr>
        <w:t xml:space="preserve">White-Label Partnerships: What Nobody Tells You (2026)  (54)</w:t>
      </w:r>
    </w:p>
    <w:p>
      <w:pPr>
        <w:spacing w:after="26"/>
      </w:pPr>
      <w:r>
        <w:rPr>
          <w:rFonts w:ascii="Consolas" w:cs="Consolas" w:eastAsia="Consolas" w:hAnsi="Consolas"/>
          <w:b/>
          <w:bCs/>
          <w:color w:val="9A6B3F"/>
          <w:sz w:val="14"/>
          <w:szCs w:val="14"/>
        </w:rPr>
        <w:t xml:space="preserve">META DESC   </w:t>
      </w:r>
      <w:r>
        <w:rPr>
          <w:rFonts w:ascii="Consolas" w:cs="Consolas" w:eastAsia="Consolas" w:hAnsi="Consolas"/>
          <w:b w:val="false"/>
          <w:bCs w:val="false"/>
          <w:color w:val="24303F"/>
          <w:sz w:val="14"/>
          <w:szCs w:val="14"/>
        </w:rPr>
        <w:t xml:space="preserve">White-label partnerships from the operator's seat: how the margin really works, why you own every mistake, and the questions I ask before signing.  (146)</w:t>
      </w:r>
    </w:p>
    <w:p>
      <w:pPr>
        <w:spacing w:after="26"/>
      </w:pPr>
      <w:r>
        <w:rPr>
          <w:rFonts w:ascii="Consolas" w:cs="Consolas" w:eastAsia="Consolas" w:hAnsi="Consolas"/>
          <w:b/>
          <w:bCs/>
          <w:color w:val="9A6B3F"/>
          <w:sz w:val="14"/>
          <w:szCs w:val="14"/>
        </w:rPr>
        <w:t xml:space="preserve">PRIMARY KW   </w:t>
      </w:r>
      <w:r>
        <w:rPr>
          <w:rFonts w:ascii="Calibri" w:cs="Calibri" w:eastAsia="Calibri" w:hAnsi="Calibri"/>
          <w:b w:val="false"/>
          <w:bCs w:val="false"/>
          <w:color w:val="24303F"/>
          <w:sz w:val="17"/>
          <w:szCs w:val="17"/>
        </w:rPr>
        <w:t xml:space="preserve">white label partnerships</w:t>
      </w:r>
    </w:p>
    <w:p>
      <w:pPr>
        <w:spacing w:after="26"/>
      </w:pPr>
      <w:r>
        <w:rPr>
          <w:rFonts w:ascii="Consolas" w:cs="Consolas" w:eastAsia="Consolas" w:hAnsi="Consolas"/>
          <w:b/>
          <w:bCs/>
          <w:color w:val="9A6B3F"/>
          <w:sz w:val="14"/>
          <w:szCs w:val="14"/>
        </w:rPr>
        <w:t xml:space="preserve">SECONDARY   </w:t>
      </w:r>
      <w:r>
        <w:rPr>
          <w:rFonts w:ascii="Calibri" w:cs="Calibri" w:eastAsia="Calibri" w:hAnsi="Calibri"/>
          <w:b w:val="false"/>
          <w:bCs w:val="false"/>
          <w:color w:val="24303F"/>
          <w:sz w:val="17"/>
          <w:szCs w:val="17"/>
        </w:rPr>
        <w:t xml:space="preserve">white label partnership guide · how white label partnerships work · how to choose a white label partner · white label partner agreement</w:t>
      </w:r>
    </w:p>
    <w:p>
      <w:pPr>
        <w:spacing w:after="26"/>
      </w:pPr>
      <w:r>
        <w:rPr>
          <w:rFonts w:ascii="Consolas" w:cs="Consolas" w:eastAsia="Consolas" w:hAnsi="Consolas"/>
          <w:b/>
          <w:bCs/>
          <w:color w:val="9A6B3F"/>
          <w:sz w:val="14"/>
          <w:szCs w:val="14"/>
        </w:rPr>
        <w:t xml:space="preserve">VOICE   </w:t>
      </w:r>
      <w:r>
        <w:rPr>
          <w:rFonts w:ascii="Calibri" w:cs="Calibri" w:eastAsia="Calibri" w:hAnsi="Calibri"/>
          <w:b w:val="false"/>
          <w:bCs w:val="false"/>
          <w:color w:val="24303F"/>
          <w:sz w:val="17"/>
          <w:szCs w:val="17"/>
        </w:rPr>
        <w:t xml:space="preserve">First person, practitioner sharing experience. Opinionated, specific, admits trade-offs. Australian spelling, few em-dashes, no hype.</w:t>
      </w:r>
    </w:p>
    <w:p>
      <w:pPr>
        <w:pBdr>
          <w:bottom w:val="single" w:color="D9DEE8" w:sz="6"/>
        </w:pBdr>
        <w:spacing w:after="120" w:before="120"/>
      </w:pPr>
      <w:r>
        <w:t xml:space="preserve"/>
      </w:r>
    </w:p>
    <w:p>
      <w:pPr>
        <w:spacing w:after="16" w:before="90"/>
      </w:pPr>
      <w:r>
        <w:rPr>
          <w:rFonts w:ascii="Calibri" w:cs="Calibri" w:eastAsia="Calibri" w:hAnsi="Calibri"/>
          <w:b/>
          <w:bCs/>
          <w:color w:val="16223C"/>
          <w:sz w:val="20"/>
          <w:szCs w:val="20"/>
        </w:rPr>
        <w:t xml:space="preserve">Before publishing — confirm these</w:t>
      </w:r>
    </w:p>
    <w:p>
      <w:pPr>
        <w:spacing w:after="50"/>
      </w:pPr>
      <w:r>
        <w:rPr>
          <w:rFonts w:ascii="Consolas" w:cs="Consolas" w:eastAsia="Consolas" w:hAnsi="Consolas"/>
          <w:b/>
          <w:bCs/>
          <w:color w:val="B4442E"/>
          <w:sz w:val="14"/>
          <w:szCs w:val="14"/>
        </w:rPr>
        <w:t xml:space="preserve">⚑ VERIFY  </w:t>
      </w:r>
      <w:r>
        <w:rPr>
          <w:rFonts w:ascii="Calibri" w:cs="Calibri" w:eastAsia="Calibri" w:hAnsi="Calibri"/>
          <w:color w:val="5A6675"/>
          <w:sz w:val="17"/>
          <w:szCs w:val="17"/>
        </w:rPr>
        <w:t xml:space="preserve">Byline must be a real person with genuine agency/partner experience — the first-person voice only earns E-E-A-T if the author is real. Add author bio + credentials.</w:t>
      </w:r>
    </w:p>
    <w:p>
      <w:pPr>
        <w:spacing w:after="70"/>
      </w:pPr>
      <w:r>
        <w:rPr>
          <w:rFonts w:ascii="Consolas" w:cs="Consolas" w:eastAsia="Consolas" w:hAnsi="Consolas"/>
          <w:b/>
          <w:bCs/>
          <w:color w:val="9A6B3F"/>
          <w:sz w:val="14"/>
          <w:szCs w:val="14"/>
        </w:rPr>
        <w:t xml:space="preserve">[author note] </w:t>
      </w:r>
      <w:r>
        <w:rPr>
          <w:rFonts w:ascii="Calibri" w:cs="Calibri" w:eastAsia="Calibri" w:hAnsi="Calibri"/>
          <w:i/>
          <w:iCs/>
          <w:color w:val="5A6675"/>
          <w:sz w:val="16"/>
          <w:szCs w:val="16"/>
        </w:rPr>
        <w:t xml:space="preserve">Where you see [author note], drop in one true, specific detail from your own experience (a real client count, a real month it went wrong, a real number). Do not invent — replace with something true or cut it.</w:t>
      </w:r>
    </w:p>
    <w:p>
      <w:pPr>
        <w:spacing w:after="50"/>
      </w:pPr>
      <w:r>
        <w:rPr>
          <w:rFonts w:ascii="Consolas" w:cs="Consolas" w:eastAsia="Consolas" w:hAnsi="Consolas"/>
          <w:b/>
          <w:bCs/>
          <w:color w:val="B4442E"/>
          <w:sz w:val="14"/>
          <w:szCs w:val="14"/>
        </w:rPr>
        <w:t xml:space="preserve">⚑ VERIFY  </w:t>
      </w:r>
      <w:r>
        <w:rPr>
          <w:rFonts w:ascii="Calibri" w:cs="Calibri" w:eastAsia="Calibri" w:hAnsi="Calibri"/>
          <w:color w:val="5A6675"/>
          <w:sz w:val="17"/>
          <w:szCs w:val="17"/>
        </w:rPr>
        <w:t xml:space="preserve">Trillet pricing is cited inconsistently across the site. Use margin framing here; confirm any figure against the canonical /whitelabel/pricing before publish.</w:t>
      </w:r>
    </w:p>
    <w:p>
      <w:pPr>
        <w:spacing w:after="50"/>
      </w:pPr>
      <w:r>
        <w:rPr>
          <w:rFonts w:ascii="Consolas" w:cs="Consolas" w:eastAsia="Consolas" w:hAnsi="Consolas"/>
          <w:b/>
          <w:bCs/>
          <w:color w:val="B4442E"/>
          <w:sz w:val="14"/>
          <w:szCs w:val="14"/>
        </w:rPr>
        <w:t xml:space="preserve">⚑ VERIFY  </w:t>
      </w:r>
      <w:r>
        <w:rPr>
          <w:rFonts w:ascii="Calibri" w:cs="Calibri" w:eastAsia="Calibri" w:hAnsi="Calibri"/>
          <w:color w:val="5A6675"/>
          <w:sz w:val="17"/>
          <w:szCs w:val="17"/>
        </w:rPr>
        <w:t xml:space="preserve">Confirm current certifications (HIPAA, SOC 2, TCPA, GDPR, ACMA) and the audit-trail / on-prem claims are accurate and cleared for public copy.</w:t>
      </w:r>
    </w:p>
    <w:p>
      <w:pPr>
        <w:pBdr>
          <w:bottom w:val="single" w:color="D9DEE8" w:sz="6"/>
        </w:pBdr>
        <w:spacing w:after="120" w:before="120"/>
      </w:pPr>
      <w:r>
        <w:t xml:space="preserve"/>
      </w:r>
    </w:p>
    <w:p>
      <w:pPr>
        <w:spacing w:after="110" w:line="278"/>
      </w:pPr>
      <w:r>
        <w:rPr>
          <w:rFonts w:ascii="Calibri" w:cs="Calibri" w:eastAsia="Calibri" w:hAnsi="Calibri"/>
          <w:b w:val="false"/>
          <w:bCs w:val="false"/>
          <w:i w:val="false"/>
          <w:iCs w:val="false"/>
          <w:color w:val="24303F"/>
          <w:sz w:val="20"/>
          <w:szCs w:val="20"/>
        </w:rPr>
        <w:t xml:space="preserve">I have watched white-label partnerships make an agency’s year, and I have watched them quietly bleed one dry. The product was rarely the thing that decided it. What decided it was the boring stuff nobody asks about on the sales call: who actually answers when something breaks, whether the numbers still work after the vendor raises its rates, and whether you can prove what your AI said when a client’s customer swears it said something else.</w:t>
      </w:r>
    </w:p>
    <w:p>
      <w:pPr>
        <w:spacing w:after="110" w:line="278"/>
      </w:pPr>
      <w:r>
        <w:rPr>
          <w:rFonts w:ascii="Calibri" w:cs="Calibri" w:eastAsia="Calibri" w:hAnsi="Calibri"/>
          <w:b w:val="false"/>
          <w:bCs w:val="false"/>
          <w:i w:val="false"/>
          <w:iCs w:val="false"/>
          <w:color w:val="24303F"/>
          <w:sz w:val="20"/>
          <w:szCs w:val="20"/>
        </w:rPr>
        <w:t xml:space="preserve">So before the definitions, the honest version. A white-label partnership means you sell someone else’s product under your own brand: the vendor builds it and keeps it running, you rebrand it, price it, sell it, and own the client. That part is simple. Everything the sales page leaves out is what this is about, because that is where the money is made or lost.</w:t>
      </w:r>
    </w:p>
    <w:p>
      <w:pPr>
        <w:spacing w:after="70"/>
      </w:pPr>
      <w:r>
        <w:rPr>
          <w:rFonts w:ascii="Consolas" w:cs="Consolas" w:eastAsia="Consolas" w:hAnsi="Consolas"/>
          <w:b/>
          <w:bCs/>
          <w:color w:val="9A6B3F"/>
          <w:sz w:val="14"/>
          <w:szCs w:val="14"/>
        </w:rPr>
        <w:t xml:space="preserve">[author note] </w:t>
      </w:r>
      <w:r>
        <w:rPr>
          <w:rFonts w:ascii="Calibri" w:cs="Calibri" w:eastAsia="Calibri" w:hAnsi="Calibri"/>
          <w:i/>
          <w:iCs/>
          <w:color w:val="5A6675"/>
          <w:sz w:val="16"/>
          <w:szCs w:val="16"/>
        </w:rPr>
        <w:t xml:space="preserve">If you have a two-line origin story — the first partnership you signed, good or bad — open with it instead of the generic first line. A real scene beats a clever sentence.</w:t>
      </w:r>
    </w:p>
    <w:p>
      <w:pPr>
        <w:spacing w:after="50" w:before="150"/>
      </w:pPr>
      <w:r>
        <w:rPr>
          <w:rFonts w:ascii="Georgia" w:cs="Georgia" w:eastAsia="Georgia" w:hAnsi="Georgia"/>
          <w:b/>
          <w:bCs/>
          <w:color w:val="16223C"/>
          <w:sz w:val="25"/>
          <w:szCs w:val="25"/>
        </w:rPr>
        <w:t xml:space="preserve">The labels get blurred on purpose — know which one you’re signing</w:t>
      </w:r>
    </w:p>
    <w:p>
      <w:pPr>
        <w:spacing w:after="110" w:line="278"/>
      </w:pPr>
      <w:r>
        <w:rPr>
          <w:rFonts w:ascii="Calibri" w:cs="Calibri" w:eastAsia="Calibri" w:hAnsi="Calibri"/>
          <w:b w:val="false"/>
          <w:bCs w:val="false"/>
          <w:i w:val="false"/>
          <w:iCs w:val="false"/>
          <w:color w:val="24303F"/>
          <w:sz w:val="20"/>
          <w:szCs w:val="20"/>
        </w:rPr>
        <w:t xml:space="preserve">The first thing I got wrong was assuming “white-label” meant one thing. It doesn’t, and the differences are usually softened on a sales call because the vendor wants you comfortable. They decide how much control and how much margin you actually walk away with.</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1750"/>
        <w:gridCol w:w="4650"/>
        <w:gridCol w:w="2960"/>
      </w:tblGrid>
      <w:tr>
        <w:trPr>
          <w:tblHeader/>
        </w:trPr>
        <w:tc>
          <w:tcPr>
            <w:tcW w:type="dxa" w:w="1750"/>
            <w:tcBorders>
              <w:top w:val="single" w:color="D9DEE8" w:sz="4"/>
              <w:left w:val="single" w:color="D9DEE8" w:sz="4"/>
              <w:bottom w:val="single" w:color="D9DEE8" w:sz="4"/>
              <w:right w:val="single" w:color="D9DEE8" w:sz="4"/>
            </w:tcBorders>
            <w:shd w:fill="16223C" w:color="auto" w:val="clear"/>
            <w:tcMar>
              <w:top w:type="dxa" w:w="60"/>
              <w:left w:type="dxa" w:w="100"/>
              <w:bottom w:type="dxa" w:w="60"/>
              <w:right w:type="dxa" w:w="100"/>
            </w:tcMar>
          </w:tcPr>
          <w:p>
            <w:pPr>
              <w:spacing w:after="0" w:line="250"/>
            </w:pPr>
            <w:r>
              <w:rPr>
                <w:rFonts w:ascii="Calibri" w:cs="Calibri" w:eastAsia="Calibri" w:hAnsi="Calibri"/>
                <w:b/>
                <w:bCs/>
                <w:color w:val="FFFFFF"/>
                <w:sz w:val="15"/>
                <w:szCs w:val="15"/>
              </w:rPr>
              <w:t xml:space="preserve">What they call it</w:t>
            </w:r>
          </w:p>
        </w:tc>
        <w:tc>
          <w:tcPr>
            <w:tcW w:type="dxa" w:w="4650"/>
            <w:tcBorders>
              <w:top w:val="single" w:color="D9DEE8" w:sz="4"/>
              <w:left w:val="single" w:color="D9DEE8" w:sz="4"/>
              <w:bottom w:val="single" w:color="D9DEE8" w:sz="4"/>
              <w:right w:val="single" w:color="D9DEE8" w:sz="4"/>
            </w:tcBorders>
            <w:shd w:fill="16223C" w:color="auto" w:val="clear"/>
            <w:tcMar>
              <w:top w:type="dxa" w:w="60"/>
              <w:left w:type="dxa" w:w="100"/>
              <w:bottom w:type="dxa" w:w="60"/>
              <w:right w:type="dxa" w:w="100"/>
            </w:tcMar>
          </w:tcPr>
          <w:p>
            <w:pPr>
              <w:spacing w:after="0" w:line="250"/>
            </w:pPr>
            <w:r>
              <w:rPr>
                <w:rFonts w:ascii="Calibri" w:cs="Calibri" w:eastAsia="Calibri" w:hAnsi="Calibri"/>
                <w:b/>
                <w:bCs/>
                <w:color w:val="FFFFFF"/>
                <w:sz w:val="15"/>
                <w:szCs w:val="15"/>
              </w:rPr>
              <w:t xml:space="preserve">What you’re actually getting</w:t>
            </w:r>
          </w:p>
        </w:tc>
        <w:tc>
          <w:tcPr>
            <w:tcW w:type="dxa" w:w="2960"/>
            <w:tcBorders>
              <w:top w:val="single" w:color="D9DEE8" w:sz="4"/>
              <w:left w:val="single" w:color="D9DEE8" w:sz="4"/>
              <w:bottom w:val="single" w:color="D9DEE8" w:sz="4"/>
              <w:right w:val="single" w:color="D9DEE8" w:sz="4"/>
            </w:tcBorders>
            <w:shd w:fill="16223C" w:color="auto" w:val="clear"/>
            <w:tcMar>
              <w:top w:type="dxa" w:w="60"/>
              <w:left w:type="dxa" w:w="100"/>
              <w:bottom w:type="dxa" w:w="60"/>
              <w:right w:type="dxa" w:w="100"/>
            </w:tcMar>
          </w:tcPr>
          <w:p>
            <w:pPr>
              <w:spacing w:after="0" w:line="250"/>
            </w:pPr>
            <w:r>
              <w:rPr>
                <w:rFonts w:ascii="Calibri" w:cs="Calibri" w:eastAsia="Calibri" w:hAnsi="Calibri"/>
                <w:b/>
                <w:bCs/>
                <w:color w:val="FFFFFF"/>
                <w:sz w:val="15"/>
                <w:szCs w:val="15"/>
              </w:rPr>
              <w:t xml:space="preserve">Who owns the client</w:t>
            </w:r>
          </w:p>
        </w:tc>
      </w:tr>
      <w:tr>
        <w:tc>
          <w:tcPr>
            <w:tcW w:type="dxa" w:w="17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White-label</w:t>
            </w:r>
          </w:p>
        </w:tc>
        <w:tc>
          <w:tcPr>
            <w:tcW w:type="dxa" w:w="46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The product sold fully as your brand — your name, your pricing.</w:t>
            </w:r>
          </w:p>
        </w:tc>
        <w:tc>
          <w:tcPr>
            <w:tcW w:type="dxa" w:w="29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You</w:t>
            </w:r>
          </w:p>
        </w:tc>
      </w:tr>
      <w:tr>
        <w:tc>
          <w:tcPr>
            <w:tcW w:type="dxa" w:w="17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Reseller</w:t>
            </w:r>
          </w:p>
        </w:tc>
        <w:tc>
          <w:tcPr>
            <w:tcW w:type="dxa" w:w="46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You sell it, often with the vendor’s brand showing, for a margin.</w:t>
            </w:r>
          </w:p>
        </w:tc>
        <w:tc>
          <w:tcPr>
            <w:tcW w:type="dxa" w:w="29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Shared, leaning vendor</w:t>
            </w:r>
          </w:p>
        </w:tc>
      </w:tr>
      <w:tr>
        <w:tc>
          <w:tcPr>
            <w:tcW w:type="dxa" w:w="17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Referral / affiliate</w:t>
            </w:r>
          </w:p>
        </w:tc>
        <w:tc>
          <w:tcPr>
            <w:tcW w:type="dxa" w:w="46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You pass leads over and take a cut. Nothing is yours.</w:t>
            </w:r>
          </w:p>
        </w:tc>
        <w:tc>
          <w:tcPr>
            <w:tcW w:type="dxa" w:w="29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Vendor</w:t>
            </w:r>
          </w:p>
        </w:tc>
      </w:tr>
      <w:tr>
        <w:tc>
          <w:tcPr>
            <w:tcW w:type="dxa" w:w="17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OEM</w:t>
            </w:r>
          </w:p>
        </w:tc>
        <w:tc>
          <w:tcPr>
            <w:tcW w:type="dxa" w:w="46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Their engine sits inside your own product.</w:t>
            </w:r>
          </w:p>
        </w:tc>
        <w:tc>
          <w:tcPr>
            <w:tcW w:type="dxa" w:w="29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You</w:t>
            </w:r>
          </w:p>
        </w:tc>
      </w:tr>
    </w:tbl>
    <w:p>
      <w:pPr>
        <w:spacing w:after="110" w:line="278"/>
      </w:pPr>
      <w:r>
        <w:rPr>
          <w:rFonts w:ascii="Calibri" w:cs="Calibri" w:eastAsia="Calibri" w:hAnsi="Calibri"/>
          <w:b w:val="false"/>
          <w:bCs w:val="false"/>
          <w:i w:val="false"/>
          <w:iCs w:val="false"/>
          <w:color w:val="24303F"/>
          <w:sz w:val="20"/>
          <w:szCs w:val="20"/>
        </w:rPr>
        <w:t xml:space="preserve">If the contract says “white-label” but the dashboard still shows the vendor’s name and the billing comes from them, you have a reseller deal with better marketing. Ask to see the actual branded product before you believe the label.</w:t>
      </w:r>
    </w:p>
    <w:p>
      <w:pPr>
        <w:spacing w:after="50" w:before="150"/>
      </w:pPr>
      <w:r>
        <w:rPr>
          <w:rFonts w:ascii="Georgia" w:cs="Georgia" w:eastAsia="Georgia" w:hAnsi="Georgia"/>
          <w:b/>
          <w:bCs/>
          <w:color w:val="16223C"/>
          <w:sz w:val="25"/>
          <w:szCs w:val="25"/>
        </w:rPr>
        <w:t xml:space="preserve">Where the margin actually goes</w:t>
      </w:r>
    </w:p>
    <w:p>
      <w:pPr>
        <w:spacing w:after="110" w:line="278"/>
      </w:pPr>
      <w:r>
        <w:rPr>
          <w:rFonts w:ascii="Calibri" w:cs="Calibri" w:eastAsia="Calibri" w:hAnsi="Calibri"/>
          <w:b w:val="false"/>
          <w:bCs w:val="false"/>
          <w:i w:val="false"/>
          <w:iCs w:val="false"/>
          <w:color w:val="24303F"/>
          <w:sz w:val="20"/>
          <w:szCs w:val="20"/>
        </w:rPr>
        <w:t xml:space="preserve">The pitch is always the same: pay wholesale, charge retail, keep the difference, and it recurs every month. True. But I have seen two things quietly eat that margin, and both are avoidable if you know to look.</w:t>
      </w:r>
    </w:p>
    <w:p>
      <w:pPr>
        <w:spacing w:after="110" w:line="278"/>
      </w:pPr>
      <w:r>
        <w:rPr>
          <w:rFonts w:ascii="Calibri" w:cs="Calibri" w:eastAsia="Calibri" w:hAnsi="Calibri"/>
          <w:b w:val="false"/>
          <w:bCs w:val="false"/>
          <w:i w:val="false"/>
          <w:iCs w:val="false"/>
          <w:color w:val="24303F"/>
          <w:sz w:val="20"/>
          <w:szCs w:val="20"/>
        </w:rPr>
        <w:t xml:space="preserve">The first is pricing a usage-based cost as if it were fixed. Most AI platforms bill you per minute or per interaction. If you sell your client a flat monthly price and one heavy user runs up the usage, your margin on that account can go to nothing without you noticing for a quarter. Price with a usage band, or watch your best-looking client become your worst.</w:t>
      </w:r>
    </w:p>
    <w:p>
      <w:pPr>
        <w:spacing w:after="110" w:line="278"/>
      </w:pPr>
      <w:r>
        <w:rPr>
          <w:rFonts w:ascii="Calibri" w:cs="Calibri" w:eastAsia="Calibri" w:hAnsi="Calibri"/>
          <w:b w:val="false"/>
          <w:bCs w:val="false"/>
          <w:i w:val="false"/>
          <w:iCs w:val="false"/>
          <w:color w:val="24303F"/>
          <w:sz w:val="20"/>
          <w:szCs w:val="20"/>
        </w:rPr>
        <w:t xml:space="preserve">The second is the slow rate creep. You lock your client’s price to win the deal. Then the vendor lifts its wholesale rate, or moves a feature you rely on into a higher tier, and the squeeze lands entirely on you. I now assume wholesale pricing will move and I ask, in writing, how much and how often it can. The real numbers behind a healthy recurring margin are in our </w:t>
      </w:r>
      <w:r>
        <w:rPr>
          <w:rFonts w:ascii="Calibri" w:cs="Calibri" w:eastAsia="Calibri" w:hAnsi="Calibri"/>
          <w:b/>
          <w:bCs/>
          <w:i w:val="false"/>
          <w:iCs w:val="false"/>
          <w:color w:val="24303F"/>
          <w:sz w:val="20"/>
          <w:szCs w:val="20"/>
        </w:rPr>
        <w:t xml:space="preserve">white-label profit margins</w:t>
      </w:r>
      <w:r>
        <w:rPr>
          <w:rFonts w:ascii="Calibri" w:cs="Calibri" w:eastAsia="Calibri" w:hAnsi="Calibri"/>
          <w:b w:val="false"/>
          <w:bCs w:val="false"/>
          <w:i w:val="false"/>
          <w:iCs w:val="false"/>
          <w:color w:val="24303F"/>
          <w:sz w:val="20"/>
          <w:szCs w:val="20"/>
        </w:rPr>
        <w:t xml:space="preserve"> breakdown.</w:t>
      </w:r>
    </w:p>
    <w:p>
      <w:pPr>
        <w:spacing w:after="70"/>
      </w:pPr>
      <w:r>
        <w:rPr>
          <w:rFonts w:ascii="Consolas" w:cs="Consolas" w:eastAsia="Consolas" w:hAnsi="Consolas"/>
          <w:b/>
          <w:bCs/>
          <w:color w:val="9A6B3F"/>
          <w:sz w:val="14"/>
          <w:szCs w:val="14"/>
        </w:rPr>
        <w:t xml:space="preserve">[author note] </w:t>
      </w:r>
      <w:r>
        <w:rPr>
          <w:rFonts w:ascii="Calibri" w:cs="Calibri" w:eastAsia="Calibri" w:hAnsi="Calibri"/>
          <w:i/>
          <w:iCs/>
          <w:color w:val="5A6675"/>
          <w:sz w:val="16"/>
          <w:szCs w:val="16"/>
        </w:rPr>
        <w:t xml:space="preserve">A single real number here would carry the whole section — e.g. ‘one client’s usage tripled and my margin on them dropped from X% to Y%’. Use a true one or leave it out.</w:t>
      </w:r>
    </w:p>
    <w:p>
      <w:pPr>
        <w:spacing w:after="50" w:before="150"/>
      </w:pPr>
      <w:r>
        <w:rPr>
          <w:rFonts w:ascii="Georgia" w:cs="Georgia" w:eastAsia="Georgia" w:hAnsi="Georgia"/>
          <w:b/>
          <w:bCs/>
          <w:color w:val="16223C"/>
          <w:sz w:val="25"/>
          <w:szCs w:val="25"/>
        </w:rPr>
        <w:t xml:space="preserve">The 2am problem: you own every mistake</w:t>
      </w:r>
    </w:p>
    <w:p>
      <w:pPr>
        <w:spacing w:after="110" w:line="278"/>
      </w:pPr>
      <w:r>
        <w:rPr>
          <w:rFonts w:ascii="Calibri" w:cs="Calibri" w:eastAsia="Calibri" w:hAnsi="Calibri"/>
          <w:b w:val="false"/>
          <w:bCs w:val="false"/>
          <w:i w:val="false"/>
          <w:iCs w:val="false"/>
          <w:color w:val="24303F"/>
          <w:sz w:val="20"/>
          <w:szCs w:val="20"/>
        </w:rPr>
        <w:t xml:space="preserve">This is the one nobody warns you about, and it’s the one that has cost me the most sleep. When the agent is wearing your brand, every wrong answer, every fabricated policy, every botched booking reads to the client’s customer as your company’s mistake. Not the vendor’s. Yours.</w:t>
      </w:r>
    </w:p>
    <w:p>
      <w:pPr>
        <w:spacing w:after="110" w:line="278"/>
      </w:pPr>
      <w:r>
        <w:rPr>
          <w:rFonts w:ascii="Calibri" w:cs="Calibri" w:eastAsia="Calibri" w:hAnsi="Calibri"/>
          <w:b w:val="false"/>
          <w:bCs w:val="false"/>
          <w:i w:val="false"/>
          <w:iCs w:val="false"/>
          <w:color w:val="24303F"/>
          <w:sz w:val="20"/>
          <w:szCs w:val="20"/>
        </w:rPr>
        <w:t xml:space="preserve">It gets worse at the support desk. The customer complains to your client, your client complains to you, and you turn to the vendor holding a ticket with none of the detail attached: no recording, no transcript, no log of what the agent actually did or which tool it called. You end up apologising for something you cannot see, to a client who is watching how you handle it.</w:t>
      </w:r>
    </w:p>
    <w:p>
      <w:pPr>
        <w:spacing w:after="110" w:line="278"/>
      </w:pPr>
      <w:r>
        <w:rPr>
          <w:rFonts w:ascii="Calibri" w:cs="Calibri" w:eastAsia="Calibri" w:hAnsi="Calibri"/>
          <w:b w:val="false"/>
          <w:bCs w:val="false"/>
          <w:i w:val="false"/>
          <w:iCs w:val="false"/>
          <w:color w:val="24303F"/>
          <w:sz w:val="20"/>
          <w:szCs w:val="20"/>
        </w:rPr>
        <w:t xml:space="preserve">This is the exact reason I now treat one question as non-negotiable: can I pull a verifiable record of every conversation, on demand, myself? If the platform can’t show me what its own agent said, I can’t defend my brand, and I’m not putting my name on it. It’s also where Trillet started from a different place — every conversation lands in an auditable record, and compliance (HIPAA, SOC 2, TCPA, GDPR, ACMA) is included on every plan rather than sold back to you as an upgrade. When your clients are clinics or law firms, that stops being a nice-to-have. See </w:t>
      </w:r>
      <w:r>
        <w:rPr>
          <w:rFonts w:ascii="Calibri" w:cs="Calibri" w:eastAsia="Calibri" w:hAnsi="Calibri"/>
          <w:b/>
          <w:bCs/>
          <w:i w:val="false"/>
          <w:iCs w:val="false"/>
          <w:color w:val="24303F"/>
          <w:sz w:val="20"/>
          <w:szCs w:val="20"/>
        </w:rPr>
        <w:t xml:space="preserve">white-label AI with built-in compliance</w:t>
      </w:r>
      <w:r>
        <w:rPr>
          <w:rFonts w:ascii="Calibri" w:cs="Calibri" w:eastAsia="Calibri" w:hAnsi="Calibri"/>
          <w:b w:val="false"/>
          <w:bCs w:val="false"/>
          <w:i w:val="false"/>
          <w:iCs w:val="false"/>
          <w:color w:val="24303F"/>
          <w:sz w:val="20"/>
          <w:szCs w:val="20"/>
        </w:rPr>
        <w:t xml:space="preserve"> for how that works.</w:t>
      </w:r>
    </w:p>
    <w:p>
      <w:pPr>
        <w:spacing w:after="50" w:before="150"/>
      </w:pPr>
      <w:r>
        <w:rPr>
          <w:rFonts w:ascii="Georgia" w:cs="Georgia" w:eastAsia="Georgia" w:hAnsi="Georgia"/>
          <w:b/>
          <w:bCs/>
          <w:color w:val="16223C"/>
          <w:sz w:val="25"/>
          <w:szCs w:val="25"/>
        </w:rPr>
        <w:t xml:space="preserve">How I vet a partner now</w:t>
      </w:r>
    </w:p>
    <w:p>
      <w:pPr>
        <w:spacing w:after="110" w:line="278"/>
      </w:pPr>
      <w:r>
        <w:rPr>
          <w:rFonts w:ascii="Calibri" w:cs="Calibri" w:eastAsia="Calibri" w:hAnsi="Calibri"/>
          <w:b w:val="false"/>
          <w:bCs w:val="false"/>
          <w:i w:val="false"/>
          <w:iCs w:val="false"/>
          <w:color w:val="24303F"/>
          <w:sz w:val="20"/>
          <w:szCs w:val="20"/>
        </w:rPr>
        <w:t xml:space="preserve">After a couple of expensive lessons, I stopped being dazzled by the demo and started working through the same list every time. The left column is what I ask. The right column is what makes me walk.</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2050"/>
        <w:gridCol w:w="4360"/>
        <w:gridCol w:w="2950"/>
      </w:tblGrid>
      <w:tr>
        <w:trPr>
          <w:tblHeader/>
        </w:trPr>
        <w:tc>
          <w:tcPr>
            <w:tcW w:type="dxa" w:w="2050"/>
            <w:tcBorders>
              <w:top w:val="single" w:color="D9DEE8" w:sz="4"/>
              <w:left w:val="single" w:color="D9DEE8" w:sz="4"/>
              <w:bottom w:val="single" w:color="D9DEE8" w:sz="4"/>
              <w:right w:val="single" w:color="D9DEE8" w:sz="4"/>
            </w:tcBorders>
            <w:shd w:fill="16223C" w:color="auto" w:val="clear"/>
            <w:tcMar>
              <w:top w:type="dxa" w:w="60"/>
              <w:left w:type="dxa" w:w="100"/>
              <w:bottom w:type="dxa" w:w="60"/>
              <w:right w:type="dxa" w:w="100"/>
            </w:tcMar>
          </w:tcPr>
          <w:p>
            <w:pPr>
              <w:spacing w:after="0" w:line="250"/>
            </w:pPr>
            <w:r>
              <w:rPr>
                <w:rFonts w:ascii="Calibri" w:cs="Calibri" w:eastAsia="Calibri" w:hAnsi="Calibri"/>
                <w:b/>
                <w:bCs/>
                <w:color w:val="FFFFFF"/>
                <w:sz w:val="15"/>
                <w:szCs w:val="15"/>
              </w:rPr>
              <w:t xml:space="preserve">What I check</w:t>
            </w:r>
          </w:p>
        </w:tc>
        <w:tc>
          <w:tcPr>
            <w:tcW w:type="dxa" w:w="4360"/>
            <w:tcBorders>
              <w:top w:val="single" w:color="D9DEE8" w:sz="4"/>
              <w:left w:val="single" w:color="D9DEE8" w:sz="4"/>
              <w:bottom w:val="single" w:color="D9DEE8" w:sz="4"/>
              <w:right w:val="single" w:color="D9DEE8" w:sz="4"/>
            </w:tcBorders>
            <w:shd w:fill="16223C" w:color="auto" w:val="clear"/>
            <w:tcMar>
              <w:top w:type="dxa" w:w="60"/>
              <w:left w:type="dxa" w:w="100"/>
              <w:bottom w:type="dxa" w:w="60"/>
              <w:right w:type="dxa" w:w="100"/>
            </w:tcMar>
          </w:tcPr>
          <w:p>
            <w:pPr>
              <w:spacing w:after="0" w:line="250"/>
            </w:pPr>
            <w:r>
              <w:rPr>
                <w:rFonts w:ascii="Calibri" w:cs="Calibri" w:eastAsia="Calibri" w:hAnsi="Calibri"/>
                <w:b/>
                <w:bCs/>
                <w:color w:val="FFFFFF"/>
                <w:sz w:val="15"/>
                <w:szCs w:val="15"/>
              </w:rPr>
              <w:t xml:space="preserve">What I want to hear</w:t>
            </w:r>
          </w:p>
        </w:tc>
        <w:tc>
          <w:tcPr>
            <w:tcW w:type="dxa" w:w="2950"/>
            <w:tcBorders>
              <w:top w:val="single" w:color="D9DEE8" w:sz="4"/>
              <w:left w:val="single" w:color="D9DEE8" w:sz="4"/>
              <w:bottom w:val="single" w:color="D9DEE8" w:sz="4"/>
              <w:right w:val="single" w:color="D9DEE8" w:sz="4"/>
            </w:tcBorders>
            <w:shd w:fill="16223C" w:color="auto" w:val="clear"/>
            <w:tcMar>
              <w:top w:type="dxa" w:w="60"/>
              <w:left w:type="dxa" w:w="100"/>
              <w:bottom w:type="dxa" w:w="60"/>
              <w:right w:type="dxa" w:w="100"/>
            </w:tcMar>
          </w:tcPr>
          <w:p>
            <w:pPr>
              <w:spacing w:after="0" w:line="250"/>
            </w:pPr>
            <w:r>
              <w:rPr>
                <w:rFonts w:ascii="Calibri" w:cs="Calibri" w:eastAsia="Calibri" w:hAnsi="Calibri"/>
                <w:b/>
                <w:bCs/>
                <w:color w:val="FFFFFF"/>
                <w:sz w:val="15"/>
                <w:szCs w:val="15"/>
              </w:rPr>
              <w:t xml:space="preserve">What makes me walk</w:t>
            </w:r>
          </w:p>
        </w:tc>
      </w:tr>
      <w:tr>
        <w:tc>
          <w:tcPr>
            <w:tcW w:type="dxa" w:w="20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The real margin</w:t>
            </w:r>
          </w:p>
        </w:tc>
        <w:tc>
          <w:tcPr>
            <w:tcW w:type="dxa" w:w="43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A wholesale rate I can forecast, with room to price sensibly.</w:t>
            </w:r>
          </w:p>
        </w:tc>
        <w:tc>
          <w:tcPr>
            <w:tcW w:type="dxa" w:w="29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Usage pricing that swings in ways I can’t predict.</w:t>
            </w:r>
          </w:p>
        </w:tc>
      </w:tr>
      <w:tr>
        <w:tc>
          <w:tcPr>
            <w:tcW w:type="dxa" w:w="20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How deep the branding goes</w:t>
            </w:r>
          </w:p>
        </w:tc>
        <w:tc>
          <w:tcPr>
            <w:tcW w:type="dxa" w:w="43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My domain, my dashboard, my billing. Client never meets the vendor.</w:t>
            </w:r>
          </w:p>
        </w:tc>
        <w:tc>
          <w:tcPr>
            <w:tcW w:type="dxa" w:w="29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A logo skin with the vendor’s name still showing.</w:t>
            </w:r>
          </w:p>
        </w:tc>
      </w:tr>
      <w:tr>
        <w:tc>
          <w:tcPr>
            <w:tcW w:type="dxa" w:w="20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Who fixes it, and how fast</w:t>
            </w:r>
          </w:p>
        </w:tc>
        <w:tc>
          <w:tcPr>
            <w:tcW w:type="dxa" w:w="43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A named support path faster than my client expects.</w:t>
            </w:r>
          </w:p>
        </w:tc>
        <w:tc>
          <w:tcPr>
            <w:tcW w:type="dxa" w:w="29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‘Submit a ticket’ and a shrug.</w:t>
            </w:r>
          </w:p>
        </w:tc>
      </w:tr>
      <w:tr>
        <w:tc>
          <w:tcPr>
            <w:tcW w:type="dxa" w:w="20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Whether I can see what happened</w:t>
            </w:r>
          </w:p>
        </w:tc>
        <w:tc>
          <w:tcPr>
            <w:tcW w:type="dxa" w:w="43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A full record of every conversation, mine to pull.</w:t>
            </w:r>
          </w:p>
        </w:tc>
        <w:tc>
          <w:tcPr>
            <w:tcW w:type="dxa" w:w="29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No transcript, no audio, no log.</w:t>
            </w:r>
          </w:p>
        </w:tc>
      </w:tr>
      <w:tr>
        <w:tc>
          <w:tcPr>
            <w:tcW w:type="dxa" w:w="20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The contract</w:t>
            </w:r>
          </w:p>
        </w:tc>
        <w:tc>
          <w:tcPr>
            <w:tcW w:type="dxa" w:w="43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Clear term, priced locks, my data stays mine, clean exit.</w:t>
            </w:r>
          </w:p>
        </w:tc>
        <w:tc>
          <w:tcPr>
            <w:tcW w:type="dxa" w:w="29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Auto lock-ins and the vendor owning the data.</w:t>
            </w:r>
          </w:p>
        </w:tc>
      </w:tr>
      <w:tr>
        <w:tc>
          <w:tcPr>
            <w:tcW w:type="dxa" w:w="20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Compliance</w:t>
            </w:r>
          </w:p>
        </w:tc>
        <w:tc>
          <w:tcPr>
            <w:tcW w:type="dxa" w:w="436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Included and provable, not an add-on.</w:t>
            </w:r>
          </w:p>
        </w:tc>
        <w:tc>
          <w:tcPr>
            <w:tcW w:type="dxa" w:w="2950"/>
            <w:tcBorders>
              <w:top w:val="single" w:color="D9DEE8" w:sz="4"/>
              <w:left w:val="single" w:color="D9DEE8" w:sz="4"/>
              <w:bottom w:val="single" w:color="D9DEE8" w:sz="4"/>
              <w:right w:val="single" w:color="D9DEE8" w:sz="4"/>
            </w:tcBorders>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4303F"/>
                <w:sz w:val="14"/>
                <w:szCs w:val="14"/>
              </w:rPr>
              <w:t xml:space="preserve">Compliance as an upsell, or hand-waving.</w:t>
            </w:r>
          </w:p>
        </w:tc>
      </w:tr>
    </w:tbl>
    <w:p>
      <w:pPr>
        <w:spacing w:after="50" w:before="150"/>
      </w:pPr>
      <w:r>
        <w:rPr>
          <w:rFonts w:ascii="Georgia" w:cs="Georgia" w:eastAsia="Georgia" w:hAnsi="Georgia"/>
          <w:b/>
          <w:bCs/>
          <w:color w:val="16223C"/>
          <w:sz w:val="25"/>
          <w:szCs w:val="25"/>
        </w:rPr>
        <w:t xml:space="preserve">The clauses I won’t sign without</w:t>
      </w:r>
    </w:p>
    <w:p>
      <w:pPr>
        <w:spacing w:after="110" w:line="278"/>
      </w:pPr>
      <w:r>
        <w:rPr>
          <w:rFonts w:ascii="Calibri" w:cs="Calibri" w:eastAsia="Calibri" w:hAnsi="Calibri"/>
          <w:b w:val="false"/>
          <w:bCs w:val="false"/>
          <w:i w:val="false"/>
          <w:iCs w:val="false"/>
          <w:color w:val="24303F"/>
          <w:sz w:val="20"/>
          <w:szCs w:val="20"/>
        </w:rPr>
        <w:t xml:space="preserve">A white-label deal is a multi-year commitment whether the contract says so or not, because moving vendors later means re-platforming every client you signed. So I get these in writing before anything else:</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A pricing lock, or at least a cap. </w:t>
      </w:r>
      <w:r>
        <w:rPr>
          <w:rFonts w:ascii="Calibri" w:cs="Calibri" w:eastAsia="Calibri" w:hAnsi="Calibri"/>
          <w:b w:val="false"/>
          <w:bCs w:val="false"/>
          <w:i w:val="false"/>
          <w:iCs w:val="false"/>
          <w:color w:val="24303F"/>
          <w:sz w:val="20"/>
          <w:szCs w:val="20"/>
        </w:rPr>
        <w:t xml:space="preserve">How much the wholesale rate can move, and how often. I have watched a “1% fee” quietly become 10%.</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My data is mine. </w:t>
      </w:r>
      <w:r>
        <w:rPr>
          <w:rFonts w:ascii="Calibri" w:cs="Calibri" w:eastAsia="Calibri" w:hAnsi="Calibri"/>
          <w:b w:val="false"/>
          <w:bCs w:val="false"/>
          <w:i w:val="false"/>
          <w:iCs w:val="false"/>
          <w:color w:val="24303F"/>
          <w:sz w:val="20"/>
          <w:szCs w:val="20"/>
        </w:rPr>
        <w:t xml:space="preserve">Exportable, and not the vendor’s to reuse or train on.</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A clean exit. </w:t>
      </w:r>
      <w:r>
        <w:rPr>
          <w:rFonts w:ascii="Calibri" w:cs="Calibri" w:eastAsia="Calibri" w:hAnsi="Calibri"/>
          <w:b w:val="false"/>
          <w:bCs w:val="false"/>
          <w:i w:val="false"/>
          <w:iCs w:val="false"/>
          <w:color w:val="24303F"/>
          <w:sz w:val="20"/>
          <w:szCs w:val="20"/>
        </w:rPr>
        <w:t xml:space="preserve">What happens to my live clients the day I leave.</w:t>
      </w:r>
    </w:p>
    <w:p>
      <w:pPr>
        <w:pStyle w:val="ListParagraph"/>
        <w:numPr>
          <w:ilvl w:val="0"/>
          <w:numId w:val="1"/>
        </w:numPr>
        <w:spacing w:after="50" w:line="272"/>
      </w:pPr>
      <w:r>
        <w:rPr>
          <w:rFonts w:ascii="Calibri" w:cs="Calibri" w:eastAsia="Calibri" w:hAnsi="Calibri"/>
          <w:b/>
          <w:bCs/>
          <w:i w:val="false"/>
          <w:iCs w:val="false"/>
          <w:color w:val="24303F"/>
          <w:sz w:val="20"/>
          <w:szCs w:val="20"/>
        </w:rPr>
        <w:t xml:space="preserve">Deprecation notice. </w:t>
      </w:r>
      <w:r>
        <w:rPr>
          <w:rFonts w:ascii="Calibri" w:cs="Calibri" w:eastAsia="Calibri" w:hAnsi="Calibri"/>
          <w:b w:val="false"/>
          <w:bCs w:val="false"/>
          <w:i w:val="false"/>
          <w:iCs w:val="false"/>
          <w:color w:val="24303F"/>
          <w:sz w:val="20"/>
          <w:szCs w:val="20"/>
        </w:rPr>
        <w:t xml:space="preserve">Warning before a feature I sell on gets moved or killed.</w:t>
      </w:r>
    </w:p>
    <w:p>
      <w:pPr>
        <w:spacing w:after="110" w:line="278"/>
      </w:pPr>
      <w:r>
        <w:rPr>
          <w:rFonts w:ascii="Calibri" w:cs="Calibri" w:eastAsia="Calibri" w:hAnsi="Calibri"/>
          <w:b w:val="false"/>
          <w:bCs w:val="false"/>
          <w:i w:val="false"/>
          <w:iCs w:val="false"/>
          <w:color w:val="24303F"/>
          <w:sz w:val="20"/>
          <w:szCs w:val="20"/>
        </w:rPr>
        <w:t xml:space="preserve">None of this is legal advice, and I still have a lawyer read anything before I sign. But going in knowing what to protect changes the conversation.</w:t>
      </w:r>
    </w:p>
    <w:p>
      <w:pPr>
        <w:spacing w:after="50" w:before="150"/>
      </w:pPr>
      <w:r>
        <w:rPr>
          <w:rFonts w:ascii="Georgia" w:cs="Georgia" w:eastAsia="Georgia" w:hAnsi="Georgia"/>
          <w:b/>
          <w:bCs/>
          <w:color w:val="16223C"/>
          <w:sz w:val="25"/>
          <w:szCs w:val="25"/>
        </w:rPr>
        <w:t xml:space="preserve">Who this actually works for</w:t>
      </w:r>
    </w:p>
    <w:p>
      <w:pPr>
        <w:spacing w:after="110" w:line="278"/>
      </w:pPr>
      <w:r>
        <w:rPr>
          <w:rFonts w:ascii="Calibri" w:cs="Calibri" w:eastAsia="Calibri" w:hAnsi="Calibri"/>
          <w:b w:val="false"/>
          <w:bCs w:val="false"/>
          <w:i w:val="false"/>
          <w:iCs w:val="false"/>
          <w:color w:val="24303F"/>
          <w:sz w:val="20"/>
          <w:szCs w:val="20"/>
        </w:rPr>
        <w:t xml:space="preserve">I won’t pretend it fits everyone. White-label voice AI works best when your clients live on the phone and lose real money on a missed call: legal intake, medical reception, home services, real estate. Those are also the clients who care most about compliance and a defensible record, which is where a serious platform earns its price. If your clients won’t pay monthly, or you can’t staff even light support, this model will frustrate you. Better to know that now. If it does fit, Trillet’s </w:t>
      </w:r>
      <w:r>
        <w:rPr>
          <w:rFonts w:ascii="Calibri" w:cs="Calibri" w:eastAsia="Calibri" w:hAnsi="Calibri"/>
          <w:b/>
          <w:bCs/>
          <w:i w:val="false"/>
          <w:iCs w:val="false"/>
          <w:color w:val="24303F"/>
          <w:sz w:val="20"/>
          <w:szCs w:val="20"/>
        </w:rPr>
        <w:t xml:space="preserve">white-label voice AI platform</w:t>
      </w:r>
      <w:r>
        <w:rPr>
          <w:rFonts w:ascii="Calibri" w:cs="Calibri" w:eastAsia="Calibri" w:hAnsi="Calibri"/>
          <w:b w:val="false"/>
          <w:bCs w:val="false"/>
          <w:i w:val="false"/>
          <w:iCs w:val="false"/>
          <w:color w:val="24303F"/>
          <w:sz w:val="20"/>
          <w:szCs w:val="20"/>
        </w:rPr>
        <w:t xml:space="preserve"> is built for exactly these resale motions.</w:t>
      </w:r>
    </w:p>
    <w:p>
      <w:pPr>
        <w:spacing w:after="50" w:before="150"/>
      </w:pPr>
      <w:r>
        <w:rPr>
          <w:rFonts w:ascii="Georgia" w:cs="Georgia" w:eastAsia="Georgia" w:hAnsi="Georgia"/>
          <w:b/>
          <w:bCs/>
          <w:color w:val="16223C"/>
          <w:sz w:val="25"/>
          <w:szCs w:val="25"/>
        </w:rPr>
        <w:t xml:space="preserve">If you’re starting now</w:t>
      </w:r>
    </w:p>
    <w:p>
      <w:pPr>
        <w:spacing w:after="110" w:line="278"/>
      </w:pPr>
      <w:r>
        <w:rPr>
          <w:rFonts w:ascii="Calibri" w:cs="Calibri" w:eastAsia="Calibri" w:hAnsi="Calibri"/>
          <w:b w:val="false"/>
          <w:bCs w:val="false"/>
          <w:i w:val="false"/>
          <w:iCs w:val="false"/>
          <w:color w:val="24303F"/>
          <w:sz w:val="20"/>
          <w:szCs w:val="20"/>
        </w:rPr>
        <w:t xml:space="preserve">Start narrow. Pick one vertical you already understand, sign two or three clients before you touch your pricing page, and price for a margin you can defend when usage moves. Lead with the record-keeping and compliance if your clients are regulated, because that is the part your competitors are hand-waving. Keep the onboarding tight and boring; boring is what renews.</w:t>
      </w:r>
    </w:p>
    <w:p>
      <w:pPr>
        <w:spacing w:after="110" w:line="278"/>
      </w:pPr>
      <w:r>
        <w:rPr>
          <w:rFonts w:ascii="Calibri" w:cs="Calibri" w:eastAsia="Calibri" w:hAnsi="Calibri"/>
          <w:b w:val="false"/>
          <w:bCs w:val="false"/>
          <w:i w:val="false"/>
          <w:iCs w:val="false"/>
          <w:color w:val="24303F"/>
          <w:sz w:val="20"/>
          <w:szCs w:val="20"/>
        </w:rPr>
        <w:t xml:space="preserve">When you’re ready to look at platforms, Trillet runs three partner tracks — reseller, OEM and referral — so you can match the model to how much you actually want to operate. </w:t>
      </w:r>
      <w:r>
        <w:rPr>
          <w:rFonts w:ascii="Calibri" w:cs="Calibri" w:eastAsia="Calibri" w:hAnsi="Calibri"/>
          <w:b/>
          <w:bCs/>
          <w:i w:val="false"/>
          <w:iCs w:val="false"/>
          <w:color w:val="24303F"/>
          <w:sz w:val="20"/>
          <w:szCs w:val="20"/>
        </w:rPr>
        <w:t xml:space="preserve">Have a look at the partner program</w:t>
      </w:r>
      <w:r>
        <w:rPr>
          <w:rFonts w:ascii="Calibri" w:cs="Calibri" w:eastAsia="Calibri" w:hAnsi="Calibri"/>
          <w:b w:val="false"/>
          <w:bCs w:val="false"/>
          <w:i w:val="false"/>
          <w:iCs w:val="false"/>
          <w:color w:val="24303F"/>
          <w:sz w:val="20"/>
          <w:szCs w:val="20"/>
        </w:rPr>
        <w:t xml:space="preserve">, or compare the </w:t>
      </w:r>
      <w:r>
        <w:rPr>
          <w:rFonts w:ascii="Calibri" w:cs="Calibri" w:eastAsia="Calibri" w:hAnsi="Calibri"/>
          <w:b/>
          <w:bCs/>
          <w:i w:val="false"/>
          <w:iCs w:val="false"/>
          <w:color w:val="24303F"/>
          <w:sz w:val="20"/>
          <w:szCs w:val="20"/>
        </w:rPr>
        <w:t xml:space="preserve">reseller options</w:t>
      </w:r>
      <w:r>
        <w:rPr>
          <w:rFonts w:ascii="Calibri" w:cs="Calibri" w:eastAsia="Calibri" w:hAnsi="Calibri"/>
          <w:b w:val="false"/>
          <w:bCs w:val="false"/>
          <w:i w:val="false"/>
          <w:iCs w:val="false"/>
          <w:color w:val="24303F"/>
          <w:sz w:val="20"/>
          <w:szCs w:val="20"/>
        </w:rPr>
        <w:t xml:space="preserve"> first if you’re still deciding how hands-on to be.</w:t>
      </w:r>
    </w:p>
    <w:p>
      <w:pPr>
        <w:spacing w:after="50" w:before="150"/>
      </w:pPr>
      <w:r>
        <w:rPr>
          <w:rFonts w:ascii="Georgia" w:cs="Georgia" w:eastAsia="Georgia" w:hAnsi="Georgia"/>
          <w:b/>
          <w:bCs/>
          <w:color w:val="16223C"/>
          <w:sz w:val="25"/>
          <w:szCs w:val="25"/>
        </w:rPr>
        <w:t xml:space="preserve">Questions I get asked most</w:t>
      </w:r>
    </w:p>
    <w:p>
      <w:pPr>
        <w:spacing w:after="16" w:before="90"/>
      </w:pPr>
      <w:r>
        <w:rPr>
          <w:rFonts w:ascii="Calibri" w:cs="Calibri" w:eastAsia="Calibri" w:hAnsi="Calibri"/>
          <w:b/>
          <w:bCs/>
          <w:color w:val="16223C"/>
          <w:sz w:val="20"/>
          <w:szCs w:val="20"/>
        </w:rPr>
        <w:t xml:space="preserve">What actually is a white-label partnership?</w:t>
      </w:r>
    </w:p>
    <w:p>
      <w:pPr>
        <w:spacing w:after="110" w:line="278"/>
      </w:pPr>
      <w:r>
        <w:rPr>
          <w:rFonts w:ascii="Calibri" w:cs="Calibri" w:eastAsia="Calibri" w:hAnsi="Calibri"/>
          <w:b w:val="false"/>
          <w:bCs w:val="false"/>
          <w:i w:val="false"/>
          <w:iCs w:val="false"/>
          <w:color w:val="24303F"/>
          <w:sz w:val="20"/>
          <w:szCs w:val="20"/>
        </w:rPr>
        <w:t xml:space="preserve">You sell another company’s product under your own brand. They build and run it; you rebrand it, set the price, sell it, and keep the client and the margin.</w:t>
      </w:r>
    </w:p>
    <w:p>
      <w:pPr>
        <w:spacing w:after="16" w:before="90"/>
      </w:pPr>
      <w:r>
        <w:rPr>
          <w:rFonts w:ascii="Calibri" w:cs="Calibri" w:eastAsia="Calibri" w:hAnsi="Calibri"/>
          <w:b/>
          <w:bCs/>
          <w:color w:val="16223C"/>
          <w:sz w:val="20"/>
          <w:szCs w:val="20"/>
        </w:rPr>
        <w:t xml:space="preserve">White-label, reseller or OEM — what’s the real difference?</w:t>
      </w:r>
    </w:p>
    <w:p>
      <w:pPr>
        <w:spacing w:after="110" w:line="278"/>
      </w:pPr>
      <w:r>
        <w:rPr>
          <w:rFonts w:ascii="Calibri" w:cs="Calibri" w:eastAsia="Calibri" w:hAnsi="Calibri"/>
          <w:b w:val="false"/>
          <w:bCs w:val="false"/>
          <w:i w:val="false"/>
          <w:iCs w:val="false"/>
          <w:color w:val="24303F"/>
          <w:sz w:val="20"/>
          <w:szCs w:val="20"/>
        </w:rPr>
        <w:t xml:space="preserve">White-label is fully your brand. Reselling usually keeps the vendor’s brand showing for a commission. OEM means their technology sits inside your own product. Check the branding depth before you trust the label.</w:t>
      </w:r>
    </w:p>
    <w:p>
      <w:pPr>
        <w:spacing w:after="16" w:before="90"/>
      </w:pPr>
      <w:r>
        <w:rPr>
          <w:rFonts w:ascii="Calibri" w:cs="Calibri" w:eastAsia="Calibri" w:hAnsi="Calibri"/>
          <w:b/>
          <w:bCs/>
          <w:color w:val="16223C"/>
          <w:sz w:val="20"/>
          <w:szCs w:val="20"/>
        </w:rPr>
        <w:t xml:space="preserve">How much margin can I actually keep?</w:t>
      </w:r>
    </w:p>
    <w:p>
      <w:pPr>
        <w:spacing w:after="110" w:line="278"/>
      </w:pPr>
      <w:r>
        <w:rPr>
          <w:rFonts w:ascii="Calibri" w:cs="Calibri" w:eastAsia="Calibri" w:hAnsi="Calibri"/>
          <w:b w:val="false"/>
          <w:bCs w:val="false"/>
          <w:i w:val="false"/>
          <w:iCs w:val="false"/>
          <w:color w:val="24303F"/>
          <w:sz w:val="20"/>
          <w:szCs w:val="20"/>
        </w:rPr>
        <w:t xml:space="preserve">The gap between wholesale and your retail price, every month a client stays. It’s healthy and recurring, but usage-based costs can erode it, so price with a band, not a flat rate you’ll regret.</w:t>
      </w:r>
    </w:p>
    <w:p>
      <w:pPr>
        <w:spacing w:after="16" w:before="90"/>
      </w:pPr>
      <w:r>
        <w:rPr>
          <w:rFonts w:ascii="Calibri" w:cs="Calibri" w:eastAsia="Calibri" w:hAnsi="Calibri"/>
          <w:b/>
          <w:bCs/>
          <w:color w:val="16223C"/>
          <w:sz w:val="20"/>
          <w:szCs w:val="20"/>
        </w:rPr>
        <w:t xml:space="preserve">What’s the biggest risk people underestimate?</w:t>
      </w:r>
    </w:p>
    <w:p>
      <w:pPr>
        <w:spacing w:after="110" w:line="278"/>
      </w:pPr>
      <w:r>
        <w:rPr>
          <w:rFonts w:ascii="Calibri" w:cs="Calibri" w:eastAsia="Calibri" w:hAnsi="Calibri"/>
          <w:b w:val="false"/>
          <w:bCs w:val="false"/>
          <w:i w:val="false"/>
          <w:iCs w:val="false"/>
          <w:color w:val="24303F"/>
          <w:sz w:val="20"/>
          <w:szCs w:val="20"/>
        </w:rPr>
        <w:t xml:space="preserve">That you own every mistake the AI makes under your brand. If you can’t pull a record of what the agent actually said, you can’t defend yourself when a client’s customer disputes a call.</w:t>
      </w:r>
    </w:p>
    <w:p>
      <w:pPr>
        <w:spacing w:after="16" w:before="90"/>
      </w:pPr>
      <w:r>
        <w:rPr>
          <w:rFonts w:ascii="Calibri" w:cs="Calibri" w:eastAsia="Calibri" w:hAnsi="Calibri"/>
          <w:b/>
          <w:bCs/>
          <w:color w:val="16223C"/>
          <w:sz w:val="20"/>
          <w:szCs w:val="20"/>
        </w:rPr>
        <w:t xml:space="preserve">What has to be in the agreement?</w:t>
      </w:r>
    </w:p>
    <w:p>
      <w:pPr>
        <w:spacing w:after="110" w:line="278"/>
      </w:pPr>
      <w:r>
        <w:rPr>
          <w:rFonts w:ascii="Calibri" w:cs="Calibri" w:eastAsia="Calibri" w:hAnsi="Calibri"/>
          <w:b w:val="false"/>
          <w:bCs w:val="false"/>
          <w:i w:val="false"/>
          <w:iCs w:val="false"/>
          <w:color w:val="24303F"/>
          <w:sz w:val="20"/>
          <w:szCs w:val="20"/>
        </w:rPr>
        <w:t xml:space="preserve">A pricing lock or cap, clear data ownership, a clean exit for live clients, and notice before features change. Then have a lawyer read it.</w:t>
      </w:r>
    </w:p>
    <w:p>
      <w:pPr>
        <w:spacing w:after="16" w:before="90"/>
      </w:pPr>
      <w:r>
        <w:rPr>
          <w:rFonts w:ascii="Calibri" w:cs="Calibri" w:eastAsia="Calibri" w:hAnsi="Calibri"/>
          <w:b/>
          <w:bCs/>
          <w:color w:val="16223C"/>
          <w:sz w:val="20"/>
          <w:szCs w:val="20"/>
        </w:rPr>
        <w:t xml:space="preserve">Does compliance carry through when I rebrand it?</w:t>
      </w:r>
    </w:p>
    <w:p>
      <w:pPr>
        <w:spacing w:after="110" w:line="278"/>
      </w:pPr>
      <w:r>
        <w:rPr>
          <w:rFonts w:ascii="Calibri" w:cs="Calibri" w:eastAsia="Calibri" w:hAnsi="Calibri"/>
          <w:b w:val="false"/>
          <w:bCs w:val="false"/>
          <w:i w:val="false"/>
          <w:iCs w:val="false"/>
          <w:color w:val="24303F"/>
          <w:sz w:val="20"/>
          <w:szCs w:val="20"/>
        </w:rPr>
        <w:t xml:space="preserve">Only if the platform is genuinely compliant underneath. With Trillet, HIPAA, SOC 2, TCPA, GDPR and ACMA are included on every plan and every call is recorded to an auditable trail, so it carries through to your brand.</w:t>
      </w:r>
    </w:p>
    <w:p>
      <w:pPr>
        <w:pBdr>
          <w:bottom w:val="single" w:color="D9DEE8" w:sz="6"/>
        </w:pBdr>
        <w:spacing w:after="120" w:before="120"/>
      </w:pPr>
      <w:r>
        <w:t xml:space="preserve"/>
      </w:r>
    </w:p>
    <w:p>
      <w:pPr>
        <w:spacing w:after="50" w:before="150"/>
      </w:pPr>
      <w:r>
        <w:rPr>
          <w:rFonts w:ascii="Georgia" w:cs="Georgia" w:eastAsia="Georgia" w:hAnsi="Georgia"/>
          <w:b/>
          <w:bCs/>
          <w:color w:val="16223C"/>
          <w:sz w:val="25"/>
          <w:szCs w:val="25"/>
        </w:rPr>
        <w:t xml:space="preserve">Structured data (JSON-LD)</w:t>
      </w:r>
    </w:p>
    <w:p>
      <w:pPr>
        <w:spacing w:after="110" w:line="278"/>
      </w:pPr>
      <w:r>
        <w:rPr>
          <w:rFonts w:ascii="Calibri" w:cs="Calibri" w:eastAsia="Calibri" w:hAnsi="Calibri"/>
          <w:b w:val="false"/>
          <w:bCs w:val="false"/>
          <w:i w:val="false"/>
          <w:iCs w:val="false"/>
          <w:color w:val="5A6675"/>
          <w:sz w:val="17"/>
          <w:szCs w:val="17"/>
        </w:rPr>
        <w:t xml:space="preserve">Article + FAQPage + BreadcrumbList. The FAQ answers below must match the on-page FAQ verbatim.</w:t>
      </w:r>
    </w:p>
    <w:tbl>
      <w:tblPr>
        <w:tblW w:type="dxa" w:w="9360"/>
        <w:tblBorders>
          <w:top w:val="single" w:color="D9DEE8" w:sz="4"/>
          <w:left w:val="single" w:color="D9DEE8" w:sz="4"/>
          <w:bottom w:val="single" w:color="D9DEE8" w:sz="4"/>
          <w:right w:val="single" w:color="D9DEE8" w:sz="4"/>
          <w:insideH w:val="single" w:color="D9DEE8" w:sz="4"/>
          <w:insideV w:val="single" w:color="D9DEE8" w:sz="4"/>
        </w:tblBorders>
      </w:tblPr>
      <w:tblGrid>
        <w:gridCol w:w="9360"/>
      </w:tblGrid>
      <w:tr>
        <w:tc>
          <w:tcPr>
            <w:tcW w:type="dxa" w:w="9360"/>
            <w:tcBorders>
              <w:top w:val="single" w:color="D9DEE8" w:sz="4"/>
              <w:left w:val="single" w:color="D9DEE8" w:sz="4"/>
              <w:bottom w:val="single" w:color="D9DEE8" w:sz="4"/>
              <w:right w:val="single" w:color="D9DEE8" w:sz="4"/>
            </w:tcBorders>
            <w:shd w:fill="F4F5F7" w:color="auto" w:val="clear"/>
            <w:tcMar>
              <w:top w:type="dxa" w:w="90"/>
              <w:left w:type="dxa" w:w="120"/>
              <w:bottom w:type="dxa" w:w="90"/>
              <w:right w:type="dxa" w:w="120"/>
            </w:tcMar>
          </w:tcPr>
          <w:p>
            <w:pPr>
              <w:spacing w:after="0" w:line="230"/>
            </w:pPr>
            <w:r>
              <w:rPr>
                <w:rFonts w:ascii="Consolas" w:cs="Consolas" w:eastAsia="Consolas" w:hAnsi="Consolas"/>
                <w:color w:val="24303F"/>
                <w:sz w:val="13"/>
                <w:szCs w:val="13"/>
              </w:rPr>
              <w:t xml:space="preserve">&lt;script type="application/ld+json"&gt;</w:t>
            </w:r>
          </w:p>
          <w:p>
            <w:pPr>
              <w:spacing w:after="0" w:line="230"/>
            </w:pPr>
            <w:r>
              <w:rPr>
                <w:rFonts w:ascii="Consolas" w:cs="Consolas" w:eastAsia="Consolas" w:hAnsi="Consolas"/>
                <w:color w:val="24303F"/>
                <w:sz w:val="13"/>
                <w:szCs w:val="13"/>
              </w:rPr>
              <w:t xml:space="preserve">{ "@context":"https://schema.org", "@graph":[</w:t>
            </w:r>
          </w:p>
          <w:p>
            <w:pPr>
              <w:spacing w:after="0" w:line="230"/>
            </w:pPr>
            <w:r>
              <w:rPr>
                <w:rFonts w:ascii="Consolas" w:cs="Consolas" w:eastAsia="Consolas" w:hAnsi="Consolas"/>
                <w:color w:val="24303F"/>
                <w:sz w:val="13"/>
                <w:szCs w:val="13"/>
              </w:rPr>
              <w:t xml:space="preserve">  { "@type":"Article",</w:t>
            </w:r>
          </w:p>
          <w:p>
            <w:pPr>
              <w:spacing w:after="0" w:line="230"/>
            </w:pPr>
            <w:r>
              <w:rPr>
                <w:rFonts w:ascii="Consolas" w:cs="Consolas" w:eastAsia="Consolas" w:hAnsi="Consolas"/>
                <w:color w:val="24303F"/>
                <w:sz w:val="13"/>
                <w:szCs w:val="13"/>
              </w:rPr>
              <w:t xml:space="preserve">    "headline":"White-Label Partnerships: What Nobody Tells You",</w:t>
            </w:r>
          </w:p>
          <w:p>
            <w:pPr>
              <w:spacing w:after="0" w:line="230"/>
            </w:pPr>
            <w:r>
              <w:rPr>
                <w:rFonts w:ascii="Consolas" w:cs="Consolas" w:eastAsia="Consolas" w:hAnsi="Consolas"/>
                <w:color w:val="24303F"/>
                <w:sz w:val="13"/>
                <w:szCs w:val="13"/>
              </w:rPr>
              <w:t xml:space="preserve">    "author":{"@type":"Person","name":"&lt;real author&gt;","jobTitle":"&lt;role&gt;"},</w:t>
            </w:r>
          </w:p>
          <w:p>
            <w:pPr>
              <w:spacing w:after="0" w:line="230"/>
            </w:pPr>
            <w:r>
              <w:rPr>
                <w:rFonts w:ascii="Consolas" w:cs="Consolas" w:eastAsia="Consolas" w:hAnsi="Consolas"/>
                <w:color w:val="24303F"/>
                <w:sz w:val="13"/>
                <w:szCs w:val="13"/>
              </w:rPr>
              <w:t xml:space="preserve">    "publisher":{"@id":"https://trillet.ai/#org"},</w:t>
            </w:r>
          </w:p>
          <w:p>
            <w:pPr>
              <w:spacing w:after="0" w:line="230"/>
            </w:pPr>
            <w:r>
              <w:rPr>
                <w:rFonts w:ascii="Consolas" w:cs="Consolas" w:eastAsia="Consolas" w:hAnsi="Consolas"/>
                <w:color w:val="24303F"/>
                <w:sz w:val="13"/>
                <w:szCs w:val="13"/>
              </w:rPr>
              <w:t xml:space="preserve">    "datePublished":"2026-09-14","dateModified":"2026-09-14",</w:t>
            </w:r>
          </w:p>
          <w:p>
            <w:pPr>
              <w:spacing w:after="0" w:line="230"/>
            </w:pPr>
            <w:r>
              <w:rPr>
                <w:rFonts w:ascii="Consolas" w:cs="Consolas" w:eastAsia="Consolas" w:hAnsi="Consolas"/>
                <w:color w:val="24303F"/>
                <w:sz w:val="13"/>
                <w:szCs w:val="13"/>
              </w:rPr>
              <w:t xml:space="preserve">    "mainEntityOfPage":"https://trillet.ai/blogs/white-label-partnerships-guide" },</w:t>
            </w:r>
          </w:p>
          <w:p>
            <w:pPr>
              <w:spacing w:after="0" w:line="230"/>
            </w:pPr>
            <w:r>
              <w:rPr>
                <w:rFonts w:ascii="Consolas" w:cs="Consolas" w:eastAsia="Consolas" w:hAnsi="Consolas"/>
                <w:color w:val="24303F"/>
                <w:sz w:val="13"/>
                <w:szCs w:val="13"/>
              </w:rPr>
              <w:t xml:space="preserve">  { "@type":"FAQPage","mainEntity":[ /* 6 Q&amp;As, text matching page */ ] },</w:t>
            </w:r>
          </w:p>
          <w:p>
            <w:pPr>
              <w:spacing w:after="0" w:line="230"/>
            </w:pPr>
            <w:r>
              <w:rPr>
                <w:rFonts w:ascii="Consolas" w:cs="Consolas" w:eastAsia="Consolas" w:hAnsi="Consolas"/>
                <w:color w:val="24303F"/>
                <w:sz w:val="13"/>
                <w:szCs w:val="13"/>
              </w:rPr>
              <w:t xml:space="preserve">  { "@type":"BreadcrumbList","itemListElement":[</w:t>
            </w:r>
          </w:p>
          <w:p>
            <w:pPr>
              <w:spacing w:after="0" w:line="230"/>
            </w:pPr>
            <w:r>
              <w:rPr>
                <w:rFonts w:ascii="Consolas" w:cs="Consolas" w:eastAsia="Consolas" w:hAnsi="Consolas"/>
                <w:color w:val="24303F"/>
                <w:sz w:val="13"/>
                <w:szCs w:val="13"/>
              </w:rPr>
              <w:t xml:space="preserve">    {"@type":"ListItem","position":1,"name":"Home","item":"https://trillet.ai/"},</w:t>
            </w:r>
          </w:p>
          <w:p>
            <w:pPr>
              <w:spacing w:after="0" w:line="230"/>
            </w:pPr>
            <w:r>
              <w:rPr>
                <w:rFonts w:ascii="Consolas" w:cs="Consolas" w:eastAsia="Consolas" w:hAnsi="Consolas"/>
                <w:color w:val="24303F"/>
                <w:sz w:val="13"/>
                <w:szCs w:val="13"/>
              </w:rPr>
              <w:t xml:space="preserve">    {"@type":"ListItem","position":2,"name":"Blog","item":"https://trillet.ai/blogs"},</w:t>
            </w:r>
          </w:p>
          <w:p>
            <w:pPr>
              <w:spacing w:after="0" w:line="230"/>
            </w:pPr>
            <w:r>
              <w:rPr>
                <w:rFonts w:ascii="Consolas" w:cs="Consolas" w:eastAsia="Consolas" w:hAnsi="Consolas"/>
                <w:color w:val="24303F"/>
                <w:sz w:val="13"/>
                <w:szCs w:val="13"/>
              </w:rPr>
              <w:t xml:space="preserve">    {"@type":"ListItem","position":3,"name":"White-Label Partnerships"}]}</w:t>
            </w:r>
          </w:p>
          <w:p>
            <w:pPr>
              <w:spacing w:after="0" w:line="230"/>
            </w:pPr>
            <w:r>
              <w:rPr>
                <w:rFonts w:ascii="Consolas" w:cs="Consolas" w:eastAsia="Consolas" w:hAnsi="Consolas"/>
                <w:color w:val="24303F"/>
                <w:sz w:val="13"/>
                <w:szCs w:val="13"/>
              </w:rPr>
              <w:t xml:space="preserve">]}</w:t>
            </w:r>
          </w:p>
          <w:p>
            <w:pPr>
              <w:spacing w:after="0" w:line="230"/>
            </w:pPr>
            <w:r>
              <w:rPr>
                <w:rFonts w:ascii="Consolas" w:cs="Consolas" w:eastAsia="Consolas" w:hAnsi="Consolas"/>
                <w:color w:val="24303F"/>
                <w:sz w:val="13"/>
                <w:szCs w:val="13"/>
              </w:rPr>
              <w:t xml:space="preserve">&lt;/script&gt;</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4303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2026-09-12T13:29:05.604Z</dcterms:created>
  <dcterms:modified xsi:type="dcterms:W3CDTF">2026-09-12T13:29:05.612Z</dcterms:modified>
</cp:coreProperties>
</file>

<file path=docProps/custom.xml><?xml version="1.0" encoding="utf-8"?>
<Properties xmlns="http://schemas.openxmlformats.org/officeDocument/2006/custom-properties" xmlns:vt="http://schemas.openxmlformats.org/officeDocument/2006/docPropsVTypes"/>
</file>