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HUB REBUILD DRAFT · /WHITELABEL</w:t>
      </w:r>
    </w:p>
    <w:p>
      <w:pPr>
        <w:spacing w:after="70"/>
      </w:pPr>
      <w:r>
        <w:rPr>
          <w:rFonts w:ascii="Georgia" w:cs="Georgia" w:eastAsia="Georgia" w:hAnsi="Georgia"/>
          <w:b/>
          <w:bCs/>
          <w:color w:val="16223C"/>
          <w:sz w:val="34"/>
          <w:szCs w:val="34"/>
        </w:rPr>
        <w:t xml:space="preserve">White-Label Voice AI: Hub Page Rebuild</w:t>
      </w:r>
    </w:p>
    <w:p>
      <w:pPr>
        <w:spacing w:after="110" w:line="278"/>
      </w:pPr>
      <w:r>
        <w:rPr>
          <w:rFonts w:ascii="Calibri" w:cs="Calibri" w:eastAsia="Calibri" w:hAnsi="Calibri"/>
          <w:b w:val="false"/>
          <w:bCs w:val="false"/>
          <w:i w:val="false"/>
          <w:iCs w:val="false"/>
          <w:color w:val="5A6675"/>
          <w:sz w:val="18"/>
          <w:szCs w:val="18"/>
        </w:rPr>
        <w:t xml:space="preserve">This is a copy-and-structure draft for the flagship hub, </w:t>
      </w:r>
      <w:r>
        <w:rPr>
          <w:rFonts w:ascii="Consolas" w:cs="Consolas" w:eastAsia="Consolas" w:hAnsi="Consolas"/>
          <w:b w:val="false"/>
          <w:bCs w:val="false"/>
          <w:i w:val="false"/>
          <w:iCs w:val="false"/>
          <w:color w:val="5A6675"/>
          <w:sz w:val="16"/>
          <w:szCs w:val="16"/>
        </w:rPr>
        <w:t xml:space="preserve">/whitelabel</w:t>
      </w:r>
      <w:r>
        <w:rPr>
          <w:rFonts w:ascii="Calibri" w:cs="Calibri" w:eastAsia="Calibri" w:hAnsi="Calibri"/>
          <w:b w:val="false"/>
          <w:bCs w:val="false"/>
          <w:i w:val="false"/>
          <w:iCs w:val="false"/>
          <w:color w:val="5A6675"/>
          <w:sz w:val="18"/>
          <w:szCs w:val="18"/>
        </w:rPr>
        <w:t xml:space="preserve">. It keeps what the live page already does well and closes the gaps that hold the head term back: a plain-language answer block for people and AI engines, sharper head-term targeting, and the compliance wedge pulled to the front. Every figure below is reconciled to the live page as of September 2026.</w:t>
      </w:r>
    </w:p>
    <w:p>
      <w:pPr>
        <w:pBdr>
          <w:bottom w:val="single" w:color="D9DEE8" w:sz="6"/>
        </w:pBdr>
        <w:spacing w:after="120" w:before="120"/>
      </w:pPr>
      <w:r>
        <w:t xml:space="preserve"/>
      </w:r>
    </w:p>
    <w:p>
      <w:pPr>
        <w:spacing w:after="26"/>
      </w:pPr>
      <w:r>
        <w:rPr>
          <w:rFonts w:ascii="Consolas" w:cs="Consolas" w:eastAsia="Consolas" w:hAnsi="Consolas"/>
          <w:b/>
          <w:bCs/>
          <w:color w:val="9A6B3F"/>
          <w:sz w:val="14"/>
          <w:szCs w:val="14"/>
        </w:rPr>
        <w:t xml:space="preserve">URL   </w:t>
      </w:r>
      <w:r>
        <w:rPr>
          <w:rFonts w:ascii="Consolas" w:cs="Consolas" w:eastAsia="Consolas" w:hAnsi="Consolas"/>
          <w:b w:val="false"/>
          <w:bCs w:val="false"/>
          <w:color w:val="24303F"/>
          <w:sz w:val="15"/>
          <w:szCs w:val="15"/>
        </w:rPr>
        <w:t xml:space="preserve">https://trillet.ai/whitelabel   (evergreen, keep as-is)</w:t>
      </w:r>
    </w:p>
    <w:p>
      <w:pPr>
        <w:spacing w:after="26"/>
      </w:pPr>
      <w:r>
        <w:rPr>
          <w:rFonts w:ascii="Consolas" w:cs="Consolas" w:eastAsia="Consolas" w:hAnsi="Consolas"/>
          <w:b/>
          <w:bCs/>
          <w:color w:val="9A6B3F"/>
          <w:sz w:val="14"/>
          <w:szCs w:val="14"/>
        </w:rPr>
        <w:t xml:space="preserve">HEAD TERM   </w:t>
      </w:r>
      <w:r>
        <w:rPr>
          <w:rFonts w:ascii="Calibri" w:cs="Calibri" w:eastAsia="Calibri" w:hAnsi="Calibri"/>
          <w:b w:val="false"/>
          <w:bCs w:val="false"/>
          <w:color w:val="24303F"/>
          <w:sz w:val="17"/>
          <w:szCs w:val="17"/>
        </w:rPr>
        <w:t xml:space="preserve">white label voice ai  (currently ~pos 27; this is the flagship hub for the cluster)</w:t>
      </w:r>
    </w:p>
    <w:p>
      <w:pPr>
        <w:spacing w:after="26"/>
      </w:pPr>
      <w:r>
        <w:rPr>
          <w:rFonts w:ascii="Consolas" w:cs="Consolas" w:eastAsia="Consolas" w:hAnsi="Consolas"/>
          <w:b/>
          <w:bCs/>
          <w:color w:val="9A6B3F"/>
          <w:sz w:val="14"/>
          <w:szCs w:val="14"/>
        </w:rPr>
        <w:t xml:space="preserve">SECONDARY / LSI   </w:t>
      </w:r>
      <w:r>
        <w:rPr>
          <w:rFonts w:ascii="Calibri" w:cs="Calibri" w:eastAsia="Calibri" w:hAnsi="Calibri"/>
          <w:b w:val="false"/>
          <w:bCs w:val="false"/>
          <w:color w:val="24303F"/>
          <w:sz w:val="17"/>
          <w:szCs w:val="17"/>
        </w:rPr>
        <w:t xml:space="preserve">ai voice agent white label · white label voice ai platform · white label ai receptionist · white label voice ai for agencies · voice ai reseller platform · white label conversational ai · multi-tenant voice ai · rebrand voice ai</w:t>
      </w:r>
    </w:p>
    <w:p>
      <w:pPr>
        <w:spacing w:after="26"/>
      </w:pPr>
      <w:r>
        <w:rPr>
          <w:rFonts w:ascii="Consolas" w:cs="Consolas" w:eastAsia="Consolas" w:hAnsi="Consolas"/>
          <w:b/>
          <w:bCs/>
          <w:color w:val="9A6B3F"/>
          <w:sz w:val="14"/>
          <w:szCs w:val="14"/>
        </w:rPr>
        <w:t xml:space="preserve">SEARCH INTENT   </w:t>
      </w:r>
      <w:r>
        <w:rPr>
          <w:rFonts w:ascii="Calibri" w:cs="Calibri" w:eastAsia="Calibri" w:hAnsi="Calibri"/>
          <w:b w:val="false"/>
          <w:bCs w:val="false"/>
          <w:color w:val="24303F"/>
          <w:sz w:val="17"/>
          <w:szCs w:val="17"/>
        </w:rPr>
        <w:t xml:space="preserve">Commercial investigation. Agencies and would-be resellers comparing platforms they can sell under their own brand. They want proof of margin, branding depth, and compliance before they book a demo.</w:t>
      </w:r>
    </w:p>
    <w:p>
      <w:pPr>
        <w:spacing w:after="26"/>
      </w:pPr>
      <w:r>
        <w:rPr>
          <w:rFonts w:ascii="Consolas" w:cs="Consolas" w:eastAsia="Consolas" w:hAnsi="Consolas"/>
          <w:b/>
          <w:bCs/>
          <w:color w:val="9A6B3F"/>
          <w:sz w:val="14"/>
          <w:szCs w:val="14"/>
        </w:rPr>
        <w:t xml:space="preserve">ROLE IN CLUSTER   </w:t>
      </w:r>
      <w:r>
        <w:rPr>
          <w:rFonts w:ascii="Calibri" w:cs="Calibri" w:eastAsia="Calibri" w:hAnsi="Calibri"/>
          <w:b w:val="false"/>
          <w:bCs w:val="false"/>
          <w:color w:val="24303F"/>
          <w:sz w:val="17"/>
          <w:szCs w:val="17"/>
        </w:rPr>
        <w:t xml:space="preserve">Pillar / hub. Consolidating spokes link up to it; it links down to money pages and proof.</w:t>
      </w:r>
    </w:p>
    <w:p>
      <w:pPr>
        <w:spacing w:after="26"/>
      </w:pPr>
      <w:r>
        <w:rPr>
          <w:rFonts w:ascii="Consolas" w:cs="Consolas" w:eastAsia="Consolas" w:hAnsi="Consolas"/>
          <w:b/>
          <w:bCs/>
          <w:color w:val="9A6B3F"/>
          <w:sz w:val="14"/>
          <w:szCs w:val="14"/>
        </w:rPr>
        <w:t xml:space="preserve">VOICE   </w:t>
      </w:r>
      <w:r>
        <w:rPr>
          <w:rFonts w:ascii="Calibri" w:cs="Calibri" w:eastAsia="Calibri" w:hAnsi="Calibri"/>
          <w:b w:val="false"/>
          <w:bCs w:val="false"/>
          <w:color w:val="24303F"/>
          <w:sz w:val="17"/>
          <w:szCs w:val="17"/>
        </w:rPr>
        <w:t xml:space="preserve">Founder first person where it earns it, plain and declarative elsewhere. No hype, Australian spelling, zero em-dashes.</w:t>
      </w:r>
    </w:p>
    <w:p>
      <w:pPr>
        <w:pBdr>
          <w:bottom w:val="single" w:color="D9DEE8" w:sz="6"/>
        </w:pBdr>
        <w:spacing w:after="120" w:before="120"/>
      </w:pPr>
      <w:r>
        <w:t xml:space="preserve"/>
      </w:r>
    </w:p>
    <w:p>
      <w:pPr>
        <w:spacing w:after="16" w:before="110"/>
      </w:pPr>
      <w:r>
        <w:rPr>
          <w:rFonts w:ascii="Calibri" w:cs="Calibri" w:eastAsia="Calibri" w:hAnsi="Calibri"/>
          <w:b/>
          <w:bCs/>
          <w:color w:val="16223C"/>
          <w:sz w:val="20"/>
          <w:szCs w:val="20"/>
        </w:rPr>
        <w:t xml:space="preserve">Before this ships, confirm</w:t>
      </w:r>
    </w:p>
    <w:p>
      <w:pPr>
        <w:spacing w:after="40"/>
      </w:pPr>
      <w:r>
        <w:rPr>
          <w:rFonts w:ascii="Calibri" w:cs="Calibri" w:eastAsia="Calibri" w:hAnsi="Calibri"/>
          <w:b/>
          <w:bCs/>
          <w:color w:val="B4442E"/>
          <w:sz w:val="16"/>
          <w:szCs w:val="16"/>
        </w:rPr>
        <w:t xml:space="preserve">⚑ </w:t>
      </w:r>
      <w:r>
        <w:rPr>
          <w:rFonts w:ascii="Calibri" w:cs="Calibri" w:eastAsia="Calibri" w:hAnsi="Calibri"/>
          <w:color w:val="5A6675"/>
          <w:sz w:val="16"/>
          <w:szCs w:val="16"/>
        </w:rPr>
        <w:t xml:space="preserve">Render the page server-side. The head term will not rank if the H1, the answer block and the copy load only after JavaScript. Verify the raw HTML source carries the text.</w:t>
      </w:r>
    </w:p>
    <w:p>
      <w:pPr>
        <w:spacing w:after="40"/>
      </w:pPr>
      <w:r>
        <w:rPr>
          <w:rFonts w:ascii="Calibri" w:cs="Calibri" w:eastAsia="Calibri" w:hAnsi="Calibri"/>
          <w:b/>
          <w:bCs/>
          <w:color w:val="B4442E"/>
          <w:sz w:val="16"/>
          <w:szCs w:val="16"/>
        </w:rPr>
        <w:t xml:space="preserve">⚑ </w:t>
      </w:r>
      <w:r>
        <w:rPr>
          <w:rFonts w:ascii="Calibri" w:cs="Calibri" w:eastAsia="Calibri" w:hAnsi="Calibri"/>
          <w:color w:val="5A6675"/>
          <w:sz w:val="16"/>
          <w:szCs w:val="16"/>
        </w:rPr>
        <w:t xml:space="preserve">New meta description below is 152 characters. The live one is 186 and gets truncated in results. Swap it.</w:t>
      </w:r>
    </w:p>
    <w:p>
      <w:pPr>
        <w:spacing w:after="40"/>
      </w:pPr>
      <w:r>
        <w:rPr>
          <w:rFonts w:ascii="Calibri" w:cs="Calibri" w:eastAsia="Calibri" w:hAnsi="Calibri"/>
          <w:b/>
          <w:bCs/>
          <w:color w:val="B4442E"/>
          <w:sz w:val="16"/>
          <w:szCs w:val="16"/>
        </w:rPr>
        <w:t xml:space="preserve">⚑ </w:t>
      </w:r>
      <w:r>
        <w:rPr>
          <w:rFonts w:ascii="Calibri" w:cs="Calibri" w:eastAsia="Calibri" w:hAnsi="Calibri"/>
          <w:color w:val="5A6675"/>
          <w:sz w:val="16"/>
          <w:szCs w:val="16"/>
        </w:rPr>
        <w:t xml:space="preserve">Keep the /whitelabel vs /partners split explicit. This page is the self-serve platform; /partners holds the formal reseller, referral and OEM tracks. Do not blur them.</w:t>
      </w:r>
    </w:p>
    <w:p>
      <w:pPr>
        <w:spacing w:after="40"/>
      </w:pPr>
      <w:r>
        <w:rPr>
          <w:rFonts w:ascii="Calibri" w:cs="Calibri" w:eastAsia="Calibri" w:hAnsi="Calibri"/>
          <w:b/>
          <w:bCs/>
          <w:color w:val="2E7D5B"/>
          <w:sz w:val="16"/>
          <w:szCs w:val="16"/>
        </w:rPr>
        <w:t xml:space="preserve">✓ </w:t>
      </w:r>
      <w:r>
        <w:rPr>
          <w:rFonts w:ascii="Calibri" w:cs="Calibri" w:eastAsia="Calibri" w:hAnsi="Calibri"/>
          <w:color w:val="5A6675"/>
          <w:sz w:val="16"/>
          <w:szCs w:val="16"/>
        </w:rPr>
        <w:t xml:space="preserve">Reconciled to live: usage $0.12/min (platform, STT, LLM, TTS); telephony separate, US Trillet telephony from $0.014/min, web calls no telephony fee. Studio $99/mo (up to 3 workspaces, 100 min, 3 numbers). Agency $299/mo (unlimited workspaces, 300 min, 10 numbers). 28-day money-back, no contracts.</w:t>
      </w:r>
    </w:p>
    <w:p>
      <w:pPr>
        <w:spacing w:after="40"/>
      </w:pPr>
      <w:r>
        <w:rPr>
          <w:rFonts w:ascii="Calibri" w:cs="Calibri" w:eastAsia="Calibri" w:hAnsi="Calibri"/>
          <w:b/>
          <w:bCs/>
          <w:color w:val="2E7D5B"/>
          <w:sz w:val="16"/>
          <w:szCs w:val="16"/>
        </w:rPr>
        <w:t xml:space="preserve">✓ </w:t>
      </w:r>
      <w:r>
        <w:rPr>
          <w:rFonts w:ascii="Calibri" w:cs="Calibri" w:eastAsia="Calibri" w:hAnsi="Calibri"/>
          <w:color w:val="5A6675"/>
          <w:sz w:val="16"/>
          <w:szCs w:val="16"/>
        </w:rPr>
        <w:t xml:space="preserve">Reconciled to live: SOC 2 Type II, ISO 27001, HIPAA, GDPR, ACMA, TCPA, AU data residency; recordings, transcripts and backups stored onshore; isolated multi-tenant workspaces; audit trails on every workspace; on-premise and private cloud for enterprise; Australian owned.</w:t>
      </w:r>
    </w:p>
    <w:p>
      <w:pPr>
        <w:spacing w:after="40"/>
      </w:pPr>
      <w:r>
        <w:rPr>
          <w:rFonts w:ascii="Calibri" w:cs="Calibri" w:eastAsia="Calibri" w:hAnsi="Calibri"/>
          <w:b/>
          <w:bCs/>
          <w:color w:val="2E7D5B"/>
          <w:sz w:val="16"/>
          <w:szCs w:val="16"/>
        </w:rPr>
        <w:t xml:space="preserve">✓ </w:t>
      </w:r>
      <w:r>
        <w:rPr>
          <w:rFonts w:ascii="Calibri" w:cs="Calibri" w:eastAsia="Calibri" w:hAnsi="Calibri"/>
          <w:color w:val="5A6675"/>
          <w:sz w:val="16"/>
          <w:szCs w:val="16"/>
        </w:rPr>
        <w:t xml:space="preserve">Reconciled to live: carrier-level call forwarding (no number porting), ~30-second setup; native integrations GoHighLevel, Google Calendar, Cal.com, plus webhook and API.</w:t>
      </w:r>
    </w:p>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Title and meta</w:t>
      </w:r>
    </w:p>
    <w:p>
      <w:pPr>
        <w:spacing w:after="16" w:before="110"/>
      </w:pPr>
      <w:r>
        <w:rPr>
          <w:rFonts w:ascii="Calibri" w:cs="Calibri" w:eastAsia="Calibri" w:hAnsi="Calibri"/>
          <w:b/>
          <w:bCs/>
          <w:color w:val="16223C"/>
          <w:sz w:val="20"/>
          <w:szCs w:val="20"/>
        </w:rPr>
        <w:t xml:space="preserve">Meta title</w:t>
      </w:r>
    </w:p>
    <w:p>
      <w:pPr>
        <w:spacing w:after="110" w:line="278"/>
      </w:pPr>
      <w:r>
        <w:rPr>
          <w:rFonts w:ascii="Consolas" w:cs="Consolas" w:eastAsia="Consolas" w:hAnsi="Consolas"/>
          <w:b w:val="false"/>
          <w:bCs w:val="false"/>
          <w:i w:val="false"/>
          <w:iCs w:val="false"/>
          <w:color w:val="5A6675"/>
          <w:sz w:val="16"/>
          <w:szCs w:val="16"/>
        </w:rPr>
        <w:t xml:space="preserve">Live:  </w:t>
      </w:r>
      <w:r>
        <w:rPr>
          <w:rFonts w:ascii="Consolas" w:cs="Consolas" w:eastAsia="Consolas" w:hAnsi="Consolas"/>
          <w:b w:val="false"/>
          <w:bCs w:val="false"/>
          <w:i w:val="false"/>
          <w:iCs w:val="false"/>
          <w:color w:val="24303F"/>
          <w:sz w:val="16"/>
          <w:szCs w:val="16"/>
        </w:rPr>
        <w:t xml:space="preserve">White-Label Voice AI for Agencies &amp; Partners | Trillet  (52)</w:t>
      </w:r>
    </w:p>
    <w:p>
      <w:pPr>
        <w:spacing w:after="110" w:line="278"/>
      </w:pPr>
      <w:r>
        <w:rPr>
          <w:rFonts w:ascii="Calibri" w:cs="Calibri" w:eastAsia="Calibri" w:hAnsi="Calibri"/>
          <w:b w:val="false"/>
          <w:bCs w:val="false"/>
          <w:i w:val="false"/>
          <w:iCs w:val="false"/>
          <w:color w:val="24303F"/>
          <w:sz w:val="18"/>
          <w:szCs w:val="18"/>
        </w:rPr>
        <w:t xml:space="preserve">Keep it. It already leads with the head term and the buyer, and it sits inside the length limit. No change needed.</w:t>
      </w:r>
    </w:p>
    <w:p>
      <w:pPr>
        <w:spacing w:after="16" w:before="110"/>
      </w:pPr>
      <w:r>
        <w:rPr>
          <w:rFonts w:ascii="Calibri" w:cs="Calibri" w:eastAsia="Calibri" w:hAnsi="Calibri"/>
          <w:b/>
          <w:bCs/>
          <w:color w:val="16223C"/>
          <w:sz w:val="20"/>
          <w:szCs w:val="20"/>
        </w:rPr>
        <w:t xml:space="preserve">Meta description  (new)</w:t>
      </w:r>
    </w:p>
    <w:p>
      <w:pPr>
        <w:spacing w:after="110" w:line="278"/>
      </w:pPr>
      <w:r>
        <w:rPr>
          <w:rFonts w:ascii="Consolas" w:cs="Consolas" w:eastAsia="Consolas" w:hAnsi="Consolas"/>
          <w:b w:val="false"/>
          <w:bCs w:val="false"/>
          <w:i w:val="false"/>
          <w:iCs w:val="false"/>
          <w:color w:val="24303F"/>
          <w:sz w:val="16"/>
          <w:szCs w:val="16"/>
        </w:rPr>
        <w:t xml:space="preserve">White-label voice AI you sell under your own brand. Full branding, isolated client workspaces, and compliance built in, not billed as an add-on.  (152)</w:t>
      </w:r>
    </w:p>
    <w:p>
      <w:pPr>
        <w:spacing w:after="110" w:line="278"/>
      </w:pPr>
      <w:r>
        <w:rPr>
          <w:rFonts w:ascii="Calibri" w:cs="Calibri" w:eastAsia="Calibri" w:hAnsi="Calibri"/>
          <w:b w:val="false"/>
          <w:bCs w:val="false"/>
          <w:i w:val="false"/>
          <w:iCs w:val="false"/>
          <w:color w:val="5A6675"/>
          <w:sz w:val="17"/>
          <w:szCs w:val="17"/>
        </w:rPr>
        <w:t xml:space="preserve">Leads with the head term, states the branding and multi-tenancy the buyer is scanning for, and ends on the compliance wedge that separates Trillet from the roundup pages. Under the truncation limit.</w:t>
      </w:r>
    </w:p>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Page structure, top to bottom</w:t>
      </w:r>
    </w:p>
    <w:p>
      <w:pPr>
        <w:spacing w:after="110" w:line="278"/>
      </w:pPr>
      <w:r>
        <w:rPr>
          <w:rFonts w:ascii="Calibri" w:cs="Calibri" w:eastAsia="Calibri" w:hAnsi="Calibri"/>
          <w:b w:val="false"/>
          <w:bCs w:val="false"/>
          <w:i w:val="false"/>
          <w:iCs w:val="false"/>
          <w:color w:val="24303F"/>
          <w:sz w:val="18"/>
          <w:szCs w:val="18"/>
        </w:rPr>
        <w:t xml:space="preserve">The live page already flows well: hero, feature grid, build demo, margins, verticals, pricing, proof, support, FAQ, close. The rebuild keeps that spine and makes four changes: a tighter H1, a plain-language answer block directly under the hero, question-format headings where they earn a snippet, and the compliance section pulled up so it reads as a reason to choose Trillet rather than fine print at the foot.</w:t>
      </w:r>
    </w:p>
    <w:p>
      <w:pPr>
        <w:spacing w:after="30" w:before="120"/>
      </w:pPr>
      <w:r>
        <w:rPr>
          <w:rFonts w:ascii="Consolas" w:cs="Consolas" w:eastAsia="Consolas" w:hAnsi="Consolas"/>
          <w:b/>
          <w:bCs/>
          <w:color w:val="9A6B3F"/>
          <w:spacing w:val="12"/>
          <w:sz w:val="14"/>
          <w:szCs w:val="14"/>
        </w:rPr>
        <w:t xml:space="preserve">SECTION 1 · HERO</w:t>
      </w:r>
    </w:p>
    <w:p>
      <w:pPr>
        <w:spacing w:after="16" w:before="110"/>
      </w:pPr>
      <w:r>
        <w:rPr>
          <w:rFonts w:ascii="Calibri" w:cs="Calibri" w:eastAsia="Calibri" w:hAnsi="Calibri"/>
          <w:b/>
          <w:bCs/>
          <w:color w:val="16223C"/>
          <w:sz w:val="20"/>
          <w:szCs w:val="20"/>
        </w:rPr>
        <w:t xml:space="preserve">H1</w:t>
      </w:r>
    </w:p>
    <w:p>
      <w:pPr>
        <w:spacing w:after="110" w:line="278"/>
      </w:pPr>
      <w:r>
        <w:rPr>
          <w:rFonts w:ascii="Calibri" w:cs="Calibri" w:eastAsia="Calibri" w:hAnsi="Calibri"/>
          <w:b w:val="false"/>
          <w:bCs w:val="false"/>
          <w:i w:val="false"/>
          <w:iCs w:val="false"/>
          <w:color w:val="5A6675"/>
          <w:sz w:val="16"/>
          <w:szCs w:val="16"/>
        </w:rPr>
        <w:t xml:space="preserve">Live H1:  </w:t>
      </w:r>
      <w:r>
        <w:rPr>
          <w:rFonts w:ascii="Calibri" w:cs="Calibri" w:eastAsia="Calibri" w:hAnsi="Calibri"/>
          <w:b w:val="false"/>
          <w:bCs w:val="false"/>
          <w:i/>
          <w:iCs/>
          <w:color w:val="24303F"/>
          <w:sz w:val="18"/>
          <w:szCs w:val="18"/>
        </w:rPr>
        <w:t xml:space="preserve">Deliver high-stakes conversation AI under your own brand</w:t>
      </w:r>
    </w:p>
    <w:p>
      <w:pPr>
        <w:spacing w:after="110" w:line="278"/>
      </w:pPr>
      <w:r>
        <w:rPr>
          <w:rFonts w:ascii="Calibri" w:cs="Calibri" w:eastAsia="Calibri" w:hAnsi="Calibri"/>
          <w:b w:val="false"/>
          <w:bCs w:val="false"/>
          <w:i w:val="false"/>
          <w:iCs w:val="false"/>
          <w:color w:val="24303F"/>
          <w:sz w:val="18"/>
          <w:szCs w:val="18"/>
        </w:rPr>
        <w:t xml:space="preserve">It reads well but never says </w:t>
      </w:r>
      <w:r>
        <w:rPr>
          <w:rFonts w:ascii="Calibri" w:cs="Calibri" w:eastAsia="Calibri" w:hAnsi="Calibri"/>
          <w:b w:val="false"/>
          <w:bCs w:val="false"/>
          <w:i/>
          <w:iCs/>
          <w:color w:val="24303F"/>
          <w:sz w:val="18"/>
          <w:szCs w:val="18"/>
        </w:rPr>
        <w:t xml:space="preserve">white-label voice AI</w:t>
      </w:r>
      <w:r>
        <w:rPr>
          <w:rFonts w:ascii="Calibri" w:cs="Calibri" w:eastAsia="Calibri" w:hAnsi="Calibri"/>
          <w:b w:val="false"/>
          <w:bCs w:val="false"/>
          <w:i w:val="false"/>
          <w:iCs w:val="false"/>
          <w:color w:val="24303F"/>
          <w:sz w:val="18"/>
          <w:szCs w:val="18"/>
        </w:rPr>
        <w:t xml:space="preserve">, the exact phrase the page is trying to rank for. Put the term in the H1 and keep the brand promise as the line under it.</w:t>
      </w:r>
    </w:p>
    <w:p>
      <w:pPr>
        <w:spacing w:after="110" w:line="278"/>
      </w:pPr>
      <w:r>
        <w:rPr>
          <w:rFonts w:ascii="Calibri" w:cs="Calibri" w:eastAsia="Calibri" w:hAnsi="Calibri"/>
          <w:b/>
          <w:bCs/>
          <w:i w:val="false"/>
          <w:iCs w:val="false"/>
          <w:color w:val="9A6B3F"/>
          <w:sz w:val="16"/>
          <w:szCs w:val="16"/>
        </w:rPr>
        <w:t xml:space="preserve">Proposed H1:  </w:t>
      </w:r>
      <w:r>
        <w:rPr>
          <w:rFonts w:ascii="Calibri" w:cs="Calibri" w:eastAsia="Calibri" w:hAnsi="Calibri"/>
          <w:b/>
          <w:bCs/>
          <w:i w:val="false"/>
          <w:iCs w:val="false"/>
          <w:color w:val="16223C"/>
          <w:sz w:val="22"/>
          <w:szCs w:val="22"/>
        </w:rPr>
        <w:t xml:space="preserve">White-label voice AI, under your brand</w:t>
      </w:r>
    </w:p>
    <w:p>
      <w:pPr>
        <w:spacing w:after="110" w:line="278"/>
      </w:pPr>
      <w:r>
        <w:rPr>
          <w:rFonts w:ascii="Calibri" w:cs="Calibri" w:eastAsia="Calibri" w:hAnsi="Calibri"/>
          <w:b/>
          <w:bCs/>
          <w:i w:val="false"/>
          <w:iCs w:val="false"/>
          <w:color w:val="9A6B3F"/>
          <w:sz w:val="16"/>
          <w:szCs w:val="16"/>
        </w:rPr>
        <w:t xml:space="preserve">Subhead:  </w:t>
      </w:r>
      <w:r>
        <w:rPr>
          <w:rFonts w:ascii="Calibri" w:cs="Calibri" w:eastAsia="Calibri" w:hAnsi="Calibri"/>
          <w:b w:val="false"/>
          <w:bCs w:val="false"/>
          <w:i w:val="false"/>
          <w:iCs w:val="false"/>
          <w:color w:val="24303F"/>
          <w:sz w:val="19"/>
          <w:szCs w:val="19"/>
        </w:rPr>
        <w:t xml:space="preserve">Sell voice agents your clients believe you built. Your domain, your dashboard, your pricing. Trillet stays behind the glass, and the compliance comes with it.</w:t>
      </w:r>
    </w:p>
    <w:p>
      <w:pPr>
        <w:spacing w:after="110" w:line="278"/>
      </w:pPr>
      <w:r>
        <w:rPr>
          <w:rFonts w:ascii="Calibri" w:cs="Calibri" w:eastAsia="Calibri" w:hAnsi="Calibri"/>
          <w:b w:val="false"/>
          <w:bCs w:val="false"/>
          <w:i w:val="false"/>
          <w:iCs w:val="false"/>
          <w:color w:val="5A6675"/>
          <w:sz w:val="16"/>
          <w:szCs w:val="16"/>
        </w:rPr>
        <w:t xml:space="preserve">Primary CTA:  </w:t>
      </w:r>
      <w:r>
        <w:rPr>
          <w:rFonts w:ascii="Calibri" w:cs="Calibri" w:eastAsia="Calibri" w:hAnsi="Calibri"/>
          <w:b w:val="false"/>
          <w:bCs w:val="false"/>
          <w:i w:val="false"/>
          <w:iCs w:val="false"/>
          <w:color w:val="24303F"/>
          <w:sz w:val="18"/>
          <w:szCs w:val="18"/>
        </w:rPr>
        <w:t xml:space="preserve">Start on the platform</w:t>
      </w:r>
      <w:r>
        <w:rPr>
          <w:rFonts w:ascii="Calibri" w:cs="Calibri" w:eastAsia="Calibri" w:hAnsi="Calibri"/>
          <w:b w:val="false"/>
          <w:bCs w:val="false"/>
          <w:i w:val="false"/>
          <w:iCs w:val="false"/>
          <w:color w:val="5A6675"/>
          <w:sz w:val="16"/>
          <w:szCs w:val="16"/>
        </w:rPr>
        <w:t xml:space="preserve">      Secondary CTA:  </w:t>
      </w:r>
      <w:r>
        <w:rPr>
          <w:rFonts w:ascii="Calibri" w:cs="Calibri" w:eastAsia="Calibri" w:hAnsi="Calibri"/>
          <w:b w:val="false"/>
          <w:bCs w:val="false"/>
          <w:i w:val="false"/>
          <w:iCs w:val="false"/>
          <w:color w:val="24303F"/>
          <w:sz w:val="18"/>
          <w:szCs w:val="18"/>
        </w:rPr>
        <w:t xml:space="preserve">See partner tracks → /partners</w:t>
      </w:r>
    </w:p>
    <w:p>
      <w:pPr>
        <w:spacing w:after="30" w:before="120"/>
      </w:pPr>
      <w:r>
        <w:rPr>
          <w:rFonts w:ascii="Consolas" w:cs="Consolas" w:eastAsia="Consolas" w:hAnsi="Consolas"/>
          <w:b/>
          <w:bCs/>
          <w:color w:val="9A6B3F"/>
          <w:spacing w:val="12"/>
          <w:sz w:val="14"/>
          <w:szCs w:val="14"/>
        </w:rPr>
        <w:t xml:space="preserve">SECTION 2 · ANSWER BLOCK  (NEW)</w:t>
      </w:r>
    </w:p>
    <w:p>
      <w:pPr>
        <w:spacing w:after="110" w:line="278"/>
      </w:pPr>
      <w:r>
        <w:rPr>
          <w:rFonts w:ascii="Calibri" w:cs="Calibri" w:eastAsia="Calibri" w:hAnsi="Calibri"/>
          <w:b w:val="false"/>
          <w:bCs w:val="false"/>
          <w:i w:val="false"/>
          <w:iCs w:val="false"/>
          <w:color w:val="24303F"/>
          <w:sz w:val="18"/>
          <w:szCs w:val="18"/>
        </w:rPr>
        <w:t xml:space="preserve">The single biggest gap on the live page. There is no plain sentence defining the term, so neither a first-time visitor nor an AI answer engine gets a clean definition to lift. Add this directly under the hero, as visible body text, not a tooltip.</w:t>
      </w:r>
    </w:p>
    <w:tbl>
      <w:tblPr>
        <w:tblW w:type="dxa" w:w="9360"/>
        <w:tblBorders>
          <w:top w:val="none"/>
          <w:left w:val="single" w:color="2E7D5B" w:sz="18"/>
          <w:bottom w:val="none"/>
          <w:right w:val="none"/>
          <w:insideH w:val="single" w:color="auto" w:sz="4"/>
          <w:insideV w:val="single" w:color="auto" w:sz="4"/>
        </w:tblBorders>
      </w:tblPr>
      <w:tblGrid>
        <w:gridCol w:w="9360"/>
      </w:tblGrid>
      <w:tr>
        <w:tc>
          <w:tcPr>
            <w:tcW w:type="dxa" w:w="9360"/>
            <w:tcBorders>
              <w:top w:val="none"/>
              <w:left w:val="single" w:color="2E7D5B" w:sz="18"/>
              <w:bottom w:val="none"/>
              <w:right w:val="none"/>
            </w:tcBorders>
            <w:shd w:fill="EEF3F0" w:color="auto" w:val="clear"/>
            <w:tcMar>
              <w:top w:type="dxa" w:w="110"/>
              <w:left w:type="dxa" w:w="150"/>
              <w:bottom w:type="dxa" w:w="110"/>
              <w:right w:type="dxa" w:w="150"/>
            </w:tcMar>
          </w:tcPr>
          <w:p>
            <w:pPr>
              <w:spacing w:after="0" w:line="276"/>
            </w:pPr>
            <w:r>
              <w:rPr>
                <w:rFonts w:ascii="Calibri" w:cs="Calibri" w:eastAsia="Calibri" w:hAnsi="Calibri"/>
                <w:b/>
                <w:bCs/>
                <w:color w:val="16223C"/>
                <w:sz w:val="20"/>
                <w:szCs w:val="20"/>
              </w:rPr>
              <w:t xml:space="preserve">What is white-label voice AI? </w:t>
            </w:r>
            <w:r>
              <w:rPr>
                <w:rFonts w:ascii="Calibri" w:cs="Calibri" w:eastAsia="Calibri" w:hAnsi="Calibri"/>
                <w:color w:val="24303F"/>
                <w:sz w:val="20"/>
                <w:szCs w:val="20"/>
              </w:rPr>
              <w:t xml:space="preserve">White-label voice AI is a voice agent platform you resell under your own brand. You buy access at a wholesale rate, put your name, domain and dashboard on it, set your own price, and own the client. The vendor runs the software and stays invisible. Trillet adds the part most platforms treat as an upsell: compliance and a verifiable record of every call, built in.</w:t>
            </w:r>
          </w:p>
        </w:tc>
      </w:tr>
    </w:tbl>
    <w:p>
      <w:pPr>
        <w:spacing w:after="110" w:line="278"/>
      </w:pPr>
      <w:r>
        <w:rPr>
          <w:rFonts w:ascii="Calibri" w:cs="Calibri" w:eastAsia="Calibri" w:hAnsi="Calibri"/>
          <w:b w:val="false"/>
          <w:bCs w:val="false"/>
          <w:i w:val="false"/>
          <w:iCs w:val="false"/>
          <w:color w:val="5A6675"/>
          <w:sz w:val="17"/>
          <w:szCs w:val="17"/>
        </w:rPr>
        <w:t xml:space="preserve">Keep it to those few sentences. It answers the query, seeds the head term and the LSI, and gives an AI engine something quotable with Trillet named in it.</w:t>
      </w:r>
    </w:p>
    <w:p>
      <w:pPr>
        <w:spacing w:after="30" w:before="120"/>
      </w:pPr>
      <w:r>
        <w:rPr>
          <w:rFonts w:ascii="Consolas" w:cs="Consolas" w:eastAsia="Consolas" w:hAnsi="Consolas"/>
          <w:b/>
          <w:bCs/>
          <w:color w:val="9A6B3F"/>
          <w:spacing w:val="12"/>
          <w:sz w:val="14"/>
          <w:szCs w:val="14"/>
        </w:rPr>
        <w:t xml:space="preserve">SECTION 3 · WHAT YOU GET  (FEATURE GRID, KEEP)</w:t>
      </w:r>
    </w:p>
    <w:p>
      <w:pPr>
        <w:spacing w:after="16" w:before="110"/>
      </w:pPr>
      <w:r>
        <w:rPr>
          <w:rFonts w:ascii="Calibri" w:cs="Calibri" w:eastAsia="Calibri" w:hAnsi="Calibri"/>
          <w:b/>
          <w:bCs/>
          <w:color w:val="16223C"/>
          <w:sz w:val="20"/>
          <w:szCs w:val="20"/>
        </w:rPr>
        <w:t xml:space="preserve">H2:  Everything you need to deliver under your brand</w:t>
      </w:r>
    </w:p>
    <w:p>
      <w:pPr>
        <w:spacing w:after="110" w:line="278"/>
      </w:pPr>
      <w:r>
        <w:rPr>
          <w:rFonts w:ascii="Calibri" w:cs="Calibri" w:eastAsia="Calibri" w:hAnsi="Calibri"/>
          <w:b w:val="false"/>
          <w:bCs w:val="false"/>
          <w:i w:val="false"/>
          <w:iCs w:val="false"/>
          <w:color w:val="24303F"/>
          <w:sz w:val="18"/>
          <w:szCs w:val="18"/>
        </w:rPr>
        <w:t xml:space="preserve">The live grid is good. Keep the six cards, tighten the copy, and make sure each card name carries an entity a buyer or an engine would search.</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Full white-label. </w:t>
      </w:r>
      <w:r>
        <w:rPr>
          <w:rFonts w:ascii="Calibri" w:cs="Calibri" w:eastAsia="Calibri" w:hAnsi="Calibri"/>
          <w:b w:val="false"/>
          <w:bCs w:val="false"/>
          <w:i w:val="false"/>
          <w:iCs w:val="false"/>
          <w:color w:val="24303F"/>
          <w:sz w:val="20"/>
          <w:szCs w:val="20"/>
        </w:rPr>
        <w:t xml:space="preserve">Your domain, your dashboard, your billing. Clients log in to your product and never see Trillet.</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Multi-tenant control. </w:t>
      </w:r>
      <w:r>
        <w:rPr>
          <w:rFonts w:ascii="Calibri" w:cs="Calibri" w:eastAsia="Calibri" w:hAnsi="Calibri"/>
          <w:b w:val="false"/>
          <w:bCs w:val="false"/>
          <w:i w:val="false"/>
          <w:iCs w:val="false"/>
          <w:color w:val="24303F"/>
          <w:sz w:val="20"/>
          <w:szCs w:val="20"/>
        </w:rPr>
        <w:t xml:space="preserve">Every client runs in an isolated workspace, managed centrally from one dashboard.</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One-click agent deployment. </w:t>
      </w:r>
      <w:r>
        <w:rPr>
          <w:rFonts w:ascii="Calibri" w:cs="Calibri" w:eastAsia="Calibri" w:hAnsi="Calibri"/>
          <w:b w:val="false"/>
          <w:bCs w:val="false"/>
          <w:i w:val="false"/>
          <w:iCs w:val="false"/>
          <w:color w:val="24303F"/>
          <w:sz w:val="20"/>
          <w:szCs w:val="20"/>
        </w:rPr>
        <w:t xml:space="preserve">From a client's website to a live, trained agent in minutes.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Ready-to-go templates. </w:t>
      </w:r>
      <w:r>
        <w:rPr>
          <w:rFonts w:ascii="Calibri" w:cs="Calibri" w:eastAsia="Calibri" w:hAnsi="Calibri"/>
          <w:b w:val="false"/>
          <w:bCs w:val="false"/>
          <w:i w:val="false"/>
          <w:iCs w:val="false"/>
          <w:color w:val="24303F"/>
          <w:sz w:val="20"/>
          <w:szCs w:val="20"/>
        </w:rPr>
        <w:t xml:space="preserve">Vertical playbooks for reception, booking and intake, so you are not building each agent from scratch.</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Native integrations. </w:t>
      </w:r>
      <w:r>
        <w:rPr>
          <w:rFonts w:ascii="Calibri" w:cs="Calibri" w:eastAsia="Calibri" w:hAnsi="Calibri"/>
          <w:b w:val="false"/>
          <w:bCs w:val="false"/>
          <w:i w:val="false"/>
          <w:iCs w:val="false"/>
          <w:color w:val="24303F"/>
          <w:sz w:val="20"/>
          <w:szCs w:val="20"/>
        </w:rPr>
        <w:t xml:space="preserve">GoHighLevel, Google Calendar and Cal.com out of the box, with webhook and API paths for the rest.</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Client dashboards and analytics. </w:t>
      </w:r>
      <w:r>
        <w:rPr>
          <w:rFonts w:ascii="Calibri" w:cs="Calibri" w:eastAsia="Calibri" w:hAnsi="Calibri"/>
          <w:b w:val="false"/>
          <w:bCs w:val="false"/>
          <w:i w:val="false"/>
          <w:iCs w:val="false"/>
          <w:color w:val="24303F"/>
          <w:sz w:val="20"/>
          <w:szCs w:val="20"/>
        </w:rPr>
        <w:t xml:space="preserve">Call volumes, bookings and outcomes your clients see under your brand.</w:t>
      </w:r>
    </w:p>
    <w:p>
      <w:pPr>
        <w:spacing w:after="30" w:before="120"/>
      </w:pPr>
      <w:r>
        <w:rPr>
          <w:rFonts w:ascii="Consolas" w:cs="Consolas" w:eastAsia="Consolas" w:hAnsi="Consolas"/>
          <w:b/>
          <w:bCs/>
          <w:color w:val="9A6B3F"/>
          <w:spacing w:val="12"/>
          <w:sz w:val="14"/>
          <w:szCs w:val="14"/>
        </w:rPr>
        <w:t xml:space="preserve">SECTION 4 · WHY COMPLIANCE IS THE WEDGE  (PULL UP FROM THE FOOT)</w:t>
      </w:r>
    </w:p>
    <w:p>
      <w:pPr>
        <w:spacing w:after="110" w:line="278"/>
      </w:pPr>
      <w:r>
        <w:rPr>
          <w:rFonts w:ascii="Calibri" w:cs="Calibri" w:eastAsia="Calibri" w:hAnsi="Calibri"/>
          <w:b w:val="false"/>
          <w:bCs w:val="false"/>
          <w:i w:val="false"/>
          <w:iCs w:val="false"/>
          <w:color w:val="24303F"/>
          <w:sz w:val="18"/>
          <w:szCs w:val="18"/>
        </w:rPr>
        <w:t xml:space="preserve">On the live page this sits near the bottom, under the partner-support block. Move it here, above pricing. It is the one thing the roundup competitors cannot copy, and it is the reason a regulated client stays.</w:t>
      </w:r>
    </w:p>
    <w:p>
      <w:pPr>
        <w:spacing w:after="16" w:before="110"/>
      </w:pPr>
      <w:r>
        <w:rPr>
          <w:rFonts w:ascii="Calibri" w:cs="Calibri" w:eastAsia="Calibri" w:hAnsi="Calibri"/>
          <w:b/>
          <w:bCs/>
          <w:color w:val="16223C"/>
          <w:sz w:val="20"/>
          <w:szCs w:val="20"/>
        </w:rPr>
        <w:t xml:space="preserve">H2:  The part most platforms sell you later</w:t>
      </w:r>
    </w:p>
    <w:p>
      <w:pPr>
        <w:spacing w:after="110" w:line="278"/>
      </w:pPr>
      <w:r>
        <w:rPr>
          <w:rFonts w:ascii="Calibri" w:cs="Calibri" w:eastAsia="Calibri" w:hAnsi="Calibri"/>
          <w:b w:val="false"/>
          <w:bCs w:val="false"/>
          <w:i w:val="false"/>
          <w:iCs w:val="false"/>
          <w:color w:val="24303F"/>
          <w:sz w:val="20"/>
          <w:szCs w:val="20"/>
        </w:rPr>
        <w:t xml:space="preserve">Put your brand on an AI that talks to a client's customers and you inherit the liability. Most white-label platforms leave you to sort that out. Trillet builds it in. Every client workspace keeps full audit trails and role-based access. Recordings, transcripts and backups are retained, and stored onshore for clients who mandate it, so a disputed call is something you open rather than argue about.</w:t>
      </w:r>
    </w:p>
    <w:p>
      <w:pPr>
        <w:spacing w:after="110" w:line="278"/>
      </w:pPr>
      <w:r>
        <w:rPr>
          <w:rFonts w:ascii="Calibri" w:cs="Calibri" w:eastAsia="Calibri" w:hAnsi="Calibri"/>
          <w:b w:val="false"/>
          <w:bCs w:val="false"/>
          <w:i w:val="false"/>
          <w:iCs w:val="false"/>
          <w:color w:val="24303F"/>
          <w:sz w:val="20"/>
          <w:szCs w:val="20"/>
        </w:rPr>
        <w:t xml:space="preserve">The certifications are the platform's, not an add-on you pay for: SOC 2 Type II, ISO 27001, and operation under HIPAA, GDPR, ACMA and TCPA. On-premise and private cloud are available for enterprise clients, and the company is Australian owned with data residency to match. If your clients are clinics, law firms or financial services, this is what lets you sell to them at all.</w:t>
      </w:r>
    </w:p>
    <w:p>
      <w:pPr>
        <w:spacing w:after="110" w:line="278"/>
      </w:pPr>
      <w:r>
        <w:rPr>
          <w:rFonts w:ascii="Calibri" w:cs="Calibri" w:eastAsia="Calibri" w:hAnsi="Calibri"/>
          <w:b w:val="false"/>
          <w:bCs w:val="false"/>
          <w:i w:val="false"/>
          <w:iCs w:val="false"/>
          <w:color w:val="5A6675"/>
          <w:sz w:val="16"/>
          <w:szCs w:val="16"/>
        </w:rPr>
        <w:t xml:space="preserve">Trust row (badges):  </w:t>
      </w:r>
      <w:r>
        <w:rPr>
          <w:rFonts w:ascii="Calibri" w:cs="Calibri" w:eastAsia="Calibri" w:hAnsi="Calibri"/>
          <w:b/>
          <w:bCs/>
          <w:i w:val="false"/>
          <w:iCs w:val="false"/>
          <w:color w:val="24303F"/>
          <w:sz w:val="17"/>
          <w:szCs w:val="17"/>
        </w:rPr>
        <w:t xml:space="preserve">SOC 2 Type II · ISO 27001 · HIPAA · GDPR · ACMA · TCPA · AU Data Residency</w:t>
      </w:r>
    </w:p>
    <w:p>
      <w:pPr>
        <w:spacing w:after="30" w:before="120"/>
      </w:pPr>
      <w:r>
        <w:rPr>
          <w:rFonts w:ascii="Consolas" w:cs="Consolas" w:eastAsia="Consolas" w:hAnsi="Consolas"/>
          <w:b/>
          <w:bCs/>
          <w:color w:val="9A6B3F"/>
          <w:spacing w:val="12"/>
          <w:sz w:val="14"/>
          <w:szCs w:val="14"/>
        </w:rPr>
        <w:t xml:space="preserve">SECTION 5 · YOUR MARGIN  (KEEP THE CALCULATOR)</w:t>
      </w:r>
    </w:p>
    <w:p>
      <w:pPr>
        <w:spacing w:after="16" w:before="110"/>
      </w:pPr>
      <w:r>
        <w:rPr>
          <w:rFonts w:ascii="Calibri" w:cs="Calibri" w:eastAsia="Calibri" w:hAnsi="Calibri"/>
          <w:b/>
          <w:bCs/>
          <w:color w:val="16223C"/>
          <w:sz w:val="20"/>
          <w:szCs w:val="20"/>
        </w:rPr>
        <w:t xml:space="preserve">H2:  Your margin, your brand, your platform</w:t>
      </w:r>
    </w:p>
    <w:p>
      <w:pPr>
        <w:spacing w:after="110" w:line="278"/>
      </w:pPr>
      <w:r>
        <w:rPr>
          <w:rFonts w:ascii="Calibri" w:cs="Calibri" w:eastAsia="Calibri" w:hAnsi="Calibri"/>
          <w:b w:val="false"/>
          <w:bCs w:val="false"/>
          <w:i w:val="false"/>
          <w:iCs w:val="false"/>
          <w:color w:val="24303F"/>
          <w:sz w:val="20"/>
          <w:szCs w:val="20"/>
        </w:rPr>
        <w:t xml:space="preserve">Keep the interactive margin calculator. It is the strongest commercial proof on the page. Anchor it with one honest sentence and the reconciled worked example.</w:t>
      </w:r>
    </w:p>
    <w:p>
      <w:pPr>
        <w:spacing w:after="110" w:line="278"/>
      </w:pPr>
      <w:r>
        <w:rPr>
          <w:rFonts w:ascii="Calibri" w:cs="Calibri" w:eastAsia="Calibri" w:hAnsi="Calibri"/>
          <w:b w:val="false"/>
          <w:bCs w:val="false"/>
          <w:i w:val="false"/>
          <w:iCs w:val="false"/>
          <w:color w:val="24303F"/>
          <w:sz w:val="20"/>
          <w:szCs w:val="20"/>
        </w:rPr>
        <w:t xml:space="preserve">Set your own price and keep the gap. Usage is a flat $0.12 a minute and covers the platform, speech-to-text, the model and text-to-speech; telephony is separate, from $0.014 a minute on US Trillet numbers, with no telephony fee on web calls. Priced sensibly, agencies hold margins in the 70s. In the platform's own example, five clients on a $300 monthly retainer, at roughly two-minute calls, returns about a 74 per cent margin on the Agency plan.</w:t>
      </w:r>
    </w:p>
    <w:p>
      <w:pPr>
        <w:spacing w:after="110" w:line="278"/>
      </w:pPr>
      <w:r>
        <w:rPr>
          <w:rFonts w:ascii="Calibri" w:cs="Calibri" w:eastAsia="Calibri" w:hAnsi="Calibri"/>
          <w:b w:val="false"/>
          <w:bCs w:val="false"/>
          <w:i w:val="false"/>
          <w:iCs w:val="false"/>
          <w:color w:val="24303F"/>
          <w:sz w:val="20"/>
          <w:szCs w:val="20"/>
        </w:rPr>
        <w:t xml:space="preserve">Deeper working belongs on the money page, linked, not restated here: </w:t>
      </w:r>
      <w:r>
        <w:rPr>
          <w:rFonts w:ascii="Calibri" w:cs="Calibri" w:eastAsia="Calibri" w:hAnsi="Calibri"/>
          <w:color w:val="1B5E86"/>
          <w:sz w:val="20"/>
          <w:szCs w:val="20"/>
          <w:u w:val="single"/>
        </w:rPr>
        <w:t xml:space="preserve">white-label profit margins</w:t>
      </w:r>
      <w:r>
        <w:rPr>
          <w:rFonts w:ascii="Consolas" w:cs="Consolas" w:eastAsia="Consolas" w:hAnsi="Consolas"/>
          <w:color w:val="5A6675"/>
          <w:sz w:val="12"/>
          <w:szCs w:val="12"/>
        </w:rPr>
        <w:t xml:space="preserve"> [/blogs/white-label-ai-profit-margins]</w:t>
      </w:r>
      <w:r>
        <w:rPr>
          <w:rFonts w:ascii="Calibri" w:cs="Calibri" w:eastAsia="Calibri" w:hAnsi="Calibri"/>
          <w:b w:val="false"/>
          <w:bCs w:val="false"/>
          <w:i w:val="false"/>
          <w:iCs w:val="false"/>
          <w:color w:val="24303F"/>
          <w:sz w:val="20"/>
          <w:szCs w:val="20"/>
        </w:rPr>
        <w:t xml:space="preserve">.</w:t>
      </w:r>
    </w:p>
    <w:p>
      <w:pPr>
        <w:spacing w:after="30" w:before="120"/>
      </w:pPr>
      <w:r>
        <w:rPr>
          <w:rFonts w:ascii="Consolas" w:cs="Consolas" w:eastAsia="Consolas" w:hAnsi="Consolas"/>
          <w:b/>
          <w:bCs/>
          <w:color w:val="9A6B3F"/>
          <w:spacing w:val="12"/>
          <w:sz w:val="14"/>
          <w:szCs w:val="14"/>
        </w:rPr>
        <w:t xml:space="preserve">SECTION 6 · ONE PLATFORM, EVERY CLIENT VERTICAL  (KEEP)</w:t>
      </w:r>
    </w:p>
    <w:p>
      <w:pPr>
        <w:spacing w:after="110" w:line="278"/>
      </w:pPr>
      <w:r>
        <w:rPr>
          <w:rFonts w:ascii="Calibri" w:cs="Calibri" w:eastAsia="Calibri" w:hAnsi="Calibri"/>
          <w:b w:val="false"/>
          <w:bCs w:val="false"/>
          <w:i w:val="false"/>
          <w:iCs w:val="false"/>
          <w:color w:val="24303F"/>
          <w:sz w:val="18"/>
          <w:szCs w:val="18"/>
        </w:rPr>
        <w:t xml:space="preserve">Keep the vertical row and link each to its own page so the hub passes authority down. Healthcare, legal, financial services, home services, real estate, and local service businesses. Frame it as the range of clients you can serve, not a list of features.</w:t>
      </w:r>
    </w:p>
    <w:p>
      <w:pPr>
        <w:spacing w:after="30" w:before="120"/>
      </w:pPr>
      <w:r>
        <w:rPr>
          <w:rFonts w:ascii="Consolas" w:cs="Consolas" w:eastAsia="Consolas" w:hAnsi="Consolas"/>
          <w:b/>
          <w:bCs/>
          <w:color w:val="9A6B3F"/>
          <w:spacing w:val="12"/>
          <w:sz w:val="14"/>
          <w:szCs w:val="14"/>
        </w:rPr>
        <w:t xml:space="preserve">SECTION 7 · PRICING  (KEEP, RECONCILED)</w:t>
      </w:r>
    </w:p>
    <w:p>
      <w:pPr>
        <w:spacing w:after="16" w:before="110"/>
      </w:pPr>
      <w:r>
        <w:rPr>
          <w:rFonts w:ascii="Calibri" w:cs="Calibri" w:eastAsia="Calibri" w:hAnsi="Calibri"/>
          <w:b/>
          <w:bCs/>
          <w:color w:val="16223C"/>
          <w:sz w:val="20"/>
          <w:szCs w:val="20"/>
        </w:rPr>
        <w:t xml:space="preserve">H2:  Simple, transparent pricing</w:t>
      </w:r>
    </w:p>
    <w:p>
      <w:pPr>
        <w:spacing w:after="110" w:line="278"/>
      </w:pPr>
      <w:r>
        <w:rPr>
          <w:rFonts w:ascii="Calibri" w:cs="Calibri" w:eastAsia="Calibri" w:hAnsi="Calibri"/>
          <w:b w:val="false"/>
          <w:bCs w:val="false"/>
          <w:i w:val="false"/>
          <w:iCs w:val="false"/>
          <w:color w:val="24303F"/>
          <w:sz w:val="18"/>
          <w:szCs w:val="18"/>
        </w:rPr>
        <w:t xml:space="preserve">No per-seat charges. Usage is $0.12 a minute and includes the platform, STT, LLM and TTS. Telephony is separate: US Trillet telephony from $0.014 a minute, web calls no telephony fee.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1500"/>
        <w:gridCol w:w="3930"/>
        <w:gridCol w:w="3930"/>
      </w:tblGrid>
      <w:tr>
        <w:trPr>
          <w:tblHeader/>
        </w:trPr>
        <w:tc>
          <w:tcPr>
            <w:tcW w:type="dxa" w:w="15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Plan</w:t>
            </w:r>
          </w:p>
        </w:tc>
        <w:tc>
          <w:tcPr>
            <w:tcW w:type="dxa" w:w="393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Studio, $99/mo</w:t>
            </w:r>
          </w:p>
        </w:tc>
        <w:tc>
          <w:tcPr>
            <w:tcW w:type="dxa" w:w="393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Agency, $299/mo</w:t>
            </w:r>
          </w:p>
        </w:tc>
      </w:tr>
      <w:tr>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Branding</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white-label, custom branding</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Everything in Studio, plus:</w:t>
            </w:r>
          </w:p>
        </w:tc>
      </w:tr>
      <w:tr>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Workspaces</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Up to 3</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Unlimited</w:t>
            </w:r>
          </w:p>
        </w:tc>
      </w:tr>
      <w:tr>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Included minutes</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100 / month</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300 / month</w:t>
            </w:r>
          </w:p>
        </w:tc>
      </w:tr>
      <w:tr>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Free phone numbers</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3</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10</w:t>
            </w:r>
          </w:p>
        </w:tc>
      </w:tr>
      <w:tr>
        <w:tc>
          <w:tcPr>
            <w:tcW w:type="dxa" w:w="15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Setup</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Instant agent creation</w:t>
            </w:r>
          </w:p>
        </w:tc>
        <w:tc>
          <w:tcPr>
            <w:tcW w:type="dxa" w:w="393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Instant agent creation</w:t>
            </w:r>
          </w:p>
        </w:tc>
      </w:tr>
    </w:tbl>
    <w:p>
      <w:pPr>
        <w:spacing w:after="110" w:line="278"/>
      </w:pPr>
      <w:r>
        <w:rPr>
          <w:rFonts w:ascii="Calibri" w:cs="Calibri" w:eastAsia="Calibri" w:hAnsi="Calibri"/>
          <w:b w:val="false"/>
          <w:bCs w:val="false"/>
          <w:i w:val="false"/>
          <w:iCs w:val="false"/>
          <w:color w:val="5A6675"/>
          <w:sz w:val="17"/>
          <w:szCs w:val="17"/>
        </w:rPr>
        <w:t xml:space="preserve">28-day money-back guarantee, no questions asked. No contracts, cancel anytime.</w:t>
      </w:r>
    </w:p>
    <w:p>
      <w:pPr>
        <w:spacing w:after="30" w:before="120"/>
      </w:pPr>
      <w:r>
        <w:rPr>
          <w:rFonts w:ascii="Consolas" w:cs="Consolas" w:eastAsia="Consolas" w:hAnsi="Consolas"/>
          <w:b/>
          <w:bCs/>
          <w:color w:val="9A6B3F"/>
          <w:spacing w:val="12"/>
          <w:sz w:val="14"/>
          <w:szCs w:val="14"/>
        </w:rPr>
        <w:t xml:space="preserve">SECTION 8 · PROOF AND PARTNER SUPPORT  (KEEP, CONDENSE)</w:t>
      </w:r>
    </w:p>
    <w:p>
      <w:pPr>
        <w:spacing w:after="110" w:line="278"/>
      </w:pPr>
      <w:r>
        <w:rPr>
          <w:rFonts w:ascii="Calibri" w:cs="Calibri" w:eastAsia="Calibri" w:hAnsi="Calibri"/>
          <w:b w:val="false"/>
          <w:bCs w:val="false"/>
          <w:i w:val="false"/>
          <w:iCs w:val="false"/>
          <w:color w:val="24303F"/>
          <w:sz w:val="18"/>
          <w:szCs w:val="18"/>
        </w:rPr>
        <w:t xml:space="preserve">Keep the trust bar (1,200+ businesses) and the support block, but condense the support block to three lines so it does not compete with compliance for attention: playbooks and templates, coaching and a partner community, and co-delivery on larger deployments with Trillet as the compliance and infrastructure partner.</w:t>
      </w:r>
    </w:p>
    <w:p>
      <w:pPr>
        <w:spacing w:after="50" w:before="170"/>
      </w:pPr>
      <w:r>
        <w:rPr>
          <w:rFonts w:ascii="Georgia" w:cs="Georgia" w:eastAsia="Georgia" w:hAnsi="Georgia"/>
          <w:b/>
          <w:bCs/>
          <w:color w:val="16223C"/>
          <w:sz w:val="25"/>
          <w:szCs w:val="25"/>
        </w:rPr>
        <w:t xml:space="preserve">FAQ  (reconciled + head-term coverage)</w:t>
      </w:r>
    </w:p>
    <w:p>
      <w:pPr>
        <w:spacing w:after="110" w:line="278"/>
      </w:pPr>
      <w:r>
        <w:rPr>
          <w:rFonts w:ascii="Calibri" w:cs="Calibri" w:eastAsia="Calibri" w:hAnsi="Calibri"/>
          <w:b w:val="false"/>
          <w:bCs w:val="false"/>
          <w:i w:val="false"/>
          <w:iCs w:val="false"/>
          <w:color w:val="5A6675"/>
          <w:sz w:val="17"/>
          <w:szCs w:val="17"/>
        </w:rPr>
        <w:t xml:space="preserve">Keep the six live answers, which are strong, and add one at the top that owns the definition query. Question wording matches how people and engines phrase it.</w:t>
      </w:r>
    </w:p>
    <w:p>
      <w:pPr>
        <w:spacing w:after="16" w:before="110"/>
      </w:pPr>
      <w:r>
        <w:rPr>
          <w:rFonts w:ascii="Calibri" w:cs="Calibri" w:eastAsia="Calibri" w:hAnsi="Calibri"/>
          <w:b/>
          <w:bCs/>
          <w:color w:val="16223C"/>
          <w:sz w:val="20"/>
          <w:szCs w:val="20"/>
        </w:rPr>
        <w:t xml:space="preserve">What is white-label voice AI?</w:t>
      </w:r>
    </w:p>
    <w:p>
      <w:pPr>
        <w:spacing w:after="110" w:line="278"/>
      </w:pPr>
      <w:r>
        <w:rPr>
          <w:rFonts w:ascii="Calibri" w:cs="Calibri" w:eastAsia="Calibri" w:hAnsi="Calibri"/>
          <w:b w:val="false"/>
          <w:bCs w:val="false"/>
          <w:i w:val="false"/>
          <w:iCs w:val="false"/>
          <w:color w:val="24303F"/>
          <w:sz w:val="20"/>
          <w:szCs w:val="20"/>
        </w:rPr>
        <w:t xml:space="preserve">A voice agent platform you resell under your own brand. You pay a wholesale rate, put your name, domain and dashboard on it, set your own price, and own the client. The vendor runs the software and stays invisible. Trillet adds built-in compliance and a verifiable record of every call.</w:t>
      </w:r>
    </w:p>
    <w:p>
      <w:pPr>
        <w:spacing w:after="16" w:before="110"/>
      </w:pPr>
      <w:r>
        <w:rPr>
          <w:rFonts w:ascii="Calibri" w:cs="Calibri" w:eastAsia="Calibri" w:hAnsi="Calibri"/>
          <w:b/>
          <w:bCs/>
          <w:color w:val="16223C"/>
          <w:sz w:val="20"/>
          <w:szCs w:val="20"/>
        </w:rPr>
        <w:t xml:space="preserve">Can I really white-label the whole platform?</w:t>
      </w:r>
    </w:p>
    <w:p>
      <w:pPr>
        <w:spacing w:after="110" w:line="278"/>
      </w:pPr>
      <w:r>
        <w:rPr>
          <w:rFonts w:ascii="Calibri" w:cs="Calibri" w:eastAsia="Calibri" w:hAnsi="Calibri"/>
          <w:b w:val="false"/>
          <w:bCs w:val="false"/>
          <w:i w:val="false"/>
          <w:iCs w:val="false"/>
          <w:color w:val="24303F"/>
          <w:sz w:val="20"/>
          <w:szCs w:val="20"/>
        </w:rPr>
        <w:t xml:space="preserve">Yes. You run Trillet under your own domain and branding, with client-facing dashboards that look like your own product. The platform stays behind the scenes, so you sell and manage voice AI as your own offering.</w:t>
      </w:r>
    </w:p>
    <w:p>
      <w:pPr>
        <w:spacing w:after="16" w:before="110"/>
      </w:pPr>
      <w:r>
        <w:rPr>
          <w:rFonts w:ascii="Calibri" w:cs="Calibri" w:eastAsia="Calibri" w:hAnsi="Calibri"/>
          <w:b/>
          <w:bCs/>
          <w:color w:val="16223C"/>
          <w:sz w:val="20"/>
          <w:szCs w:val="20"/>
        </w:rPr>
        <w:t xml:space="preserve">Will my clients need to change their phone numbers?</w:t>
      </w:r>
    </w:p>
    <w:p>
      <w:pPr>
        <w:spacing w:after="110" w:line="278"/>
      </w:pPr>
      <w:r>
        <w:rPr>
          <w:rFonts w:ascii="Calibri" w:cs="Calibri" w:eastAsia="Calibri" w:hAnsi="Calibri"/>
          <w:b w:val="false"/>
          <w:bCs w:val="false"/>
          <w:i w:val="false"/>
          <w:iCs w:val="false"/>
          <w:color w:val="24303F"/>
          <w:sz w:val="20"/>
          <w:szCs w:val="20"/>
        </w:rPr>
        <w:t xml:space="preserve">No. Clients keep their existing numbers. Trillet uses carrier-level call forwarding rather than porting, so setup takes about 30 seconds and the experience stays seamless.</w:t>
      </w:r>
    </w:p>
    <w:p>
      <w:pPr>
        <w:spacing w:after="16" w:before="110"/>
      </w:pPr>
      <w:r>
        <w:rPr>
          <w:rFonts w:ascii="Calibri" w:cs="Calibri" w:eastAsia="Calibri" w:hAnsi="Calibri"/>
          <w:b/>
          <w:bCs/>
          <w:color w:val="16223C"/>
          <w:sz w:val="20"/>
          <w:szCs w:val="20"/>
        </w:rPr>
        <w:t xml:space="preserve">How does Trillet fit my clients' tech stacks?</w:t>
      </w:r>
    </w:p>
    <w:p>
      <w:pPr>
        <w:spacing w:after="110" w:line="278"/>
      </w:pPr>
      <w:r>
        <w:rPr>
          <w:rFonts w:ascii="Calibri" w:cs="Calibri" w:eastAsia="Calibri" w:hAnsi="Calibri"/>
          <w:b w:val="false"/>
          <w:bCs w:val="false"/>
          <w:i w:val="false"/>
          <w:iCs w:val="false"/>
          <w:color w:val="24303F"/>
          <w:sz w:val="20"/>
          <w:szCs w:val="20"/>
        </w:rPr>
        <w:t xml:space="preserve">Native integrations cover GoHighLevel, Google Calendar and Cal.com, with webhook and API paths for other tools. No custom development for the common cases.</w:t>
      </w:r>
    </w:p>
    <w:p>
      <w:pPr>
        <w:spacing w:after="16" w:before="110"/>
      </w:pPr>
      <w:r>
        <w:rPr>
          <w:rFonts w:ascii="Calibri" w:cs="Calibri" w:eastAsia="Calibri" w:hAnsi="Calibri"/>
          <w:b/>
          <w:bCs/>
          <w:color w:val="16223C"/>
          <w:sz w:val="20"/>
          <w:szCs w:val="20"/>
        </w:rPr>
        <w:t xml:space="preserve">How should I price this to clients?</w:t>
      </w:r>
    </w:p>
    <w:p>
      <w:pPr>
        <w:spacing w:after="110" w:line="278"/>
      </w:pPr>
      <w:r>
        <w:rPr>
          <w:rFonts w:ascii="Calibri" w:cs="Calibri" w:eastAsia="Calibri" w:hAnsi="Calibri"/>
          <w:b w:val="false"/>
          <w:bCs w:val="false"/>
          <w:i w:val="false"/>
          <w:iCs w:val="false"/>
          <w:color w:val="24303F"/>
          <w:sz w:val="20"/>
          <w:szCs w:val="20"/>
        </w:rPr>
        <w:t xml:space="preserve">Most partners treat it as a margin-bearing service, not a software resale. A common benchmark is a $300 monthly retainer plus a setup fee and a per-minute markup. At $0.12 a minute, a client using 300 minutes on a $300 retainer yields roughly $264 gross margin before markups.</w:t>
      </w:r>
    </w:p>
    <w:p>
      <w:pPr>
        <w:spacing w:after="16" w:before="110"/>
      </w:pPr>
      <w:r>
        <w:rPr>
          <w:rFonts w:ascii="Calibri" w:cs="Calibri" w:eastAsia="Calibri" w:hAnsi="Calibri"/>
          <w:b/>
          <w:bCs/>
          <w:color w:val="16223C"/>
          <w:sz w:val="20"/>
          <w:szCs w:val="20"/>
        </w:rPr>
        <w:t xml:space="preserve">Is it compliant enough for regulated clients?</w:t>
      </w:r>
    </w:p>
    <w:p>
      <w:pPr>
        <w:spacing w:after="110" w:line="278"/>
      </w:pPr>
      <w:r>
        <w:rPr>
          <w:rFonts w:ascii="Calibri" w:cs="Calibri" w:eastAsia="Calibri" w:hAnsi="Calibri"/>
          <w:b w:val="false"/>
          <w:bCs w:val="false"/>
          <w:i w:val="false"/>
          <w:iCs w:val="false"/>
          <w:color w:val="24303F"/>
          <w:sz w:val="20"/>
          <w:szCs w:val="20"/>
        </w:rPr>
        <w:t xml:space="preserve">Yes. SOC 2 Type II and ISO 27001, and operation under HIPAA, GDPR, ACMA and TCPA, with audit trails on every workspace and onshore data residency. On-premise and private cloud are available for enterprise.</w:t>
      </w:r>
    </w:p>
    <w:p>
      <w:pPr>
        <w:spacing w:after="16" w:before="110"/>
      </w:pPr>
      <w:r>
        <w:rPr>
          <w:rFonts w:ascii="Calibri" w:cs="Calibri" w:eastAsia="Calibri" w:hAnsi="Calibri"/>
          <w:b/>
          <w:bCs/>
          <w:color w:val="16223C"/>
          <w:sz w:val="20"/>
          <w:szCs w:val="20"/>
        </w:rPr>
        <w:t xml:space="preserve">Can the AI handle outbound calls?</w:t>
      </w:r>
    </w:p>
    <w:p>
      <w:pPr>
        <w:spacing w:after="110" w:line="278"/>
      </w:pPr>
      <w:r>
        <w:rPr>
          <w:rFonts w:ascii="Calibri" w:cs="Calibri" w:eastAsia="Calibri" w:hAnsi="Calibri"/>
          <w:b w:val="false"/>
          <w:bCs w:val="false"/>
          <w:i w:val="false"/>
          <w:iCs w:val="false"/>
          <w:color w:val="24303F"/>
          <w:sz w:val="20"/>
          <w:szCs w:val="20"/>
        </w:rPr>
        <w:t xml:space="preserve">Yes, within limits: inbound by default, lead callbacks, single outbound calls, and batch campaigns with your own numbers and compliance setup. It is not built for cold calling random lists.</w:t>
      </w:r>
    </w:p>
    <w:p>
      <w:pPr>
        <w:spacing w:after="110" w:line="278"/>
      </w:pPr>
      <w:r>
        <w:rPr>
          <w:rFonts w:ascii="Calibri" w:cs="Calibri" w:eastAsia="Calibri" w:hAnsi="Calibri"/>
          <w:b w:val="false"/>
          <w:bCs w:val="false"/>
          <w:i/>
          <w:iCs/>
          <w:color w:val="5A6675"/>
          <w:sz w:val="16"/>
          <w:szCs w:val="16"/>
        </w:rPr>
        <w:t xml:space="preserve">Last reviewed: September 2026.</w:t>
      </w:r>
    </w:p>
    <w:p>
      <w:pPr>
        <w:spacing w:after="30" w:before="120"/>
      </w:pPr>
      <w:r>
        <w:rPr>
          <w:rFonts w:ascii="Consolas" w:cs="Consolas" w:eastAsia="Consolas" w:hAnsi="Consolas"/>
          <w:b/>
          <w:bCs/>
          <w:color w:val="9A6B3F"/>
          <w:spacing w:val="12"/>
          <w:sz w:val="14"/>
          <w:szCs w:val="14"/>
        </w:rPr>
        <w:t xml:space="preserve">SECTION 9 · CLOSE</w:t>
      </w:r>
    </w:p>
    <w:p>
      <w:pPr>
        <w:spacing w:after="110" w:line="278"/>
      </w:pPr>
      <w:r>
        <w:rPr>
          <w:rFonts w:ascii="Calibri" w:cs="Calibri" w:eastAsia="Calibri" w:hAnsi="Calibri"/>
          <w:b/>
          <w:bCs/>
          <w:i w:val="false"/>
          <w:iCs w:val="false"/>
          <w:color w:val="9A6B3F"/>
          <w:sz w:val="16"/>
          <w:szCs w:val="16"/>
        </w:rPr>
        <w:t xml:space="preserve">H2:  </w:t>
      </w:r>
      <w:r>
        <w:rPr>
          <w:rFonts w:ascii="Calibri" w:cs="Calibri" w:eastAsia="Calibri" w:hAnsi="Calibri"/>
          <w:b/>
          <w:bCs/>
          <w:i w:val="false"/>
          <w:iCs w:val="false"/>
          <w:color w:val="16223C"/>
          <w:sz w:val="20"/>
          <w:szCs w:val="20"/>
        </w:rPr>
        <w:t xml:space="preserve">Ready to sell voice AI under your own brand?</w:t>
      </w:r>
    </w:p>
    <w:p>
      <w:pPr>
        <w:spacing w:after="110" w:line="278"/>
      </w:pPr>
      <w:r>
        <w:rPr>
          <w:rFonts w:ascii="Calibri" w:cs="Calibri" w:eastAsia="Calibri" w:hAnsi="Calibri"/>
          <w:b w:val="false"/>
          <w:bCs w:val="false"/>
          <w:i w:val="false"/>
          <w:iCs w:val="false"/>
          <w:color w:val="24303F"/>
          <w:sz w:val="20"/>
          <w:szCs w:val="20"/>
        </w:rPr>
        <w:t xml:space="preserve">Start on the platform today. Your branding, your pricing, your client relationships. If you want a formal reseller, referral or OEM arrangement, the </w:t>
      </w:r>
      <w:r>
        <w:rPr>
          <w:rFonts w:ascii="Calibri" w:cs="Calibri" w:eastAsia="Calibri" w:hAnsi="Calibri"/>
          <w:color w:val="1B5E86"/>
          <w:sz w:val="20"/>
          <w:szCs w:val="20"/>
          <w:u w:val="single"/>
        </w:rPr>
        <w:t xml:space="preserve">partner program</w:t>
      </w:r>
      <w:r>
        <w:rPr>
          <w:rFonts w:ascii="Consolas" w:cs="Consolas" w:eastAsia="Consolas" w:hAnsi="Consolas"/>
          <w:color w:val="5A6675"/>
          <w:sz w:val="12"/>
          <w:szCs w:val="12"/>
        </w:rPr>
        <w:t xml:space="preserve"> [/partners]</w:t>
      </w:r>
      <w:r>
        <w:rPr>
          <w:rFonts w:ascii="Calibri" w:cs="Calibri" w:eastAsia="Calibri" w:hAnsi="Calibri"/>
          <w:b w:val="false"/>
          <w:bCs w:val="false"/>
          <w:i w:val="false"/>
          <w:iCs w:val="false"/>
          <w:color w:val="24303F"/>
          <w:sz w:val="20"/>
          <w:szCs w:val="20"/>
        </w:rPr>
        <w:t xml:space="preserve"> sets the terms around your volume.</w:t>
      </w:r>
    </w:p>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Internal link map</w:t>
      </w:r>
    </w:p>
    <w:p>
      <w:pPr>
        <w:spacing w:after="110" w:line="278"/>
      </w:pPr>
      <w:r>
        <w:rPr>
          <w:rFonts w:ascii="Calibri" w:cs="Calibri" w:eastAsia="Calibri" w:hAnsi="Calibri"/>
          <w:b w:val="false"/>
          <w:bCs w:val="false"/>
          <w:i w:val="false"/>
          <w:iCs w:val="false"/>
          <w:color w:val="5A6675"/>
          <w:sz w:val="17"/>
          <w:szCs w:val="17"/>
        </w:rPr>
        <w:t xml:space="preserve">The hub earns its rank from the spokes pointing up to it and the authority it passes down. This is the map the rebuild should wire in.</w:t>
      </w:r>
    </w:p>
    <w:p>
      <w:pPr>
        <w:spacing w:after="16" w:before="110"/>
      </w:pPr>
      <w:r>
        <w:rPr>
          <w:rFonts w:ascii="Calibri" w:cs="Calibri" w:eastAsia="Calibri" w:hAnsi="Calibri"/>
          <w:b/>
          <w:bCs/>
          <w:color w:val="16223C"/>
          <w:sz w:val="20"/>
          <w:szCs w:val="20"/>
        </w:rPr>
        <w:t xml:space="preserve">Spokes linking UP to /whitelabel  (anchor → from page)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4680"/>
        <w:gridCol w:w="4680"/>
      </w:tblGrid>
      <w:tr>
        <w:trPr>
          <w:tblHeader/>
        </w:trPr>
        <w:tc>
          <w:tcPr>
            <w:tcW w:type="dxa" w:w="468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Anchor text</w:t>
            </w:r>
          </w:p>
        </w:tc>
        <w:tc>
          <w:tcPr>
            <w:tcW w:type="dxa" w:w="468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Links from</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 voice AI platform</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/blogs/white-label-voice-ai-platform-guide</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start a voice AI agency</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/blogs/start-a-voice-ai-agency</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 reseller programs</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/blogs/best-white-label-reseller-programs</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 partnerships</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/blogs/white-label-partnerships-guide</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 AI profit margins</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/blogs/white-label-ai-profit-margins</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 AI with built-in compliance</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/blogs/white-label-ai-with-built-in-compliance</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build vs buy voice AI</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/blogs/build-vs-buy-voice-ai</w:t>
            </w:r>
          </w:p>
        </w:tc>
      </w:tr>
    </w:tbl>
    <w:p>
      <w:pPr>
        <w:spacing w:after="16" w:before="110"/>
      </w:pPr>
      <w:r>
        <w:rPr>
          <w:rFonts w:ascii="Calibri" w:cs="Calibri" w:eastAsia="Calibri" w:hAnsi="Calibri"/>
          <w:b/>
          <w:bCs/>
          <w:color w:val="16223C"/>
          <w:sz w:val="20"/>
          <w:szCs w:val="20"/>
        </w:rPr>
        <w:t xml:space="preserve">Hub linking DOWN  (anchor → to page)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4680"/>
        <w:gridCol w:w="4680"/>
      </w:tblGrid>
      <w:tr>
        <w:trPr>
          <w:tblHeader/>
        </w:trPr>
        <w:tc>
          <w:tcPr>
            <w:tcW w:type="dxa" w:w="468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Anchor text</w:t>
            </w:r>
          </w:p>
        </w:tc>
        <w:tc>
          <w:tcPr>
            <w:tcW w:type="dxa" w:w="468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Links to</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 profit margins</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/blogs/white-label-ai-profit-margins</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partner program (reseller / referral / OEM)</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/partners</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healthcare voice AI</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(vertical page)</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legal voice AI</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(vertical page)</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financial services voice AI</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(vertical page)</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compare white-label voice AI</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/blogs/best-white-label-voice-ai</w:t>
            </w:r>
          </w:p>
        </w:tc>
      </w:tr>
      <w:tr>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feature list</w:t>
            </w:r>
          </w:p>
        </w:tc>
        <w:tc>
          <w:tcPr>
            <w:tcW w:type="dxa" w:w="46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(features / pricing page)</w:t>
            </w:r>
          </w:p>
        </w:tc>
      </w:tr>
    </w:tbl>
    <w:p>
      <w:pPr>
        <w:spacing w:after="110" w:line="278"/>
      </w:pPr>
      <w:r>
        <w:rPr>
          <w:rFonts w:ascii="Calibri" w:cs="Calibri" w:eastAsia="Calibri" w:hAnsi="Calibri"/>
          <w:b w:val="false"/>
          <w:bCs w:val="false"/>
          <w:i w:val="false"/>
          <w:iCs w:val="false"/>
          <w:color w:val="5A6675"/>
          <w:sz w:val="17"/>
          <w:szCs w:val="17"/>
        </w:rPr>
        <w:t xml:space="preserve">Rule of thumb: exact-match anchor once per spoke, varied thereafter. Every consolidating spoke in the redirect map should carry one link up to this hub before it is retired or merged.</w:t>
      </w:r>
    </w:p>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Structured data (JSON-LD)</w:t>
      </w:r>
    </w:p>
    <w:p>
      <w:pPr>
        <w:spacing w:after="110" w:line="278"/>
      </w:pPr>
      <w:r>
        <w:rPr>
          <w:rFonts w:ascii="Calibri" w:cs="Calibri" w:eastAsia="Calibri" w:hAnsi="Calibri"/>
          <w:b w:val="false"/>
          <w:bCs w:val="false"/>
          <w:i w:val="false"/>
          <w:iCs w:val="false"/>
          <w:color w:val="5A6675"/>
          <w:sz w:val="17"/>
          <w:szCs w:val="17"/>
        </w:rPr>
        <w:t xml:space="preserve">Ship four graphs: the org/product, the FAQ, the breadcrumb, and a Service node that names white-label voice AI as the offering. Keep dateModified current on every edit.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tcBorders>
              <w:top w:val="single" w:color="D9DEE8" w:sz="4"/>
              <w:left w:val="single" w:color="D9DEE8" w:sz="4"/>
              <w:bottom w:val="single" w:color="D9DEE8" w:sz="4"/>
              <w:right w:val="single" w:color="D9DEE8" w:sz="4"/>
            </w:tcBorders>
            <w:shd w:fill="F4F5F7" w:color="auto" w:val="clear"/>
            <w:tcMar>
              <w:top w:type="dxa" w:w="90"/>
              <w:left w:type="dxa" w:w="120"/>
              <w:bottom w:type="dxa" w:w="90"/>
              <w:right w:type="dxa" w:w="120"/>
            </w:tcMar>
          </w:tcPr>
          <w:p>
            <w:pPr>
              <w:spacing w:after="0" w:line="230"/>
            </w:pPr>
            <w:r>
              <w:rPr>
                <w:rFonts w:ascii="Consolas" w:cs="Consolas" w:eastAsia="Consolas" w:hAnsi="Consolas"/>
                <w:color w:val="24303F"/>
                <w:sz w:val="13"/>
                <w:szCs w:val="13"/>
              </w:rPr>
              <w:t xml:space="preserve">&lt;script type="application/ld+json"&gt;</w:t>
            </w:r>
          </w:p>
          <w:p>
            <w:pPr>
              <w:spacing w:after="0" w:line="230"/>
            </w:pPr>
            <w:r>
              <w:rPr>
                <w:rFonts w:ascii="Consolas" w:cs="Consolas" w:eastAsia="Consolas" w:hAnsi="Consolas"/>
                <w:color w:val="24303F"/>
                <w:sz w:val="13"/>
                <w:szCs w:val="13"/>
              </w:rPr>
              <w:t xml:space="preserve">{ "@context":"https://schema.org", "@graph":[</w:t>
            </w:r>
          </w:p>
          <w:p>
            <w:pPr>
              <w:spacing w:after="0" w:line="230"/>
            </w:pPr>
            <w:r>
              <w:rPr>
                <w:rFonts w:ascii="Consolas" w:cs="Consolas" w:eastAsia="Consolas" w:hAnsi="Consolas"/>
                <w:color w:val="24303F"/>
                <w:sz w:val="13"/>
                <w:szCs w:val="13"/>
              </w:rPr>
              <w:t xml:space="preserve">  { "@type":"Service",</w:t>
            </w:r>
          </w:p>
          <w:p>
            <w:pPr>
              <w:spacing w:after="0" w:line="230"/>
            </w:pPr>
            <w:r>
              <w:rPr>
                <w:rFonts w:ascii="Consolas" w:cs="Consolas" w:eastAsia="Consolas" w:hAnsi="Consolas"/>
                <w:color w:val="24303F"/>
                <w:sz w:val="13"/>
                <w:szCs w:val="13"/>
              </w:rPr>
              <w:t xml:space="preserve">    "name":"White-Label Voice AI Platform",</w:t>
            </w:r>
          </w:p>
          <w:p>
            <w:pPr>
              <w:spacing w:after="0" w:line="230"/>
            </w:pPr>
            <w:r>
              <w:rPr>
                <w:rFonts w:ascii="Consolas" w:cs="Consolas" w:eastAsia="Consolas" w:hAnsi="Consolas"/>
                <w:color w:val="24303F"/>
                <w:sz w:val="13"/>
                <w:szCs w:val="13"/>
              </w:rPr>
              <w:t xml:space="preserve">    "serviceType":"White-label voice AI for agencies",</w:t>
            </w:r>
          </w:p>
          <w:p>
            <w:pPr>
              <w:spacing w:after="0" w:line="230"/>
            </w:pPr>
            <w:r>
              <w:rPr>
                <w:rFonts w:ascii="Consolas" w:cs="Consolas" w:eastAsia="Consolas" w:hAnsi="Consolas"/>
                <w:color w:val="24303F"/>
                <w:sz w:val="13"/>
                <w:szCs w:val="13"/>
              </w:rPr>
              <w:t xml:space="preserve">    "provider":{"@id":"https://trillet.ai/#org"},</w:t>
            </w:r>
          </w:p>
          <w:p>
            <w:pPr>
              <w:spacing w:after="0" w:line="230"/>
            </w:pPr>
            <w:r>
              <w:rPr>
                <w:rFonts w:ascii="Consolas" w:cs="Consolas" w:eastAsia="Consolas" w:hAnsi="Consolas"/>
                <w:color w:val="24303F"/>
                <w:sz w:val="13"/>
                <w:szCs w:val="13"/>
              </w:rPr>
              <w:t xml:space="preserve">    "areaServed":["AU","US","GB"],</w:t>
            </w:r>
          </w:p>
          <w:p>
            <w:pPr>
              <w:spacing w:after="0" w:line="230"/>
            </w:pPr>
            <w:r>
              <w:rPr>
                <w:rFonts w:ascii="Consolas" w:cs="Consolas" w:eastAsia="Consolas" w:hAnsi="Consolas"/>
                <w:color w:val="24303F"/>
                <w:sz w:val="13"/>
                <w:szCs w:val="13"/>
              </w:rPr>
              <w:t xml:space="preserve">    "url":"https://trillet.ai/whitelabel",</w:t>
            </w:r>
          </w:p>
          <w:p>
            <w:pPr>
              <w:spacing w:after="0" w:line="230"/>
            </w:pPr>
            <w:r>
              <w:rPr>
                <w:rFonts w:ascii="Consolas" w:cs="Consolas" w:eastAsia="Consolas" w:hAnsi="Consolas"/>
                <w:color w:val="24303F"/>
                <w:sz w:val="13"/>
                <w:szCs w:val="13"/>
              </w:rPr>
              <w:t xml:space="preserve">    "offers":[</w:t>
            </w:r>
          </w:p>
          <w:p>
            <w:pPr>
              <w:spacing w:after="0" w:line="230"/>
            </w:pPr>
            <w:r>
              <w:rPr>
                <w:rFonts w:ascii="Consolas" w:cs="Consolas" w:eastAsia="Consolas" w:hAnsi="Consolas"/>
                <w:color w:val="24303F"/>
                <w:sz w:val="13"/>
                <w:szCs w:val="13"/>
              </w:rPr>
              <w:t xml:space="preserve">      {"@type":"Offer","name":"Studio","price":"99","priceCurrency":"USD",</w:t>
            </w:r>
          </w:p>
          <w:p>
            <w:pPr>
              <w:spacing w:after="0" w:line="230"/>
            </w:pPr>
            <w:r>
              <w:rPr>
                <w:rFonts w:ascii="Consolas" w:cs="Consolas" w:eastAsia="Consolas" w:hAnsi="Consolas"/>
                <w:color w:val="24303F"/>
                <w:sz w:val="13"/>
                <w:szCs w:val="13"/>
              </w:rPr>
              <w:t xml:space="preserve">       "priceSpecification":{"@type":"UnitPriceSpecification","billingIncrement":1,"unitCode":"MON"}},</w:t>
            </w:r>
          </w:p>
          <w:p>
            <w:pPr>
              <w:spacing w:after="0" w:line="230"/>
            </w:pPr>
            <w:r>
              <w:rPr>
                <w:rFonts w:ascii="Consolas" w:cs="Consolas" w:eastAsia="Consolas" w:hAnsi="Consolas"/>
                <w:color w:val="24303F"/>
                <w:sz w:val="13"/>
                <w:szCs w:val="13"/>
              </w:rPr>
              <w:t xml:space="preserve">      {"@type":"Offer","name":"Agency","price":"299","priceCurrency":"USD",</w:t>
            </w:r>
          </w:p>
          <w:p>
            <w:pPr>
              <w:spacing w:after="0" w:line="230"/>
            </w:pPr>
            <w:r>
              <w:rPr>
                <w:rFonts w:ascii="Consolas" w:cs="Consolas" w:eastAsia="Consolas" w:hAnsi="Consolas"/>
                <w:color w:val="24303F"/>
                <w:sz w:val="13"/>
                <w:szCs w:val="13"/>
              </w:rPr>
              <w:t xml:space="preserve">       "priceSpecification":{"@type":"UnitPriceSpecification","billingIncrement":1,"unitCode":"MON"}} ] },</w:t>
            </w:r>
          </w:p>
          <w:p>
            <w:pPr>
              <w:spacing w:after="0" w:line="230"/>
            </w:pPr>
            <w:r>
              <w:rPr>
                <w:rFonts w:ascii="Consolas" w:cs="Consolas" w:eastAsia="Consolas" w:hAnsi="Consolas"/>
                <w:color w:val="24303F"/>
                <w:sz w:val="13"/>
                <w:szCs w:val="13"/>
              </w:rPr>
              <w:t xml:space="preserve">  { "@type":"FAQPage","mainEntity":[ /* 7 Q&amp;As, text matching page verbatim */ ] },</w:t>
            </w:r>
          </w:p>
          <w:p>
            <w:pPr>
              <w:spacing w:after="0" w:line="230"/>
            </w:pPr>
            <w:r>
              <w:rPr>
                <w:rFonts w:ascii="Consolas" w:cs="Consolas" w:eastAsia="Consolas" w:hAnsi="Consolas"/>
                <w:color w:val="24303F"/>
                <w:sz w:val="13"/>
                <w:szCs w:val="13"/>
              </w:rPr>
              <w:t xml:space="preserve">  { "@type":"BreadcrumbList","itemListElement":[</w:t>
            </w:r>
          </w:p>
          <w:p>
            <w:pPr>
              <w:spacing w:after="0" w:line="230"/>
            </w:pPr>
            <w:r>
              <w:rPr>
                <w:rFonts w:ascii="Consolas" w:cs="Consolas" w:eastAsia="Consolas" w:hAnsi="Consolas"/>
                <w:color w:val="24303F"/>
                <w:sz w:val="13"/>
                <w:szCs w:val="13"/>
              </w:rPr>
              <w:t xml:space="preserve">    {"@type":"ListItem","position":1,"name":"Home","item":"https://trillet.ai/"},</w:t>
            </w:r>
          </w:p>
          <w:p>
            <w:pPr>
              <w:spacing w:after="0" w:line="230"/>
            </w:pPr>
            <w:r>
              <w:rPr>
                <w:rFonts w:ascii="Consolas" w:cs="Consolas" w:eastAsia="Consolas" w:hAnsi="Consolas"/>
                <w:color w:val="24303F"/>
                <w:sz w:val="13"/>
                <w:szCs w:val="13"/>
              </w:rPr>
              <w:t xml:space="preserve">    {"@type":"ListItem","position":2,"name":"White-Label Voice AI"}]}</w:t>
            </w:r>
          </w:p>
          <w:p>
            <w:pPr>
              <w:spacing w:after="0" w:line="230"/>
            </w:pPr>
            <w:r>
              <w:rPr>
                <w:rFonts w:ascii="Consolas" w:cs="Consolas" w:eastAsia="Consolas" w:hAnsi="Consolas"/>
                <w:color w:val="24303F"/>
                <w:sz w:val="13"/>
                <w:szCs w:val="13"/>
              </w:rPr>
              <w:t xml:space="preserve">]}</w:t>
            </w:r>
          </w:p>
          <w:p>
            <w:pPr>
              <w:spacing w:after="0" w:line="230"/>
            </w:pPr>
            <w:r>
              <w:rPr>
                <w:rFonts w:ascii="Consolas" w:cs="Consolas" w:eastAsia="Consolas" w:hAnsi="Consolas"/>
                <w:color w:val="24303F"/>
                <w:sz w:val="13"/>
                <w:szCs w:val="13"/>
              </w:rPr>
              <w:t xml:space="preserve">&lt;/script&gt;</w:t>
            </w:r>
          </w:p>
        </w:tc>
      </w:tr>
    </w:tbl>
    <w:p>
      <w:pPr>
        <w:spacing w:after="110" w:line="278"/>
      </w:pPr>
      <w:r>
        <w:rPr>
          <w:rFonts w:ascii="Calibri" w:cs="Calibri" w:eastAsia="Calibri" w:hAnsi="Calibri"/>
          <w:b w:val="false"/>
          <w:bCs w:val="false"/>
          <w:i w:val="false"/>
          <w:iCs w:val="false"/>
          <w:color w:val="5A6675"/>
          <w:sz w:val="17"/>
          <w:szCs w:val="17"/>
        </w:rPr>
        <w:t xml:space="preserve">The Service node is the one the live page is missing. It tells an engine the page is an offering called white-label voice AI, priced, from a named provider, which is exactly the entity the head term describes.</w:t>
      </w:r>
    </w:p>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What changed from the live page, in one list</w:t>
      </w:r>
    </w:p>
    <w:p>
      <w:pPr>
        <w:pStyle w:val="ListParagraph"/>
        <w:numPr>
          <w:ilvl w:val="0"/>
          <w:numId w:val="1"/>
        </w:numPr>
        <w:spacing w:after="50" w:line="272"/>
      </w:pPr>
      <w:r>
        <w:rPr>
          <w:rFonts w:ascii="Calibri" w:cs="Calibri" w:eastAsia="Calibri" w:hAnsi="Calibri"/>
          <w:b w:val="false"/>
          <w:bCs w:val="false"/>
          <w:i w:val="false"/>
          <w:iCs w:val="false"/>
          <w:color w:val="24303F"/>
          <w:sz w:val="20"/>
          <w:szCs w:val="20"/>
        </w:rPr>
        <w:t xml:space="preserve">H1 now carries the head term “white-label voice AI” instead of implying it.</w:t>
      </w:r>
    </w:p>
    <w:p>
      <w:pPr>
        <w:pStyle w:val="ListParagraph"/>
        <w:numPr>
          <w:ilvl w:val="0"/>
          <w:numId w:val="1"/>
        </w:numPr>
        <w:spacing w:after="50" w:line="272"/>
      </w:pPr>
      <w:r>
        <w:rPr>
          <w:rFonts w:ascii="Calibri" w:cs="Calibri" w:eastAsia="Calibri" w:hAnsi="Calibri"/>
          <w:b w:val="false"/>
          <w:bCs w:val="false"/>
          <w:i w:val="false"/>
          <w:iCs w:val="false"/>
          <w:color w:val="24303F"/>
          <w:sz w:val="20"/>
          <w:szCs w:val="20"/>
        </w:rPr>
        <w:t xml:space="preserve">New answer block under the hero defines the term for readers and AI engines, with Trillet named.</w:t>
      </w:r>
    </w:p>
    <w:p>
      <w:pPr>
        <w:pStyle w:val="ListParagraph"/>
        <w:numPr>
          <w:ilvl w:val="0"/>
          <w:numId w:val="1"/>
        </w:numPr>
        <w:spacing w:after="50" w:line="272"/>
      </w:pPr>
      <w:r>
        <w:rPr>
          <w:rFonts w:ascii="Calibri" w:cs="Calibri" w:eastAsia="Calibri" w:hAnsi="Calibri"/>
          <w:b w:val="false"/>
          <w:bCs w:val="false"/>
          <w:i w:val="false"/>
          <w:iCs w:val="false"/>
          <w:color w:val="24303F"/>
          <w:sz w:val="20"/>
          <w:szCs w:val="20"/>
        </w:rPr>
        <w:t xml:space="preserve">Compliance moved up from the foot to above pricing, framed as the wedge, not fine print.</w:t>
      </w:r>
    </w:p>
    <w:p>
      <w:pPr>
        <w:pStyle w:val="ListParagraph"/>
        <w:numPr>
          <w:ilvl w:val="0"/>
          <w:numId w:val="1"/>
        </w:numPr>
        <w:spacing w:after="50" w:line="272"/>
      </w:pPr>
      <w:r>
        <w:rPr>
          <w:rFonts w:ascii="Calibri" w:cs="Calibri" w:eastAsia="Calibri" w:hAnsi="Calibri"/>
          <w:b w:val="false"/>
          <w:bCs w:val="false"/>
          <w:i w:val="false"/>
          <w:iCs w:val="false"/>
          <w:color w:val="24303F"/>
          <w:sz w:val="20"/>
          <w:szCs w:val="20"/>
        </w:rPr>
        <w:t xml:space="preserve">Meta description rewritten from 186 to 152 characters, head term first, compliance last.</w:t>
      </w:r>
    </w:p>
    <w:p>
      <w:pPr>
        <w:pStyle w:val="ListParagraph"/>
        <w:numPr>
          <w:ilvl w:val="0"/>
          <w:numId w:val="1"/>
        </w:numPr>
        <w:spacing w:after="50" w:line="272"/>
      </w:pPr>
      <w:r>
        <w:rPr>
          <w:rFonts w:ascii="Calibri" w:cs="Calibri" w:eastAsia="Calibri" w:hAnsi="Calibri"/>
          <w:b w:val="false"/>
          <w:bCs w:val="false"/>
          <w:i w:val="false"/>
          <w:iCs w:val="false"/>
          <w:color w:val="24303F"/>
          <w:sz w:val="20"/>
          <w:szCs w:val="20"/>
        </w:rPr>
        <w:t xml:space="preserve">Question-format FAQ gains a definition question at the top; existing answers kept and reconciled.</w:t>
      </w:r>
    </w:p>
    <w:p>
      <w:pPr>
        <w:pStyle w:val="ListParagraph"/>
        <w:numPr>
          <w:ilvl w:val="0"/>
          <w:numId w:val="1"/>
        </w:numPr>
        <w:spacing w:after="50" w:line="272"/>
      </w:pPr>
      <w:r>
        <w:rPr>
          <w:rFonts w:ascii="Calibri" w:cs="Calibri" w:eastAsia="Calibri" w:hAnsi="Calibri"/>
          <w:b w:val="false"/>
          <w:bCs w:val="false"/>
          <w:i w:val="false"/>
          <w:iCs w:val="false"/>
          <w:color w:val="24303F"/>
          <w:sz w:val="20"/>
          <w:szCs w:val="20"/>
        </w:rPr>
        <w:t xml:space="preserve">Service JSON-LD added so the page reads as a named, priced offering.</w:t>
      </w:r>
    </w:p>
    <w:p>
      <w:pPr>
        <w:pStyle w:val="ListParagraph"/>
        <w:numPr>
          <w:ilvl w:val="0"/>
          <w:numId w:val="1"/>
        </w:numPr>
        <w:spacing w:after="50" w:line="272"/>
      </w:pPr>
      <w:r>
        <w:rPr>
          <w:rFonts w:ascii="Calibri" w:cs="Calibri" w:eastAsia="Calibri" w:hAnsi="Calibri"/>
          <w:b w:val="false"/>
          <w:bCs w:val="false"/>
          <w:i w:val="false"/>
          <w:iCs w:val="false"/>
          <w:color w:val="24303F"/>
          <w:sz w:val="20"/>
          <w:szCs w:val="20"/>
        </w:rPr>
        <w:t xml:space="preserve">Internal-link map wires every consolidating spoke up to the hub and the hub down to money and vertical pages.</w:t>
      </w:r>
    </w:p>
    <w:p>
      <w:pPr>
        <w:pStyle w:val="ListParagraph"/>
        <w:numPr>
          <w:ilvl w:val="0"/>
          <w:numId w:val="1"/>
        </w:numPr>
        <w:spacing w:after="50" w:line="272"/>
      </w:pPr>
      <w:r>
        <w:rPr>
          <w:rFonts w:ascii="Calibri" w:cs="Calibri" w:eastAsia="Calibri" w:hAnsi="Calibri"/>
          <w:b w:val="false"/>
          <w:bCs w:val="false"/>
          <w:i w:val="false"/>
          <w:iCs w:val="false"/>
          <w:color w:val="24303F"/>
          <w:sz w:val="20"/>
          <w:szCs w:val="20"/>
        </w:rPr>
        <w:t xml:space="preserve">Everything else on the live page kept. Pricing, margin calculator, verticals, proof and support are strong; they stay.</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2026-09-19T13:54:24.961Z</dcterms:created>
  <dcterms:modified xsi:type="dcterms:W3CDTF">2026-09-19T13:54:24.961Z</dcterms:modified>
</cp:coreProperties>
</file>

<file path=docProps/custom.xml><?xml version="1.0" encoding="utf-8"?>
<Properties xmlns="http://schemas.openxmlformats.org/officeDocument/2006/custom-properties" xmlns:vt="http://schemas.openxmlformats.org/officeDocument/2006/docPropsVTypes"/>
</file>