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0C8577"/>
          <w:sz w:val="26"/>
          <w:szCs w:val="26"/>
        </w:rPr>
        <w:t xml:space="preserve">TRILLET</w:t>
      </w:r>
      <w:r>
        <w:rPr>
          <w:color w:val="52646A"/>
          <w:sz w:val="22"/>
          <w:szCs w:val="22"/>
        </w:rPr>
        <w:t xml:space="preserve">  ·  Off-Page SEO</w:t>
      </w:r>
    </w:p>
    <w:p>
      <w:pPr>
        <w:pStyle w:val="Title"/>
        <w:spacing w:after="60"/>
      </w:pPr>
      <w:r>
        <w:rPr>
          <w:color w:val="0E1B22"/>
        </w:rPr>
        <w:t xml:space="preserve">Directory &amp; Marketplace Submission Kit</w:t>
      </w:r>
    </w:p>
    <w:p>
      <w:pPr>
        <w:spacing w:after="120" w:line="276"/>
      </w:pPr>
      <w:r>
        <w:rPr>
          <w:color w:val="52646A"/>
        </w:rPr>
        <w:t xml:space="preserve">One canonical set of company details, ready-to-paste descriptions at the character limits directories impose, a prioritised target list, and a submission tracker. Use it to list Trillet consistently across review sites, AI-tool directories, startup databases, and app marketplaces.</w:t>
      </w:r>
    </w:p>
    <w:p>
      <w:pPr>
        <w:spacing w:after="120" w:line="276"/>
      </w:pPr>
      <w:r>
        <w:rPr>
          <w:b/>
          <w:bCs/>
        </w:rPr>
        <w:t xml:space="preserve">Prepared for: </w:t>
      </w:r>
      <w:r>
        <w:t xml:space="preserve">Trillet marketing / growth  ·  </w:t>
      </w:r>
      <w:r>
        <w:rPr>
          <w:b/>
          <w:bCs/>
        </w:rPr>
        <w:t xml:space="preserve">Owner email: </w:t>
      </w:r>
      <w:r>
        <w:t xml:space="preserve">agrawalnisha.096@gmail.com</w:t>
      </w:r>
    </w:p>
    <w:p>
      <w:pPr>
        <w:pBdr>
          <w:left w:val="single" w:color="0C8577" w:sz="18" w:space="8"/>
        </w:pBdr>
        <w:shd w:fill="F2F5F5" w:color="auto" w:val="clear"/>
        <w:spacing w:after="140" w:before="60" w:line="264"/>
      </w:pPr>
      <w:r>
        <w:rPr>
          <w:b/>
          <w:bCs/>
          <w:color w:val="0C8577"/>
        </w:rPr>
        <w:t xml:space="preserve">WHY THIS MATTERS  </w:t>
      </w:r>
      <w:r>
        <w:t xml:space="preserve">The earlier SEO audit found little or no presence on G2, Capterra, TrustRadius, Product Hunt, or Crunchbase, and thin third-party citations overall. Consistent directory and marketplace listings build backlinks, trust signals, and the third-party sources AI answer engines cite. Consistency of the details below (identical name, address, and descriptions everywhere) is what makes them count.</w:t>
      </w:r>
    </w:p>
    <w:p>
      <w:pPr>
        <w:pBdr>
          <w:left w:val="single" w:color="0C8577" w:sz="18" w:space="8"/>
        </w:pBdr>
        <w:shd w:fill="D6ECE7" w:color="auto" w:val="clear"/>
        <w:spacing w:after="140" w:before="60" w:line="264"/>
      </w:pPr>
      <w:r>
        <w:rPr>
          <w:b/>
          <w:bCs/>
          <w:color w:val="0C8577"/>
        </w:rPr>
        <w:t xml:space="preserve">LEGEND  </w:t>
      </w:r>
      <w:r>
        <w:t xml:space="preserve">CONFIRM = a detail Trillet must supply or verify before submitting.  ASSET = a file to attach.  P1/P2/P3 = suggested submission priority.</w:t>
      </w:r>
    </w:p>
    <w:p>
      <w:pPr>
        <w:pStyle w:val="Heading1"/>
        <w:spacing w:after="140" w:before="320"/>
      </w:pPr>
      <w:r>
        <w:rPr>
          <w:color w:val="0E1B22"/>
        </w:rPr>
        <w:t xml:space="preserve">1 · Canonical company profile (single source of truth)</w:t>
      </w:r>
    </w:p>
    <w:p>
      <w:pPr>
        <w:spacing w:after="120" w:line="276"/>
      </w:pPr>
      <w:r>
        <w:t xml:space="preserve">Use these exact values on every listing. Directory SEO rewards consistency: the same legal name, address, and URL across sites is read as one trusted entity. Copy from here, do not re-type.</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600"/>
        <w:gridCol w:w="6600"/>
      </w:tblGrid>
      <w:tr>
        <w:trPr>
          <w:tblHeader/>
        </w:trPr>
        <w:tc>
          <w:tcPr>
            <w:tcW w:type="dxa" w:w="2600"/>
            <w:shd w:fill="0E1B22" w:color="auto" w:val="clear"/>
            <w:tcMar>
              <w:top w:type="dxa" w:w="60"/>
              <w:left w:type="dxa" w:w="100"/>
              <w:bottom w:type="dxa" w:w="60"/>
              <w:right w:type="dxa" w:w="100"/>
            </w:tcMar>
          </w:tcPr>
          <w:p>
            <w:r>
              <w:rPr>
                <w:b/>
                <w:bCs/>
                <w:color w:val="FFFFFF"/>
                <w:sz w:val="17"/>
                <w:szCs w:val="17"/>
              </w:rPr>
              <w:t xml:space="preserve">Field</w:t>
            </w:r>
          </w:p>
        </w:tc>
        <w:tc>
          <w:tcPr>
            <w:tcW w:type="dxa" w:w="6600"/>
            <w:shd w:fill="0E1B22" w:color="auto" w:val="clear"/>
            <w:tcMar>
              <w:top w:type="dxa" w:w="60"/>
              <w:left w:type="dxa" w:w="100"/>
              <w:bottom w:type="dxa" w:w="60"/>
              <w:right w:type="dxa" w:w="100"/>
            </w:tcMar>
          </w:tcPr>
          <w:p>
            <w:r>
              <w:rPr>
                <w:b/>
                <w:bCs/>
                <w:color w:val="FFFFFF"/>
                <w:sz w:val="17"/>
                <w:szCs w:val="17"/>
              </w:rPr>
              <w:t xml:space="preserve">Value</w:t>
            </w:r>
          </w:p>
        </w:tc>
      </w:tr>
      <w:tr>
        <w:tc>
          <w:tcPr>
            <w:tcW w:type="dxa" w:w="2600"/>
            <w:tcMar>
              <w:top w:type="dxa" w:w="50"/>
              <w:left w:type="dxa" w:w="100"/>
              <w:bottom w:type="dxa" w:w="50"/>
              <w:right w:type="dxa" w:w="100"/>
            </w:tcMar>
          </w:tcPr>
          <w:p>
            <w:pPr>
              <w:spacing w:line="250"/>
            </w:pPr>
            <w:r>
              <w:rPr>
                <w:sz w:val="18"/>
                <w:szCs w:val="18"/>
              </w:rPr>
              <w:t xml:space="preserve">Brand name</w:t>
            </w:r>
          </w:p>
        </w:tc>
        <w:tc>
          <w:tcPr>
            <w:tcW w:type="dxa" w:w="6600"/>
            <w:tcMar>
              <w:top w:type="dxa" w:w="50"/>
              <w:left w:type="dxa" w:w="100"/>
              <w:bottom w:type="dxa" w:w="50"/>
              <w:right w:type="dxa" w:w="100"/>
            </w:tcMar>
          </w:tcPr>
          <w:p>
            <w:pPr>
              <w:spacing w:line="250"/>
            </w:pPr>
            <w:r>
              <w:rPr>
                <w:sz w:val="18"/>
                <w:szCs w:val="18"/>
              </w:rPr>
              <w:t xml:space="preserve">Trillet</w:t>
            </w:r>
          </w:p>
        </w:tc>
      </w:tr>
      <w:tr>
        <w:tc>
          <w:tcPr>
            <w:tcW w:type="dxa" w:w="2600"/>
            <w:tcMar>
              <w:top w:type="dxa" w:w="50"/>
              <w:left w:type="dxa" w:w="100"/>
              <w:bottom w:type="dxa" w:w="50"/>
              <w:right w:type="dxa" w:w="100"/>
            </w:tcMar>
          </w:tcPr>
          <w:p>
            <w:pPr>
              <w:spacing w:line="250"/>
            </w:pPr>
            <w:r>
              <w:rPr>
                <w:sz w:val="18"/>
                <w:szCs w:val="18"/>
              </w:rPr>
              <w:t xml:space="preserve">Also known as</w:t>
            </w:r>
          </w:p>
        </w:tc>
        <w:tc>
          <w:tcPr>
            <w:tcW w:type="dxa" w:w="6600"/>
            <w:tcMar>
              <w:top w:type="dxa" w:w="50"/>
              <w:left w:type="dxa" w:w="100"/>
              <w:bottom w:type="dxa" w:w="50"/>
              <w:right w:type="dxa" w:w="100"/>
            </w:tcMar>
          </w:tcPr>
          <w:p>
            <w:pPr>
              <w:spacing w:line="250"/>
            </w:pPr>
            <w:r>
              <w:rPr>
                <w:sz w:val="18"/>
                <w:szCs w:val="18"/>
              </w:rPr>
              <w:t xml:space="preserve">Trillet AI</w:t>
            </w:r>
          </w:p>
        </w:tc>
      </w:tr>
      <w:tr>
        <w:tc>
          <w:tcPr>
            <w:tcW w:type="dxa" w:w="2600"/>
            <w:tcMar>
              <w:top w:type="dxa" w:w="50"/>
              <w:left w:type="dxa" w:w="100"/>
              <w:bottom w:type="dxa" w:w="50"/>
              <w:right w:type="dxa" w:w="100"/>
            </w:tcMar>
          </w:tcPr>
          <w:p>
            <w:pPr>
              <w:spacing w:line="250"/>
            </w:pPr>
            <w:r>
              <w:rPr>
                <w:sz w:val="18"/>
                <w:szCs w:val="18"/>
              </w:rPr>
              <w:t xml:space="preserve">Website (canonical)</w:t>
            </w:r>
          </w:p>
        </w:tc>
        <w:tc>
          <w:tcPr>
            <w:tcW w:type="dxa" w:w="6600"/>
            <w:tcMar>
              <w:top w:type="dxa" w:w="50"/>
              <w:left w:type="dxa" w:w="100"/>
              <w:bottom w:type="dxa" w:w="50"/>
              <w:right w:type="dxa" w:w="100"/>
            </w:tcMar>
          </w:tcPr>
          <w:p>
            <w:pPr>
              <w:spacing w:line="250"/>
            </w:pPr>
            <w:r>
              <w:rPr>
                <w:sz w:val="18"/>
                <w:szCs w:val="18"/>
              </w:rPr>
              <w:t xml:space="preserve">https://www.trillet.ai</w:t>
            </w:r>
          </w:p>
        </w:tc>
      </w:tr>
      <w:tr>
        <w:tc>
          <w:tcPr>
            <w:tcW w:type="dxa" w:w="2600"/>
            <w:tcMar>
              <w:top w:type="dxa" w:w="50"/>
              <w:left w:type="dxa" w:w="100"/>
              <w:bottom w:type="dxa" w:w="50"/>
              <w:right w:type="dxa" w:w="100"/>
            </w:tcMar>
          </w:tcPr>
          <w:p>
            <w:pPr>
              <w:spacing w:line="250"/>
            </w:pPr>
            <w:r>
              <w:rPr>
                <w:sz w:val="18"/>
                <w:szCs w:val="18"/>
              </w:rPr>
              <w:t xml:space="preserve">Tagline (primary)</w:t>
            </w:r>
          </w:p>
        </w:tc>
        <w:tc>
          <w:tcPr>
            <w:tcW w:type="dxa" w:w="6600"/>
            <w:tcMar>
              <w:top w:type="dxa" w:w="50"/>
              <w:left w:type="dxa" w:w="100"/>
              <w:bottom w:type="dxa" w:w="50"/>
              <w:right w:type="dxa" w:w="100"/>
            </w:tcMar>
          </w:tcPr>
          <w:p>
            <w:pPr>
              <w:spacing w:line="250"/>
            </w:pPr>
            <w:r>
              <w:rPr>
                <w:sz w:val="18"/>
                <w:szCs w:val="18"/>
              </w:rPr>
              <w:t xml:space="preserve">Enterprise voice AI for high-stakes conversations</w:t>
            </w:r>
          </w:p>
        </w:tc>
      </w:tr>
      <w:tr>
        <w:tc>
          <w:tcPr>
            <w:tcW w:type="dxa" w:w="2600"/>
            <w:tcMar>
              <w:top w:type="dxa" w:w="50"/>
              <w:left w:type="dxa" w:w="100"/>
              <w:bottom w:type="dxa" w:w="50"/>
              <w:right w:type="dxa" w:w="100"/>
            </w:tcMar>
          </w:tcPr>
          <w:p>
            <w:pPr>
              <w:spacing w:line="250"/>
            </w:pPr>
            <w:r>
              <w:rPr>
                <w:sz w:val="18"/>
                <w:szCs w:val="18"/>
              </w:rPr>
              <w:t xml:space="preserve">Founded</w:t>
            </w:r>
          </w:p>
        </w:tc>
        <w:tc>
          <w:tcPr>
            <w:tcW w:type="dxa" w:w="6600"/>
            <w:tcMar>
              <w:top w:type="dxa" w:w="50"/>
              <w:left w:type="dxa" w:w="100"/>
              <w:bottom w:type="dxa" w:w="50"/>
              <w:right w:type="dxa" w:w="100"/>
            </w:tcMar>
          </w:tcPr>
          <w:p>
            <w:pPr>
              <w:spacing w:line="250"/>
            </w:pPr>
            <w:r>
              <w:rPr>
                <w:sz w:val="18"/>
                <w:szCs w:val="18"/>
              </w:rPr>
              <w:t xml:space="preserve">2024</w:t>
            </w:r>
          </w:p>
        </w:tc>
      </w:tr>
      <w:tr>
        <w:tc>
          <w:tcPr>
            <w:tcW w:type="dxa" w:w="2600"/>
            <w:tcMar>
              <w:top w:type="dxa" w:w="50"/>
              <w:left w:type="dxa" w:w="100"/>
              <w:bottom w:type="dxa" w:w="50"/>
              <w:right w:type="dxa" w:w="100"/>
            </w:tcMar>
          </w:tcPr>
          <w:p>
            <w:pPr>
              <w:spacing w:line="250"/>
            </w:pPr>
            <w:r>
              <w:rPr>
                <w:sz w:val="18"/>
                <w:szCs w:val="18"/>
              </w:rPr>
              <w:t xml:space="preserve">Headquarters</w:t>
            </w:r>
          </w:p>
        </w:tc>
        <w:tc>
          <w:tcPr>
            <w:tcW w:type="dxa" w:w="6600"/>
            <w:tcMar>
              <w:top w:type="dxa" w:w="50"/>
              <w:left w:type="dxa" w:w="100"/>
              <w:bottom w:type="dxa" w:w="50"/>
              <w:right w:type="dxa" w:w="100"/>
            </w:tcMar>
          </w:tcPr>
          <w:p>
            <w:pPr>
              <w:spacing w:line="250"/>
            </w:pPr>
            <w:r>
              <w:rPr>
                <w:sz w:val="18"/>
                <w:szCs w:val="18"/>
              </w:rPr>
              <w:t xml:space="preserve">The Commons Cremorne, 10-20 Gwynne St, Cremorne VIC 3121, Australia</w:t>
            </w:r>
          </w:p>
        </w:tc>
      </w:tr>
      <w:tr>
        <w:tc>
          <w:tcPr>
            <w:tcW w:type="dxa" w:w="2600"/>
            <w:tcMar>
              <w:top w:type="dxa" w:w="50"/>
              <w:left w:type="dxa" w:w="100"/>
              <w:bottom w:type="dxa" w:w="50"/>
              <w:right w:type="dxa" w:w="100"/>
            </w:tcMar>
          </w:tcPr>
          <w:p>
            <w:pPr>
              <w:spacing w:line="250"/>
            </w:pPr>
            <w:r>
              <w:rPr>
                <w:sz w:val="18"/>
                <w:szCs w:val="18"/>
              </w:rPr>
              <w:t xml:space="preserve">Country / region</w:t>
            </w:r>
          </w:p>
        </w:tc>
        <w:tc>
          <w:tcPr>
            <w:tcW w:type="dxa" w:w="6600"/>
            <w:tcMar>
              <w:top w:type="dxa" w:w="50"/>
              <w:left w:type="dxa" w:w="100"/>
              <w:bottom w:type="dxa" w:w="50"/>
              <w:right w:type="dxa" w:w="100"/>
            </w:tcMar>
          </w:tcPr>
          <w:p>
            <w:pPr>
              <w:spacing w:line="250"/>
            </w:pPr>
            <w:r>
              <w:rPr>
                <w:sz w:val="18"/>
                <w:szCs w:val="18"/>
              </w:rPr>
              <w:t xml:space="preserve">Australia (globally operated)</w:t>
            </w:r>
          </w:p>
        </w:tc>
      </w:tr>
      <w:tr>
        <w:tc>
          <w:tcPr>
            <w:tcW w:type="dxa" w:w="2600"/>
            <w:tcMar>
              <w:top w:type="dxa" w:w="50"/>
              <w:left w:type="dxa" w:w="100"/>
              <w:bottom w:type="dxa" w:w="50"/>
              <w:right w:type="dxa" w:w="100"/>
            </w:tcMar>
          </w:tcPr>
          <w:p>
            <w:pPr>
              <w:spacing w:line="250"/>
            </w:pPr>
            <w:r>
              <w:rPr>
                <w:sz w:val="18"/>
                <w:szCs w:val="18"/>
              </w:rPr>
              <w:t xml:space="preserve">Company size</w:t>
            </w:r>
          </w:p>
        </w:tc>
        <w:tc>
          <w:tcPr>
            <w:tcW w:type="dxa" w:w="6600"/>
            <w:tcMar>
              <w:top w:type="dxa" w:w="50"/>
              <w:left w:type="dxa" w:w="100"/>
              <w:bottom w:type="dxa" w:w="50"/>
              <w:right w:type="dxa" w:w="100"/>
            </w:tcMar>
          </w:tcPr>
          <w:p>
            <w:pPr>
              <w:spacing w:line="250"/>
            </w:pPr>
            <w:r>
              <w:t xml:space="preserve">11-50 employees  </w:t>
            </w:r>
            <w:r>
              <w:rPr>
                <w:b/>
                <w:bCs/>
                <w:color w:val="0C8577"/>
                <w:sz w:val="16"/>
                <w:szCs w:val="16"/>
              </w:rPr>
              <w:t xml:space="preserve">CONFIRM exact band</w:t>
            </w:r>
          </w:p>
        </w:tc>
      </w:tr>
      <w:tr>
        <w:tc>
          <w:tcPr>
            <w:tcW w:type="dxa" w:w="2600"/>
            <w:tcMar>
              <w:top w:type="dxa" w:w="50"/>
              <w:left w:type="dxa" w:w="100"/>
              <w:bottom w:type="dxa" w:w="50"/>
              <w:right w:type="dxa" w:w="100"/>
            </w:tcMar>
          </w:tcPr>
          <w:p>
            <w:pPr>
              <w:spacing w:line="250"/>
            </w:pPr>
            <w:r>
              <w:rPr>
                <w:sz w:val="18"/>
                <w:szCs w:val="18"/>
              </w:rPr>
              <w:t xml:space="preserve">Primary category</w:t>
            </w:r>
          </w:p>
        </w:tc>
        <w:tc>
          <w:tcPr>
            <w:tcW w:type="dxa" w:w="6600"/>
            <w:tcMar>
              <w:top w:type="dxa" w:w="50"/>
              <w:left w:type="dxa" w:w="100"/>
              <w:bottom w:type="dxa" w:w="50"/>
              <w:right w:type="dxa" w:w="100"/>
            </w:tcMar>
          </w:tcPr>
          <w:p>
            <w:pPr>
              <w:spacing w:line="250"/>
            </w:pPr>
            <w:r>
              <w:rPr>
                <w:sz w:val="18"/>
                <w:szCs w:val="18"/>
              </w:rPr>
              <w:t xml:space="preserve">Conversational AI / Voice AI</w:t>
            </w:r>
          </w:p>
        </w:tc>
      </w:tr>
      <w:tr>
        <w:tc>
          <w:tcPr>
            <w:tcW w:type="dxa" w:w="2600"/>
            <w:tcMar>
              <w:top w:type="dxa" w:w="50"/>
              <w:left w:type="dxa" w:w="100"/>
              <w:bottom w:type="dxa" w:w="50"/>
              <w:right w:type="dxa" w:w="100"/>
            </w:tcMar>
          </w:tcPr>
          <w:p>
            <w:pPr>
              <w:spacing w:line="250"/>
            </w:pPr>
            <w:r>
              <w:rPr>
                <w:sz w:val="18"/>
                <w:szCs w:val="18"/>
              </w:rPr>
              <w:t xml:space="preserve">Pricing model</w:t>
            </w:r>
          </w:p>
        </w:tc>
        <w:tc>
          <w:tcPr>
            <w:tcW w:type="dxa" w:w="6600"/>
            <w:tcMar>
              <w:top w:type="dxa" w:w="50"/>
              <w:left w:type="dxa" w:w="100"/>
              <w:bottom w:type="dxa" w:w="50"/>
              <w:right w:type="dxa" w:w="100"/>
            </w:tcMar>
          </w:tcPr>
          <w:p>
            <w:pPr>
              <w:spacing w:line="250"/>
            </w:pPr>
            <w:r>
              <w:t xml:space="preserve">Subscription (SaaS); plans plus enterprise.  </w:t>
            </w:r>
            <w:r>
              <w:rPr>
                <w:b/>
                <w:bCs/>
                <w:color w:val="0C8577"/>
                <w:sz w:val="16"/>
                <w:szCs w:val="16"/>
              </w:rPr>
              <w:t xml:space="preserve">CONFIRM tiers &amp; entry price</w:t>
            </w:r>
          </w:p>
        </w:tc>
      </w:tr>
      <w:tr>
        <w:tc>
          <w:tcPr>
            <w:tcW w:type="dxa" w:w="2600"/>
            <w:tcMar>
              <w:top w:type="dxa" w:w="50"/>
              <w:left w:type="dxa" w:w="100"/>
              <w:bottom w:type="dxa" w:w="50"/>
              <w:right w:type="dxa" w:w="100"/>
            </w:tcMar>
          </w:tcPr>
          <w:p>
            <w:pPr>
              <w:spacing w:line="250"/>
            </w:pPr>
            <w:r>
              <w:rPr>
                <w:sz w:val="18"/>
                <w:szCs w:val="18"/>
              </w:rPr>
              <w:t xml:space="preserve">Free trial / demo</w:t>
            </w:r>
          </w:p>
        </w:tc>
        <w:tc>
          <w:tcPr>
            <w:tcW w:type="dxa" w:w="6600"/>
            <w:tcMar>
              <w:top w:type="dxa" w:w="50"/>
              <w:left w:type="dxa" w:w="100"/>
              <w:bottom w:type="dxa" w:w="50"/>
              <w:right w:type="dxa" w:w="100"/>
            </w:tcMar>
          </w:tcPr>
          <w:p>
            <w:pPr>
              <w:spacing w:line="250"/>
            </w:pPr>
            <w:r>
              <w:t xml:space="preserve">Book-a-demo.  </w:t>
            </w:r>
            <w:r>
              <w:rPr>
                <w:b/>
                <w:bCs/>
                <w:color w:val="0C8577"/>
                <w:sz w:val="16"/>
                <w:szCs w:val="16"/>
              </w:rPr>
              <w:t xml:space="preserve">CONFIRM free trial availability</w:t>
            </w:r>
          </w:p>
        </w:tc>
      </w:tr>
      <w:tr>
        <w:tc>
          <w:tcPr>
            <w:tcW w:type="dxa" w:w="2600"/>
            <w:tcMar>
              <w:top w:type="dxa" w:w="50"/>
              <w:left w:type="dxa" w:w="100"/>
              <w:bottom w:type="dxa" w:w="50"/>
              <w:right w:type="dxa" w:w="100"/>
            </w:tcMar>
          </w:tcPr>
          <w:p>
            <w:pPr>
              <w:spacing w:line="250"/>
            </w:pPr>
            <w:r>
              <w:rPr>
                <w:sz w:val="18"/>
                <w:szCs w:val="18"/>
              </w:rPr>
              <w:t xml:space="preserve">Listing contact email</w:t>
            </w:r>
          </w:p>
        </w:tc>
        <w:tc>
          <w:tcPr>
            <w:tcW w:type="dxa" w:w="6600"/>
            <w:tcMar>
              <w:top w:type="dxa" w:w="50"/>
              <w:left w:type="dxa" w:w="100"/>
              <w:bottom w:type="dxa" w:w="50"/>
              <w:right w:type="dxa" w:w="100"/>
            </w:tcMar>
          </w:tcPr>
          <w:p>
            <w:pPr>
              <w:spacing w:line="250"/>
            </w:pPr>
            <w:r>
              <w:rPr>
                <w:b/>
                <w:bCs/>
                <w:color w:val="0C8577"/>
                <w:sz w:val="16"/>
                <w:szCs w:val="16"/>
              </w:rPr>
              <w:t xml:space="preserve">CONFIRM</w:t>
            </w:r>
            <w:r>
              <w:t xml:space="preserve">  (e.g. hello@trillet.ai or marketing@trillet.ai)</w:t>
            </w:r>
          </w:p>
        </w:tc>
      </w:tr>
      <w:tr>
        <w:tc>
          <w:tcPr>
            <w:tcW w:type="dxa" w:w="2600"/>
            <w:tcMar>
              <w:top w:type="dxa" w:w="50"/>
              <w:left w:type="dxa" w:w="100"/>
              <w:bottom w:type="dxa" w:w="50"/>
              <w:right w:type="dxa" w:w="100"/>
            </w:tcMar>
          </w:tcPr>
          <w:p>
            <w:pPr>
              <w:spacing w:line="250"/>
            </w:pPr>
            <w:r>
              <w:rPr>
                <w:sz w:val="18"/>
                <w:szCs w:val="18"/>
              </w:rPr>
              <w:t xml:space="preserve">Phone (for local citations)</w:t>
            </w:r>
          </w:p>
        </w:tc>
        <w:tc>
          <w:tcPr>
            <w:tcW w:type="dxa" w:w="6600"/>
            <w:tcMar>
              <w:top w:type="dxa" w:w="50"/>
              <w:left w:type="dxa" w:w="100"/>
              <w:bottom w:type="dxa" w:w="50"/>
              <w:right w:type="dxa" w:w="100"/>
            </w:tcMar>
          </w:tcPr>
          <w:p>
            <w:pPr>
              <w:spacing w:line="250"/>
            </w:pPr>
            <w:r>
              <w:rPr>
                <w:b/>
                <w:bCs/>
                <w:color w:val="0C8577"/>
                <w:sz w:val="16"/>
                <w:szCs w:val="16"/>
              </w:rPr>
              <w:t xml:space="preserve">CONFIRM</w:t>
            </w:r>
          </w:p>
        </w:tc>
      </w:tr>
      <w:tr>
        <w:tc>
          <w:tcPr>
            <w:tcW w:type="dxa" w:w="2600"/>
            <w:tcMar>
              <w:top w:type="dxa" w:w="50"/>
              <w:left w:type="dxa" w:w="100"/>
              <w:bottom w:type="dxa" w:w="50"/>
              <w:right w:type="dxa" w:w="100"/>
            </w:tcMar>
          </w:tcPr>
          <w:p>
            <w:pPr>
              <w:spacing w:line="250"/>
            </w:pPr>
            <w:r>
              <w:rPr>
                <w:sz w:val="18"/>
                <w:szCs w:val="18"/>
              </w:rPr>
              <w:t xml:space="preserve">Year / HQ for Crunchbase</w:t>
            </w:r>
          </w:p>
        </w:tc>
        <w:tc>
          <w:tcPr>
            <w:tcW w:type="dxa" w:w="6600"/>
            <w:tcMar>
              <w:top w:type="dxa" w:w="50"/>
              <w:left w:type="dxa" w:w="100"/>
              <w:bottom w:type="dxa" w:w="50"/>
              <w:right w:type="dxa" w:w="100"/>
            </w:tcMar>
          </w:tcPr>
          <w:p>
            <w:pPr>
              <w:spacing w:line="250"/>
            </w:pPr>
            <w:r>
              <w:rPr>
                <w:sz w:val="18"/>
                <w:szCs w:val="18"/>
              </w:rPr>
              <w:t xml:space="preserve">2024 · Melbourne, Victoria, Australia</w:t>
            </w:r>
          </w:p>
        </w:tc>
      </w:tr>
    </w:tbl>
    <w:p>
      <w:pPr>
        <w:pStyle w:val="Heading3"/>
        <w:spacing w:after="70" w:before="170"/>
      </w:pPr>
      <w:r>
        <w:rPr>
          <w:color w:val="0C8577"/>
        </w:rPr>
        <w:t xml:space="preserve">Leadership (for people fields on Crunchbase, PitchBook, etc.)</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3000"/>
        <w:gridCol w:w="6200"/>
      </w:tblGrid>
      <w:tr>
        <w:trPr>
          <w:tblHeader/>
        </w:trPr>
        <w:tc>
          <w:tcPr>
            <w:tcW w:type="dxa" w:w="3000"/>
            <w:shd w:fill="0E1B22" w:color="auto" w:val="clear"/>
            <w:tcMar>
              <w:top w:type="dxa" w:w="60"/>
              <w:left w:type="dxa" w:w="100"/>
              <w:bottom w:type="dxa" w:w="60"/>
              <w:right w:type="dxa" w:w="100"/>
            </w:tcMar>
          </w:tcPr>
          <w:p>
            <w:r>
              <w:rPr>
                <w:b/>
                <w:bCs/>
                <w:color w:val="FFFFFF"/>
                <w:sz w:val="17"/>
                <w:szCs w:val="17"/>
              </w:rPr>
              <w:t xml:space="preserve">Person</w:t>
            </w:r>
          </w:p>
        </w:tc>
        <w:tc>
          <w:tcPr>
            <w:tcW w:type="dxa" w:w="6200"/>
            <w:shd w:fill="0E1B22" w:color="auto" w:val="clear"/>
            <w:tcMar>
              <w:top w:type="dxa" w:w="60"/>
              <w:left w:type="dxa" w:w="100"/>
              <w:bottom w:type="dxa" w:w="60"/>
              <w:right w:type="dxa" w:w="100"/>
            </w:tcMar>
          </w:tcPr>
          <w:p>
            <w:r>
              <w:rPr>
                <w:b/>
                <w:bCs/>
                <w:color w:val="FFFFFF"/>
                <w:sz w:val="17"/>
                <w:szCs w:val="17"/>
              </w:rPr>
              <w:t xml:space="preserve">Role</w:t>
            </w:r>
          </w:p>
        </w:tc>
      </w:tr>
      <w:tr>
        <w:tc>
          <w:tcPr>
            <w:tcW w:type="dxa" w:w="3000"/>
            <w:tcMar>
              <w:top w:type="dxa" w:w="50"/>
              <w:left w:type="dxa" w:w="100"/>
              <w:bottom w:type="dxa" w:w="50"/>
              <w:right w:type="dxa" w:w="100"/>
            </w:tcMar>
          </w:tcPr>
          <w:p>
            <w:pPr>
              <w:spacing w:line="250"/>
            </w:pPr>
            <w:r>
              <w:rPr>
                <w:sz w:val="18"/>
                <w:szCs w:val="18"/>
              </w:rPr>
              <w:t xml:space="preserve">Rob Petreski</w:t>
            </w:r>
          </w:p>
        </w:tc>
        <w:tc>
          <w:tcPr>
            <w:tcW w:type="dxa" w:w="6200"/>
            <w:tcMar>
              <w:top w:type="dxa" w:w="50"/>
              <w:left w:type="dxa" w:w="100"/>
              <w:bottom w:type="dxa" w:w="50"/>
              <w:right w:type="dxa" w:w="100"/>
            </w:tcMar>
          </w:tcPr>
          <w:p>
            <w:pPr>
              <w:spacing w:line="250"/>
            </w:pPr>
            <w:r>
              <w:rPr>
                <w:sz w:val="18"/>
                <w:szCs w:val="18"/>
              </w:rPr>
              <w:t xml:space="preserve">Chief Executive Officer</w:t>
            </w:r>
          </w:p>
        </w:tc>
      </w:tr>
      <w:tr>
        <w:tc>
          <w:tcPr>
            <w:tcW w:type="dxa" w:w="3000"/>
            <w:tcMar>
              <w:top w:type="dxa" w:w="50"/>
              <w:left w:type="dxa" w:w="100"/>
              <w:bottom w:type="dxa" w:w="50"/>
              <w:right w:type="dxa" w:w="100"/>
            </w:tcMar>
          </w:tcPr>
          <w:p>
            <w:pPr>
              <w:spacing w:line="250"/>
            </w:pPr>
            <w:r>
              <w:rPr>
                <w:sz w:val="18"/>
                <w:szCs w:val="18"/>
              </w:rPr>
              <w:t xml:space="preserve">Laurence Latin</w:t>
            </w:r>
          </w:p>
        </w:tc>
        <w:tc>
          <w:tcPr>
            <w:tcW w:type="dxa" w:w="6200"/>
            <w:tcMar>
              <w:top w:type="dxa" w:w="50"/>
              <w:left w:type="dxa" w:w="100"/>
              <w:bottom w:type="dxa" w:w="50"/>
              <w:right w:type="dxa" w:w="100"/>
            </w:tcMar>
          </w:tcPr>
          <w:p>
            <w:pPr>
              <w:spacing w:line="250"/>
            </w:pPr>
            <w:r>
              <w:rPr>
                <w:sz w:val="18"/>
                <w:szCs w:val="18"/>
              </w:rPr>
              <w:t xml:space="preserve">Co-Founder &amp; CTO</w:t>
            </w:r>
          </w:p>
        </w:tc>
      </w:tr>
      <w:tr>
        <w:tc>
          <w:tcPr>
            <w:tcW w:type="dxa" w:w="3000"/>
            <w:tcMar>
              <w:top w:type="dxa" w:w="50"/>
              <w:left w:type="dxa" w:w="100"/>
              <w:bottom w:type="dxa" w:w="50"/>
              <w:right w:type="dxa" w:w="100"/>
            </w:tcMar>
          </w:tcPr>
          <w:p>
            <w:pPr>
              <w:spacing w:line="250"/>
            </w:pPr>
            <w:r>
              <w:rPr>
                <w:sz w:val="18"/>
                <w:szCs w:val="18"/>
              </w:rPr>
              <w:t xml:space="preserve">Ming Xu</w:t>
            </w:r>
          </w:p>
        </w:tc>
        <w:tc>
          <w:tcPr>
            <w:tcW w:type="dxa" w:w="6200"/>
            <w:tcMar>
              <w:top w:type="dxa" w:w="50"/>
              <w:left w:type="dxa" w:w="100"/>
              <w:bottom w:type="dxa" w:w="50"/>
              <w:right w:type="dxa" w:w="100"/>
            </w:tcMar>
          </w:tcPr>
          <w:p>
            <w:pPr>
              <w:spacing w:line="250"/>
            </w:pPr>
            <w:r>
              <w:rPr>
                <w:sz w:val="18"/>
                <w:szCs w:val="18"/>
              </w:rPr>
              <w:t xml:space="preserve">Co-Founder &amp; COO</w:t>
            </w:r>
          </w:p>
        </w:tc>
      </w:tr>
    </w:tbl>
    <w:p>
      <w:pPr>
        <w:pStyle w:val="Heading3"/>
        <w:spacing w:after="70" w:before="170"/>
      </w:pPr>
      <w:r>
        <w:rPr>
          <w:color w:val="0C8577"/>
        </w:rPr>
        <w:t xml:space="preserve">Profiles &amp; links (add wherever a listing allows)</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600"/>
        <w:gridCol w:w="6600"/>
      </w:tblGrid>
      <w:tr>
        <w:trPr>
          <w:tblHeader/>
        </w:trPr>
        <w:tc>
          <w:tcPr>
            <w:tcW w:type="dxa" w:w="2600"/>
            <w:shd w:fill="0E1B22" w:color="auto" w:val="clear"/>
            <w:tcMar>
              <w:top w:type="dxa" w:w="60"/>
              <w:left w:type="dxa" w:w="100"/>
              <w:bottom w:type="dxa" w:w="60"/>
              <w:right w:type="dxa" w:w="100"/>
            </w:tcMar>
          </w:tcPr>
          <w:p>
            <w:r>
              <w:rPr>
                <w:b/>
                <w:bCs/>
                <w:color w:val="FFFFFF"/>
                <w:sz w:val="17"/>
                <w:szCs w:val="17"/>
              </w:rPr>
              <w:t xml:space="preserve">Channel</w:t>
            </w:r>
          </w:p>
        </w:tc>
        <w:tc>
          <w:tcPr>
            <w:tcW w:type="dxa" w:w="6600"/>
            <w:shd w:fill="0E1B22" w:color="auto" w:val="clear"/>
            <w:tcMar>
              <w:top w:type="dxa" w:w="60"/>
              <w:left w:type="dxa" w:w="100"/>
              <w:bottom w:type="dxa" w:w="60"/>
              <w:right w:type="dxa" w:w="100"/>
            </w:tcMar>
          </w:tcPr>
          <w:p>
            <w:r>
              <w:rPr>
                <w:b/>
                <w:bCs/>
                <w:color w:val="FFFFFF"/>
                <w:sz w:val="17"/>
                <w:szCs w:val="17"/>
              </w:rPr>
              <w:t xml:space="preserve">URL / handle</w:t>
            </w:r>
          </w:p>
        </w:tc>
      </w:tr>
      <w:tr>
        <w:tc>
          <w:tcPr>
            <w:tcW w:type="dxa" w:w="2600"/>
            <w:tcMar>
              <w:top w:type="dxa" w:w="50"/>
              <w:left w:type="dxa" w:w="100"/>
              <w:bottom w:type="dxa" w:w="50"/>
              <w:right w:type="dxa" w:w="100"/>
            </w:tcMar>
          </w:tcPr>
          <w:p>
            <w:pPr>
              <w:spacing w:line="250"/>
            </w:pPr>
            <w:r>
              <w:rPr>
                <w:sz w:val="18"/>
                <w:szCs w:val="18"/>
              </w:rPr>
              <w:t xml:space="preserve">Website</w:t>
            </w:r>
          </w:p>
        </w:tc>
        <w:tc>
          <w:tcPr>
            <w:tcW w:type="dxa" w:w="6600"/>
            <w:tcMar>
              <w:top w:type="dxa" w:w="50"/>
              <w:left w:type="dxa" w:w="100"/>
              <w:bottom w:type="dxa" w:w="50"/>
              <w:right w:type="dxa" w:w="100"/>
            </w:tcMar>
          </w:tcPr>
          <w:p>
            <w:pPr>
              <w:spacing w:line="250"/>
            </w:pPr>
            <w:r>
              <w:rPr>
                <w:sz w:val="18"/>
                <w:szCs w:val="18"/>
              </w:rPr>
              <w:t xml:space="preserve">https://www.trillet.ai</w:t>
            </w:r>
          </w:p>
        </w:tc>
      </w:tr>
      <w:tr>
        <w:tc>
          <w:tcPr>
            <w:tcW w:type="dxa" w:w="2600"/>
            <w:tcMar>
              <w:top w:type="dxa" w:w="50"/>
              <w:left w:type="dxa" w:w="100"/>
              <w:bottom w:type="dxa" w:w="50"/>
              <w:right w:type="dxa" w:w="100"/>
            </w:tcMar>
          </w:tcPr>
          <w:p>
            <w:pPr>
              <w:spacing w:line="250"/>
            </w:pPr>
            <w:r>
              <w:rPr>
                <w:sz w:val="18"/>
                <w:szCs w:val="18"/>
              </w:rPr>
              <w:t xml:space="preserve">Docs</w:t>
            </w:r>
          </w:p>
        </w:tc>
        <w:tc>
          <w:tcPr>
            <w:tcW w:type="dxa" w:w="6600"/>
            <w:tcMar>
              <w:top w:type="dxa" w:w="50"/>
              <w:left w:type="dxa" w:w="100"/>
              <w:bottom w:type="dxa" w:w="50"/>
              <w:right w:type="dxa" w:w="100"/>
            </w:tcMar>
          </w:tcPr>
          <w:p>
            <w:pPr>
              <w:spacing w:line="250"/>
            </w:pPr>
            <w:r>
              <w:rPr>
                <w:sz w:val="18"/>
                <w:szCs w:val="18"/>
              </w:rPr>
              <w:t xml:space="preserve">https://docs.trillet.ai</w:t>
            </w:r>
          </w:p>
        </w:tc>
      </w:tr>
      <w:tr>
        <w:tc>
          <w:tcPr>
            <w:tcW w:type="dxa" w:w="2600"/>
            <w:tcMar>
              <w:top w:type="dxa" w:w="50"/>
              <w:left w:type="dxa" w:w="100"/>
              <w:bottom w:type="dxa" w:w="50"/>
              <w:right w:type="dxa" w:w="100"/>
            </w:tcMar>
          </w:tcPr>
          <w:p>
            <w:pPr>
              <w:spacing w:line="250"/>
            </w:pPr>
            <w:r>
              <w:rPr>
                <w:sz w:val="18"/>
                <w:szCs w:val="18"/>
              </w:rPr>
              <w:t xml:space="preserve">LinkedIn</w:t>
            </w:r>
          </w:p>
        </w:tc>
        <w:tc>
          <w:tcPr>
            <w:tcW w:type="dxa" w:w="6600"/>
            <w:tcMar>
              <w:top w:type="dxa" w:w="50"/>
              <w:left w:type="dxa" w:w="100"/>
              <w:bottom w:type="dxa" w:w="50"/>
              <w:right w:type="dxa" w:w="100"/>
            </w:tcMar>
          </w:tcPr>
          <w:p>
            <w:pPr>
              <w:spacing w:line="250"/>
            </w:pPr>
            <w:r>
              <w:rPr>
                <w:sz w:val="18"/>
                <w:szCs w:val="18"/>
              </w:rPr>
              <w:t xml:space="preserve">https://www.linkedin.com/company/trillet-ai/</w:t>
            </w:r>
          </w:p>
        </w:tc>
      </w:tr>
      <w:tr>
        <w:tc>
          <w:tcPr>
            <w:tcW w:type="dxa" w:w="2600"/>
            <w:tcMar>
              <w:top w:type="dxa" w:w="50"/>
              <w:left w:type="dxa" w:w="100"/>
              <w:bottom w:type="dxa" w:w="50"/>
              <w:right w:type="dxa" w:w="100"/>
            </w:tcMar>
          </w:tcPr>
          <w:p>
            <w:pPr>
              <w:spacing w:line="250"/>
            </w:pPr>
            <w:r>
              <w:rPr>
                <w:sz w:val="18"/>
                <w:szCs w:val="18"/>
              </w:rPr>
              <w:t xml:space="preserve">Trustpilot</w:t>
            </w:r>
          </w:p>
        </w:tc>
        <w:tc>
          <w:tcPr>
            <w:tcW w:type="dxa" w:w="6600"/>
            <w:tcMar>
              <w:top w:type="dxa" w:w="50"/>
              <w:left w:type="dxa" w:w="100"/>
              <w:bottom w:type="dxa" w:w="50"/>
              <w:right w:type="dxa" w:w="100"/>
            </w:tcMar>
          </w:tcPr>
          <w:p>
            <w:pPr>
              <w:spacing w:line="250"/>
            </w:pPr>
            <w:r>
              <w:rPr>
                <w:sz w:val="18"/>
                <w:szCs w:val="18"/>
              </w:rPr>
              <w:t xml:space="preserve">https://www.trustpilot.com/review/trillet.ai</w:t>
            </w:r>
          </w:p>
        </w:tc>
      </w:tr>
      <w:tr>
        <w:tc>
          <w:tcPr>
            <w:tcW w:type="dxa" w:w="2600"/>
            <w:tcMar>
              <w:top w:type="dxa" w:w="50"/>
              <w:left w:type="dxa" w:w="100"/>
              <w:bottom w:type="dxa" w:w="50"/>
              <w:right w:type="dxa" w:w="100"/>
            </w:tcMar>
          </w:tcPr>
          <w:p>
            <w:pPr>
              <w:spacing w:line="250"/>
            </w:pPr>
            <w:r>
              <w:rPr>
                <w:sz w:val="18"/>
                <w:szCs w:val="18"/>
              </w:rPr>
              <w:t xml:space="preserve">GitHub</w:t>
            </w:r>
          </w:p>
        </w:tc>
        <w:tc>
          <w:tcPr>
            <w:tcW w:type="dxa" w:w="6600"/>
            <w:tcMar>
              <w:top w:type="dxa" w:w="50"/>
              <w:left w:type="dxa" w:w="100"/>
              <w:bottom w:type="dxa" w:w="50"/>
              <w:right w:type="dxa" w:w="100"/>
            </w:tcMar>
          </w:tcPr>
          <w:p>
            <w:pPr>
              <w:spacing w:line="250"/>
            </w:pPr>
            <w:r>
              <w:t xml:space="preserve">https://github.com/TrilletAI  </w:t>
            </w:r>
            <w:r>
              <w:rPr>
                <w:b/>
                <w:bCs/>
                <w:color w:val="0C8577"/>
                <w:sz w:val="16"/>
                <w:szCs w:val="16"/>
              </w:rPr>
              <w:t xml:space="preserve">CONFIRM</w:t>
            </w:r>
          </w:p>
        </w:tc>
      </w:tr>
      <w:tr>
        <w:tc>
          <w:tcPr>
            <w:tcW w:type="dxa" w:w="2600"/>
            <w:tcMar>
              <w:top w:type="dxa" w:w="50"/>
              <w:left w:type="dxa" w:w="100"/>
              <w:bottom w:type="dxa" w:w="50"/>
              <w:right w:type="dxa" w:w="100"/>
            </w:tcMar>
          </w:tcPr>
          <w:p>
            <w:pPr>
              <w:spacing w:line="250"/>
            </w:pPr>
            <w:r>
              <w:rPr>
                <w:sz w:val="18"/>
                <w:szCs w:val="18"/>
              </w:rPr>
              <w:t xml:space="preserve">X / Twitter</w:t>
            </w:r>
          </w:p>
        </w:tc>
        <w:tc>
          <w:tcPr>
            <w:tcW w:type="dxa" w:w="6600"/>
            <w:tcMar>
              <w:top w:type="dxa" w:w="50"/>
              <w:left w:type="dxa" w:w="100"/>
              <w:bottom w:type="dxa" w:w="50"/>
              <w:right w:type="dxa" w:w="100"/>
            </w:tcMar>
          </w:tcPr>
          <w:p>
            <w:pPr>
              <w:spacing w:line="250"/>
            </w:pPr>
            <w:r>
              <w:rPr>
                <w:b/>
                <w:bCs/>
                <w:color w:val="0C8577"/>
                <w:sz w:val="16"/>
                <w:szCs w:val="16"/>
              </w:rPr>
              <w:t xml:space="preserve">CONFIRM handle</w:t>
            </w:r>
          </w:p>
        </w:tc>
      </w:tr>
      <w:tr>
        <w:tc>
          <w:tcPr>
            <w:tcW w:type="dxa" w:w="2600"/>
            <w:tcMar>
              <w:top w:type="dxa" w:w="50"/>
              <w:left w:type="dxa" w:w="100"/>
              <w:bottom w:type="dxa" w:w="50"/>
              <w:right w:type="dxa" w:w="100"/>
            </w:tcMar>
          </w:tcPr>
          <w:p>
            <w:pPr>
              <w:spacing w:line="250"/>
            </w:pPr>
            <w:r>
              <w:rPr>
                <w:sz w:val="18"/>
                <w:szCs w:val="18"/>
              </w:rPr>
              <w:t xml:space="preserve">YouTube</w:t>
            </w:r>
          </w:p>
        </w:tc>
        <w:tc>
          <w:tcPr>
            <w:tcW w:type="dxa" w:w="6600"/>
            <w:tcMar>
              <w:top w:type="dxa" w:w="50"/>
              <w:left w:type="dxa" w:w="100"/>
              <w:bottom w:type="dxa" w:w="50"/>
              <w:right w:type="dxa" w:w="100"/>
            </w:tcMar>
          </w:tcPr>
          <w:p>
            <w:pPr>
              <w:spacing w:line="250"/>
            </w:pPr>
            <w:r>
              <w:rPr>
                <w:b/>
                <w:bCs/>
                <w:color w:val="0C8577"/>
                <w:sz w:val="16"/>
                <w:szCs w:val="16"/>
              </w:rPr>
              <w:t xml:space="preserve">CONFIRM channel</w:t>
            </w:r>
          </w:p>
        </w:tc>
      </w:tr>
      <w:tr>
        <w:tc>
          <w:tcPr>
            <w:tcW w:type="dxa" w:w="2600"/>
            <w:tcMar>
              <w:top w:type="dxa" w:w="50"/>
              <w:left w:type="dxa" w:w="100"/>
              <w:bottom w:type="dxa" w:w="50"/>
              <w:right w:type="dxa" w:w="100"/>
            </w:tcMar>
          </w:tcPr>
          <w:p>
            <w:pPr>
              <w:spacing w:line="250"/>
            </w:pPr>
            <w:r>
              <w:rPr>
                <w:sz w:val="18"/>
                <w:szCs w:val="18"/>
              </w:rPr>
              <w:t xml:space="preserve">Facebook / Instagram</w:t>
            </w:r>
          </w:p>
        </w:tc>
        <w:tc>
          <w:tcPr>
            <w:tcW w:type="dxa" w:w="6600"/>
            <w:tcMar>
              <w:top w:type="dxa" w:w="50"/>
              <w:left w:type="dxa" w:w="100"/>
              <w:bottom w:type="dxa" w:w="50"/>
              <w:right w:type="dxa" w:w="100"/>
            </w:tcMar>
          </w:tcPr>
          <w:p>
            <w:pPr>
              <w:spacing w:line="250"/>
            </w:pPr>
            <w:r>
              <w:rPr>
                <w:b/>
                <w:bCs/>
                <w:color w:val="0C8577"/>
                <w:sz w:val="16"/>
                <w:szCs w:val="16"/>
              </w:rPr>
              <w:t xml:space="preserve">CONFIRM</w:t>
            </w:r>
          </w:p>
        </w:tc>
      </w:tr>
    </w:tbl>
    <w:p>
      <w:r>
        <w:br w:type="page"/>
      </w:r>
    </w:p>
    <w:p>
      <w:pPr>
        <w:pStyle w:val="Heading1"/>
        <w:spacing w:after="140" w:before="320"/>
      </w:pPr>
      <w:r>
        <w:rPr>
          <w:color w:val="0E1B22"/>
        </w:rPr>
        <w:t xml:space="preserve">2 · Description library (paste-ready, by length)</w:t>
      </w:r>
    </w:p>
    <w:p>
      <w:pPr>
        <w:spacing w:after="120" w:line="276"/>
      </w:pPr>
      <w:r>
        <w:t xml:space="preserve">Directories cap descriptions at different lengths. Pick the variant that fits each field. Character counts are approximate; trim to the exact limit if a form rejects it.</w:t>
      </w:r>
    </w:p>
    <w:p>
      <w:pPr>
        <w:pStyle w:val="Heading3"/>
        <w:spacing w:after="70" w:before="170"/>
      </w:pPr>
      <w:r>
        <w:rPr>
          <w:color w:val="0C8577"/>
        </w:rPr>
        <w:t xml:space="preserve">Tagline options (≤ 60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Enterprise voice AI for high-stakes conversations.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Voice AI that resolves, not just responds.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The voice AI that finishes the call.</w:t>
      </w:r>
    </w:p>
    <w:p>
      <w:pPr>
        <w:spacing w:after="40"/>
      </w:pPr>
      <w:r>
        <w:t xml:space="preserve"/>
      </w:r>
    </w:p>
    <w:p>
      <w:pPr>
        <w:pStyle w:val="Heading3"/>
        <w:spacing w:after="70" w:before="170"/>
      </w:pPr>
      <w:r>
        <w:rPr>
          <w:color w:val="0C8577"/>
        </w:rPr>
        <w:t xml:space="preserve">One-liner (≤ 90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Enterprise voice AI that resolves complex, regulated calls end to end.</w:t>
      </w:r>
    </w:p>
    <w:p>
      <w:pPr>
        <w:spacing w:after="120"/>
      </w:pPr>
      <w:r>
        <w:rPr>
          <w:b/>
          <w:bCs/>
          <w:color w:val="0C8577"/>
          <w:sz w:val="16"/>
          <w:szCs w:val="16"/>
        </w:rPr>
        <w:t xml:space="preserve">One-liner  </w:t>
      </w:r>
      <w:r>
        <w:rPr>
          <w:i/>
          <w:iCs/>
          <w:color w:val="52646A"/>
          <w:sz w:val="16"/>
          <w:szCs w:val="16"/>
        </w:rPr>
        <w:t xml:space="preserve">(≈ 70 chars)</w:t>
      </w:r>
    </w:p>
    <w:p>
      <w:pPr>
        <w:pStyle w:val="Heading3"/>
        <w:spacing w:after="70" w:before="170"/>
      </w:pPr>
      <w:r>
        <w:rPr>
          <w:color w:val="0C8577"/>
        </w:rPr>
        <w:t xml:space="preserve">Meta / short description (≈ 150/160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enterprise voice AI that resolves high-stakes, regulated conversations end to end: verifying identity, acting in your systems, and closing the loop.</w:t>
      </w:r>
    </w:p>
    <w:p>
      <w:pPr>
        <w:spacing w:after="120"/>
      </w:pPr>
      <w:r>
        <w:rPr>
          <w:b/>
          <w:bCs/>
          <w:color w:val="0C8577"/>
          <w:sz w:val="16"/>
          <w:szCs w:val="16"/>
        </w:rPr>
        <w:t xml:space="preserve">Meta  </w:t>
      </w:r>
      <w:r>
        <w:rPr>
          <w:i/>
          <w:iCs/>
          <w:color w:val="52646A"/>
          <w:sz w:val="16"/>
          <w:szCs w:val="16"/>
        </w:rPr>
        <w:t xml:space="preserve">(≈ 159 chars)</w:t>
      </w:r>
    </w:p>
    <w:p>
      <w:pPr>
        <w:pStyle w:val="Heading3"/>
        <w:spacing w:after="70" w:before="170"/>
      </w:pPr>
      <w:r>
        <w:rPr>
          <w:color w:val="0C8577"/>
        </w:rPr>
        <w:t xml:space="preserve">Medium description (≈ 250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an enterprise voice-AI platform for high-stakes, regulated conversations. Its agents verify a caller's identity, act inside your systems of record, take payments and bookings, and follow through across voice, SMS, chat and email, with a full audit trail.</w:t>
      </w:r>
    </w:p>
    <w:p>
      <w:pPr>
        <w:spacing w:after="120"/>
      </w:pPr>
      <w:r>
        <w:rPr>
          <w:b/>
          <w:bCs/>
          <w:color w:val="0C8577"/>
          <w:sz w:val="16"/>
          <w:szCs w:val="16"/>
        </w:rPr>
        <w:t xml:space="preserve">Medium  </w:t>
      </w:r>
      <w:r>
        <w:rPr>
          <w:i/>
          <w:iCs/>
          <w:color w:val="52646A"/>
          <w:sz w:val="16"/>
          <w:szCs w:val="16"/>
        </w:rPr>
        <w:t xml:space="preserve">(≈ 265 chars)</w:t>
      </w:r>
    </w:p>
    <w:p>
      <w:pPr>
        <w:pStyle w:val="Heading3"/>
        <w:spacing w:after="70" w:before="170"/>
      </w:pPr>
      <w:r>
        <w:rPr>
          <w:color w:val="0C8577"/>
        </w:rPr>
        <w:t xml:space="preserve">Standard description (≈ 500 chars)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an enterprise voice-AI platform that resolves high-stakes, regulated conversations from start to finish. Instead of only holding a conversation, Trillet agents verify a caller's identity to a compliance standard, act inside your systems of record (CRM, payments, scheduling), and follow through across voice, SMS, chat and email, writing a full audit trail on every interaction. Built for financial services, healthcare, legal, government and utilities, and trusted by 1,200+ businesses. Melbourne-based, globally operated.</w:t>
      </w:r>
    </w:p>
    <w:p>
      <w:pPr>
        <w:spacing w:after="120"/>
      </w:pPr>
      <w:r>
        <w:rPr>
          <w:b/>
          <w:bCs/>
          <w:color w:val="0C8577"/>
          <w:sz w:val="16"/>
          <w:szCs w:val="16"/>
        </w:rPr>
        <w:t xml:space="preserve">Standard  </w:t>
      </w:r>
      <w:r>
        <w:rPr>
          <w:i/>
          <w:iCs/>
          <w:color w:val="52646A"/>
          <w:sz w:val="16"/>
          <w:szCs w:val="16"/>
        </w:rPr>
        <w:t xml:space="preserve">(≈ 534 chars)</w:t>
      </w:r>
    </w:p>
    <w:p>
      <w:pPr>
        <w:pStyle w:val="Heading3"/>
        <w:spacing w:after="70" w:before="170"/>
      </w:pPr>
      <w:r>
        <w:rPr>
          <w:color w:val="0C8577"/>
        </w:rPr>
        <w:t xml:space="preserve">Long description / About (≈ 1,000/1,300 chars, for Crunchbase, G2, TrustRadius)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an enterprise voice-AI platform built for the conversations that carry the most risk. Where conventional voice automation can hold a conversation, Trillet is built to complete one: its agents authenticate the caller to a compliance standard, act inside the customer's live systems of record such as CRM, practice management, payments and scheduling, take real actions like bookings and payments, and follow through across voice, SMS, chat and email. Every interaction leaves a full audit trail, so authentications and actions can be reviewed afterwards. Trillet is designed for regulated, high-consequence industries including financial services and collections, healthcare, legal, government and utilities, and can be deployed on-premise, in a private cloud, or fully managed, with Australian data residency available. The platform supports SOC 2 Type II, ISO 27001, HIPAA, GDPR, TCPA and ACMA requirements. Founded in 2024 and based in Melbourne, Australia, Trillet is trusted by more than 1,200 businesses and holds a 4.6 rating on Trustpilot. It is led by CEO Rob Petreski and co-founders Laurence Latin (CTO) and Ming Xu (COO).</w:t>
      </w:r>
    </w:p>
    <w:p>
      <w:pPr>
        <w:spacing w:after="120"/>
      </w:pPr>
      <w:r>
        <w:rPr>
          <w:b/>
          <w:bCs/>
          <w:color w:val="0C8577"/>
          <w:sz w:val="16"/>
          <w:szCs w:val="16"/>
        </w:rPr>
        <w:t xml:space="preserve">Long / About  </w:t>
      </w:r>
      <w:r>
        <w:rPr>
          <w:i/>
          <w:iCs/>
          <w:color w:val="52646A"/>
          <w:sz w:val="16"/>
          <w:szCs w:val="16"/>
        </w:rPr>
        <w:t xml:space="preserve">(≈ 1143 chars)</w:t>
      </w:r>
    </w:p>
    <w:p>
      <w:pPr>
        <w:pStyle w:val="Heading3"/>
        <w:spacing w:after="70" w:before="170"/>
      </w:pPr>
      <w:r>
        <w:rPr>
          <w:color w:val="0C8577"/>
        </w:rPr>
        <w:t xml:space="preserve">Press boilerplate (“About Trillet” for releases and media listings)</w:t>
      </w:r>
    </w:p>
    <w:p>
      <w:pPr>
        <w:pBdr>
          <w:left w:val="single" w:color="D6E0E1" w:sz="10" w:space="8"/>
        </w:pBdr>
        <w:shd w:fill="F2F5F5" w:color="auto" w:val="clear"/>
        <w:spacing w:after="40" w:before="20" w:line="260"/>
      </w:pPr>
      <w:r>
        <w:rPr>
          <w:rFonts w:ascii="Consolas" w:cs="Consolas" w:eastAsia="Consolas" w:hAnsi="Consolas"/>
          <w:color w:val="0E1B22"/>
          <w:sz w:val="18"/>
          <w:szCs w:val="18"/>
        </w:rPr>
        <w:t xml:space="preserve">Trillet is a Melbourne-based enterprise voice-AI company. Its platform resolves high-stakes, regulated conversations end to end across voice, SMS, chat and email, verifying identity, acting inside customers' systems of record, and producing a full audit trail. Trillet serves regulated industries including financial services, healthcare, legal, government and utilities, and is trusted by more than 1,200 businesses. Founded in 2024, Trillet is proudly Australian and globally operated.</w:t>
      </w:r>
    </w:p>
    <w:p>
      <w:pPr>
        <w:spacing w:after="120"/>
      </w:pPr>
      <w:r>
        <w:rPr>
          <w:b/>
          <w:bCs/>
          <w:color w:val="0C8577"/>
          <w:sz w:val="16"/>
          <w:szCs w:val="16"/>
        </w:rPr>
        <w:t xml:space="preserve">Boilerplate  </w:t>
      </w:r>
      <w:r>
        <w:rPr>
          <w:i/>
          <w:iCs/>
          <w:color w:val="52646A"/>
          <w:sz w:val="16"/>
          <w:szCs w:val="16"/>
        </w:rPr>
        <w:t xml:space="preserve">(≈ 487 chars)</w:t>
      </w:r>
    </w:p>
    <w:p>
      <w:pPr>
        <w:pBdr>
          <w:left w:val="single" w:color="0C8577" w:sz="18" w:space="8"/>
        </w:pBdr>
        <w:shd w:fill="FBEEDB" w:color="auto" w:val="clear"/>
        <w:spacing w:after="140" w:before="60" w:line="264"/>
      </w:pPr>
      <w:r>
        <w:rPr>
          <w:b/>
          <w:bCs/>
          <w:color w:val="0C8577"/>
        </w:rPr>
        <w:t xml:space="preserve">CONFIRM  </w:t>
      </w:r>
      <w:r>
        <w:t xml:space="preserve">The metrics used above (1,200+ businesses, 7M+ calls, 4.6 Trustpilot) and the compliance list are taken from Trillet's own site. Verify each is current and which certifications are held vs in progress before publishing to third parties. Directory listings are public and hard to retract.</w:t>
      </w:r>
    </w:p>
    <w:p>
      <w:r>
        <w:br w:type="page"/>
      </w:r>
    </w:p>
    <w:p>
      <w:pPr>
        <w:pStyle w:val="Heading1"/>
        <w:spacing w:after="140" w:before="320"/>
      </w:pPr>
      <w:r>
        <w:rPr>
          <w:color w:val="0E1B22"/>
        </w:rPr>
        <w:t xml:space="preserve">3 · Categories, tags &amp; keywords</w:t>
      </w:r>
    </w:p>
    <w:p>
      <w:pPr>
        <w:spacing w:after="120" w:line="276"/>
      </w:pPr>
      <w:r>
        <w:t xml:space="preserve">Most directories ask you to pick one primary category, a few secondary categories, and free-form tags. Use these consistently.</w:t>
      </w:r>
    </w:p>
    <w:p>
      <w:pPr>
        <w:pStyle w:val="Heading3"/>
        <w:spacing w:after="70" w:before="170"/>
      </w:pPr>
      <w:r>
        <w:rPr>
          <w:color w:val="0C8577"/>
        </w:rPr>
        <w:t xml:space="preserve">Primary category</w:t>
      </w:r>
    </w:p>
    <w:p>
      <w:pPr>
        <w:pStyle w:val="ListParagraph"/>
        <w:numPr>
          <w:ilvl w:val="0"/>
          <w:numId w:val="1"/>
        </w:numPr>
        <w:spacing w:after="60" w:line="264"/>
      </w:pPr>
      <w:r>
        <w:t xml:space="preserve">Conversational AI / Voice AI</w:t>
      </w:r>
    </w:p>
    <w:p>
      <w:pPr>
        <w:pStyle w:val="Heading3"/>
        <w:spacing w:after="70" w:before="170"/>
      </w:pPr>
      <w:r>
        <w:rPr>
          <w:color w:val="0C8577"/>
        </w:rPr>
        <w:t xml:space="preserve">Secondary categories (pick those a directory offers)</w:t>
      </w:r>
    </w:p>
    <w:p>
      <w:pPr>
        <w:pStyle w:val="ListParagraph"/>
        <w:numPr>
          <w:ilvl w:val="0"/>
          <w:numId w:val="1"/>
        </w:numPr>
        <w:spacing w:after="60" w:line="264"/>
      </w:pPr>
      <w:r>
        <w:t xml:space="preserve">Contact Center / Call Center Software</w:t>
      </w:r>
    </w:p>
    <w:p>
      <w:pPr>
        <w:pStyle w:val="ListParagraph"/>
        <w:numPr>
          <w:ilvl w:val="0"/>
          <w:numId w:val="1"/>
        </w:numPr>
        <w:spacing w:after="60" w:line="264"/>
      </w:pPr>
      <w:r>
        <w:t xml:space="preserve">Call Center Automation</w:t>
      </w:r>
    </w:p>
    <w:p>
      <w:pPr>
        <w:pStyle w:val="ListParagraph"/>
        <w:numPr>
          <w:ilvl w:val="0"/>
          <w:numId w:val="1"/>
        </w:numPr>
        <w:spacing w:after="60" w:line="264"/>
      </w:pPr>
      <w:r>
        <w:t xml:space="preserve">AI Agents / Autonomous Agents</w:t>
      </w:r>
    </w:p>
    <w:p>
      <w:pPr>
        <w:pStyle w:val="ListParagraph"/>
        <w:numPr>
          <w:ilvl w:val="0"/>
          <w:numId w:val="1"/>
        </w:numPr>
        <w:spacing w:after="60" w:line="264"/>
      </w:pPr>
      <w:r>
        <w:t xml:space="preserve">Customer Service &amp; Support Software</w:t>
      </w:r>
    </w:p>
    <w:p>
      <w:pPr>
        <w:pStyle w:val="ListParagraph"/>
        <w:numPr>
          <w:ilvl w:val="0"/>
          <w:numId w:val="1"/>
        </w:numPr>
        <w:spacing w:after="60" w:line="264"/>
      </w:pPr>
      <w:r>
        <w:t xml:space="preserve">Speech Recognition / Text-to-Speech</w:t>
      </w:r>
    </w:p>
    <w:p>
      <w:pPr>
        <w:pStyle w:val="ListParagraph"/>
        <w:numPr>
          <w:ilvl w:val="0"/>
          <w:numId w:val="1"/>
        </w:numPr>
        <w:spacing w:after="60" w:line="264"/>
      </w:pPr>
      <w:r>
        <w:t xml:space="preserve">Sales Engagement / Outbound Calling</w:t>
      </w:r>
    </w:p>
    <w:p>
      <w:pPr>
        <w:pStyle w:val="ListParagraph"/>
        <w:numPr>
          <w:ilvl w:val="0"/>
          <w:numId w:val="1"/>
        </w:numPr>
        <w:spacing w:after="60" w:line="264"/>
      </w:pPr>
      <w:r>
        <w:t xml:space="preserve">Appointment Scheduling</w:t>
      </w:r>
    </w:p>
    <w:p>
      <w:pPr>
        <w:pStyle w:val="Heading3"/>
        <w:spacing w:after="70" w:before="170"/>
      </w:pPr>
      <w:r>
        <w:rPr>
          <w:color w:val="0C8577"/>
        </w:rPr>
        <w:t xml:space="preserve">Tags / keywords (free-form fields, tag pickers)</w:t>
      </w:r>
    </w:p>
    <w:p>
      <w:pPr>
        <w:spacing w:after="120" w:line="276"/>
      </w:pPr>
      <w:r>
        <w:t xml:space="preserve">voice AI, AI voice agent, AI phone agent, AI receptionist, conversational AI, call center automation, outbound calling, inbound call automation, identity verification, appointment booking AI, payment collection, debt collection automation, HIPAA voice AI, compliance, audit trail, CRM integration, multi-channel (voice, SMS, chat, email), enterprise AI, regulated industries.</w:t>
      </w:r>
    </w:p>
    <w:p>
      <w:pPr>
        <w:pStyle w:val="Heading1"/>
        <w:spacing w:after="140" w:before="320"/>
      </w:pPr>
      <w:r>
        <w:rPr>
          <w:color w:val="0E1B22"/>
        </w:rPr>
        <w:t xml:space="preserve">4 · Feature bullets &amp; integrations</w:t>
      </w:r>
    </w:p>
    <w:p>
      <w:pPr>
        <w:pStyle w:val="Heading3"/>
        <w:spacing w:after="70" w:before="170"/>
      </w:pPr>
      <w:r>
        <w:rPr>
          <w:color w:val="0C8577"/>
        </w:rPr>
        <w:t xml:space="preserve">Key features (for “features” fields and comparison rows)</w:t>
      </w:r>
    </w:p>
    <w:p>
      <w:pPr>
        <w:pStyle w:val="ListParagraph"/>
        <w:numPr>
          <w:ilvl w:val="0"/>
          <w:numId w:val="1"/>
        </w:numPr>
        <w:spacing w:after="60" w:line="264"/>
      </w:pPr>
      <w:r>
        <w:t xml:space="preserve">Identity verification to a compliance standard before any action</w:t>
      </w:r>
    </w:p>
    <w:p>
      <w:pPr>
        <w:pStyle w:val="ListParagraph"/>
        <w:numPr>
          <w:ilvl w:val="0"/>
          <w:numId w:val="1"/>
        </w:numPr>
        <w:spacing w:after="60" w:line="264"/>
      </w:pPr>
      <w:r>
        <w:t xml:space="preserve">Acts inside systems of record: CRM, practice management, payments, scheduling</w:t>
      </w:r>
    </w:p>
    <w:p>
      <w:pPr>
        <w:pStyle w:val="ListParagraph"/>
        <w:numPr>
          <w:ilvl w:val="0"/>
          <w:numId w:val="1"/>
        </w:numPr>
        <w:spacing w:after="60" w:line="264"/>
      </w:pPr>
      <w:r>
        <w:t xml:space="preserve">Real actions in real time: bookings, payments, case and account updates</w:t>
      </w:r>
    </w:p>
    <w:p>
      <w:pPr>
        <w:pStyle w:val="ListParagraph"/>
        <w:numPr>
          <w:ilvl w:val="0"/>
          <w:numId w:val="1"/>
        </w:numPr>
        <w:spacing w:after="60" w:line="264"/>
      </w:pPr>
      <w:r>
        <w:t xml:space="preserve">Multi-channel: voice, SMS, WhatsApp, Messenger and email from one trigger</w:t>
      </w:r>
    </w:p>
    <w:p>
      <w:pPr>
        <w:pStyle w:val="ListParagraph"/>
        <w:numPr>
          <w:ilvl w:val="0"/>
          <w:numId w:val="1"/>
        </w:numPr>
        <w:spacing w:after="60" w:line="264"/>
      </w:pPr>
      <w:r>
        <w:t xml:space="preserve">Human-quality voice with sub-two-second response on live calls</w:t>
      </w:r>
    </w:p>
    <w:p>
      <w:pPr>
        <w:pStyle w:val="ListParagraph"/>
        <w:numPr>
          <w:ilvl w:val="0"/>
          <w:numId w:val="1"/>
        </w:numPr>
        <w:spacing w:after="60" w:line="264"/>
      </w:pPr>
      <w:r>
        <w:t xml:space="preserve">Full audit trail and compliance controls on every interaction</w:t>
      </w:r>
    </w:p>
    <w:p>
      <w:pPr>
        <w:pStyle w:val="ListParagraph"/>
        <w:numPr>
          <w:ilvl w:val="0"/>
          <w:numId w:val="1"/>
        </w:numPr>
        <w:spacing w:after="60" w:line="264"/>
      </w:pPr>
      <w:r>
        <w:t xml:space="preserve">Deploy on-premise, private cloud, or fully managed; Australian data residency</w:t>
      </w:r>
    </w:p>
    <w:p>
      <w:pPr>
        <w:pStyle w:val="ListParagraph"/>
        <w:numPr>
          <w:ilvl w:val="0"/>
          <w:numId w:val="1"/>
        </w:numPr>
        <w:spacing w:after="60" w:line="264"/>
      </w:pPr>
      <w:r>
        <w:t xml:space="preserve">Callback orchestration: schedules callbacks and retries at sensible intervals</w:t>
      </w:r>
    </w:p>
    <w:p>
      <w:pPr>
        <w:pStyle w:val="ListParagraph"/>
        <w:numPr>
          <w:ilvl w:val="0"/>
          <w:numId w:val="1"/>
        </w:numPr>
        <w:spacing w:after="60" w:line="264"/>
      </w:pPr>
      <w:r>
        <w:t xml:space="preserve">White-label, multi-tenant platform; standalone AI receptionist option</w:t>
      </w:r>
    </w:p>
    <w:p>
      <w:pPr>
        <w:pStyle w:val="Heading3"/>
        <w:spacing w:after="70" w:before="170"/>
      </w:pPr>
      <w:r>
        <w:rPr>
          <w:color w:val="0C8577"/>
        </w:rPr>
        <w:t xml:space="preserve">Integrations (for app-marketplace and “works with” fields)</w:t>
      </w:r>
    </w:p>
    <w:p>
      <w:pPr>
        <w:spacing w:after="120" w:line="276"/>
      </w:pPr>
      <w:r>
        <w:t xml:space="preserve">Channels: voice, SMS, WhatsApp, Messenger, email. Connects to CRM, practice-management, payment and scheduling systems. </w:t>
      </w:r>
      <w:r>
        <w:rPr>
          <w:b/>
          <w:bCs/>
          <w:color w:val="0C8577"/>
          <w:sz w:val="16"/>
          <w:szCs w:val="16"/>
        </w:rPr>
        <w:t xml:space="preserve">CONFIRM the named integrations and any partner marketplaces (for example GoHighLevel, HubSpot, Salesforce, Zapier, Twilio) so the kit lists only real ones.</w:t>
      </w:r>
    </w:p>
    <w:p>
      <w:pPr>
        <w:pStyle w:val="Heading1"/>
        <w:spacing w:after="140" w:before="320"/>
      </w:pPr>
      <w:r>
        <w:rPr>
          <w:color w:val="0E1B22"/>
        </w:rPr>
        <w:t xml:space="preserve">5 · Assets to attach</w:t>
      </w:r>
    </w:p>
    <w:p>
      <w:pPr>
        <w:spacing w:after="120" w:line="276"/>
      </w:pPr>
      <w:r>
        <w:t xml:space="preserve">Directories ask for images and sometimes a video. Prepare these once and reuse them.</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3400"/>
        <w:gridCol w:w="4200"/>
        <w:gridCol w:w="1600"/>
      </w:tblGrid>
      <w:tr>
        <w:trPr>
          <w:tblHeader/>
        </w:trPr>
        <w:tc>
          <w:tcPr>
            <w:tcW w:type="dxa" w:w="3400"/>
            <w:shd w:fill="0E1B22" w:color="auto" w:val="clear"/>
            <w:tcMar>
              <w:top w:type="dxa" w:w="60"/>
              <w:left w:type="dxa" w:w="100"/>
              <w:bottom w:type="dxa" w:w="60"/>
              <w:right w:type="dxa" w:w="100"/>
            </w:tcMar>
          </w:tcPr>
          <w:p>
            <w:r>
              <w:rPr>
                <w:b/>
                <w:bCs/>
                <w:color w:val="FFFFFF"/>
                <w:sz w:val="17"/>
                <w:szCs w:val="17"/>
              </w:rPr>
              <w:t xml:space="preserve">Asset</w:t>
            </w:r>
          </w:p>
        </w:tc>
        <w:tc>
          <w:tcPr>
            <w:tcW w:type="dxa" w:w="4200"/>
            <w:shd w:fill="0E1B22" w:color="auto" w:val="clear"/>
            <w:tcMar>
              <w:top w:type="dxa" w:w="60"/>
              <w:left w:type="dxa" w:w="100"/>
              <w:bottom w:type="dxa" w:w="60"/>
              <w:right w:type="dxa" w:w="100"/>
            </w:tcMar>
          </w:tcPr>
          <w:p>
            <w:r>
              <w:rPr>
                <w:b/>
                <w:bCs/>
                <w:color w:val="FFFFFF"/>
                <w:sz w:val="17"/>
                <w:szCs w:val="17"/>
              </w:rPr>
              <w:t xml:space="preserve">Spec</w:t>
            </w:r>
          </w:p>
        </w:tc>
        <w:tc>
          <w:tcPr>
            <w:tcW w:type="dxa" w:w="1600"/>
            <w:shd w:fill="0E1B22" w:color="auto" w:val="clear"/>
            <w:tcMar>
              <w:top w:type="dxa" w:w="60"/>
              <w:left w:type="dxa" w:w="100"/>
              <w:bottom w:type="dxa" w:w="60"/>
              <w:right w:type="dxa" w:w="100"/>
            </w:tcMar>
          </w:tcPr>
          <w:p>
            <w:r>
              <w:rPr>
                <w:b/>
                <w:bCs/>
                <w:color w:val="FFFFFF"/>
                <w:sz w:val="17"/>
                <w:szCs w:val="17"/>
              </w:rPr>
              <w:t xml:space="preserve">Status</w:t>
            </w:r>
          </w:p>
        </w:tc>
      </w:tr>
      <w:tr>
        <w:tc>
          <w:tcPr>
            <w:tcW w:type="dxa" w:w="3400"/>
            <w:tcMar>
              <w:top w:type="dxa" w:w="50"/>
              <w:left w:type="dxa" w:w="100"/>
              <w:bottom w:type="dxa" w:w="50"/>
              <w:right w:type="dxa" w:w="100"/>
            </w:tcMar>
          </w:tcPr>
          <w:p>
            <w:pPr>
              <w:spacing w:line="250"/>
            </w:pPr>
            <w:r>
              <w:rPr>
                <w:sz w:val="18"/>
                <w:szCs w:val="18"/>
              </w:rPr>
              <w:t xml:space="preserve">Logo (square)</w:t>
            </w:r>
          </w:p>
        </w:tc>
        <w:tc>
          <w:tcPr>
            <w:tcW w:type="dxa" w:w="4200"/>
            <w:tcMar>
              <w:top w:type="dxa" w:w="50"/>
              <w:left w:type="dxa" w:w="100"/>
              <w:bottom w:type="dxa" w:w="50"/>
              <w:right w:type="dxa" w:w="100"/>
            </w:tcMar>
          </w:tcPr>
          <w:p>
            <w:pPr>
              <w:spacing w:line="250"/>
            </w:pPr>
            <w:r>
              <w:rPr>
                <w:sz w:val="18"/>
                <w:szCs w:val="18"/>
              </w:rPr>
              <w:t xml:space="preserve">512×512 PNG, transparent</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Logo (horizontal)</w:t>
            </w:r>
          </w:p>
        </w:tc>
        <w:tc>
          <w:tcPr>
            <w:tcW w:type="dxa" w:w="4200"/>
            <w:tcMar>
              <w:top w:type="dxa" w:w="50"/>
              <w:left w:type="dxa" w:w="100"/>
              <w:bottom w:type="dxa" w:w="50"/>
              <w:right w:type="dxa" w:w="100"/>
            </w:tcMar>
          </w:tcPr>
          <w:p>
            <w:pPr>
              <w:spacing w:line="250"/>
            </w:pPr>
            <w:r>
              <w:rPr>
                <w:sz w:val="18"/>
                <w:szCs w:val="18"/>
              </w:rPr>
              <w:t xml:space="preserve">SVG + PNG, transparent</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Icon / favicon</w:t>
            </w:r>
          </w:p>
        </w:tc>
        <w:tc>
          <w:tcPr>
            <w:tcW w:type="dxa" w:w="4200"/>
            <w:tcMar>
              <w:top w:type="dxa" w:w="50"/>
              <w:left w:type="dxa" w:w="100"/>
              <w:bottom w:type="dxa" w:w="50"/>
              <w:right w:type="dxa" w:w="100"/>
            </w:tcMar>
          </w:tcPr>
          <w:p>
            <w:pPr>
              <w:spacing w:line="250"/>
            </w:pPr>
            <w:r>
              <w:rPr>
                <w:sz w:val="18"/>
                <w:szCs w:val="18"/>
              </w:rPr>
              <w:t xml:space="preserve">256×256 PNG</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Screenshots</w:t>
            </w:r>
          </w:p>
        </w:tc>
        <w:tc>
          <w:tcPr>
            <w:tcW w:type="dxa" w:w="4200"/>
            <w:tcMar>
              <w:top w:type="dxa" w:w="50"/>
              <w:left w:type="dxa" w:w="100"/>
              <w:bottom w:type="dxa" w:w="50"/>
              <w:right w:type="dxa" w:w="100"/>
            </w:tcMar>
          </w:tcPr>
          <w:p>
            <w:pPr>
              <w:spacing w:line="250"/>
            </w:pPr>
            <w:r>
              <w:rPr>
                <w:sz w:val="18"/>
                <w:szCs w:val="18"/>
              </w:rPr>
              <w:t xml:space="preserve">3/5, 1280×800 PNG</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Social / OG image</w:t>
            </w:r>
          </w:p>
        </w:tc>
        <w:tc>
          <w:tcPr>
            <w:tcW w:type="dxa" w:w="4200"/>
            <w:tcMar>
              <w:top w:type="dxa" w:w="50"/>
              <w:left w:type="dxa" w:w="100"/>
              <w:bottom w:type="dxa" w:w="50"/>
              <w:right w:type="dxa" w:w="100"/>
            </w:tcMar>
          </w:tcPr>
          <w:p>
            <w:pPr>
              <w:spacing w:line="250"/>
            </w:pPr>
            <w:r>
              <w:rPr>
                <w:sz w:val="18"/>
                <w:szCs w:val="18"/>
              </w:rPr>
              <w:t xml:space="preserve">1200×630 PNG</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r>
        <w:tc>
          <w:tcPr>
            <w:tcW w:type="dxa" w:w="3400"/>
            <w:tcMar>
              <w:top w:type="dxa" w:w="50"/>
              <w:left w:type="dxa" w:w="100"/>
              <w:bottom w:type="dxa" w:w="50"/>
              <w:right w:type="dxa" w:w="100"/>
            </w:tcMar>
          </w:tcPr>
          <w:p>
            <w:pPr>
              <w:spacing w:line="250"/>
            </w:pPr>
            <w:r>
              <w:rPr>
                <w:sz w:val="18"/>
                <w:szCs w:val="18"/>
              </w:rPr>
              <w:t xml:space="preserve">Demo video</w:t>
            </w:r>
          </w:p>
        </w:tc>
        <w:tc>
          <w:tcPr>
            <w:tcW w:type="dxa" w:w="4200"/>
            <w:tcMar>
              <w:top w:type="dxa" w:w="50"/>
              <w:left w:type="dxa" w:w="100"/>
              <w:bottom w:type="dxa" w:w="50"/>
              <w:right w:type="dxa" w:w="100"/>
            </w:tcMar>
          </w:tcPr>
          <w:p>
            <w:pPr>
              <w:spacing w:line="250"/>
            </w:pPr>
            <w:r>
              <w:rPr>
                <w:sz w:val="18"/>
                <w:szCs w:val="18"/>
              </w:rPr>
              <w:t xml:space="preserve">60/90s, YouTube link</w:t>
            </w:r>
          </w:p>
        </w:tc>
        <w:tc>
          <w:tcPr>
            <w:tcW w:type="dxa" w:w="1600"/>
            <w:tcMar>
              <w:top w:type="dxa" w:w="50"/>
              <w:left w:type="dxa" w:w="100"/>
              <w:bottom w:type="dxa" w:w="50"/>
              <w:right w:type="dxa" w:w="100"/>
            </w:tcMar>
          </w:tcPr>
          <w:p>
            <w:pPr>
              <w:spacing w:line="250"/>
            </w:pPr>
            <w:r>
              <w:rPr>
                <w:b/>
                <w:bCs/>
                <w:color w:val="0C8577"/>
                <w:sz w:val="16"/>
                <w:szCs w:val="16"/>
              </w:rPr>
              <w:t xml:space="preserve">ASSET / CONFIRM</w:t>
            </w:r>
          </w:p>
        </w:tc>
      </w:tr>
      <w:tr>
        <w:tc>
          <w:tcPr>
            <w:tcW w:type="dxa" w:w="3400"/>
            <w:tcMar>
              <w:top w:type="dxa" w:w="50"/>
              <w:left w:type="dxa" w:w="100"/>
              <w:bottom w:type="dxa" w:w="50"/>
              <w:right w:type="dxa" w:w="100"/>
            </w:tcMar>
          </w:tcPr>
          <w:p>
            <w:pPr>
              <w:spacing w:line="250"/>
            </w:pPr>
            <w:r>
              <w:rPr>
                <w:sz w:val="18"/>
                <w:szCs w:val="18"/>
              </w:rPr>
              <w:t xml:space="preserve">Founder headshots</w:t>
            </w:r>
          </w:p>
        </w:tc>
        <w:tc>
          <w:tcPr>
            <w:tcW w:type="dxa" w:w="4200"/>
            <w:tcMar>
              <w:top w:type="dxa" w:w="50"/>
              <w:left w:type="dxa" w:w="100"/>
              <w:bottom w:type="dxa" w:w="50"/>
              <w:right w:type="dxa" w:w="100"/>
            </w:tcMar>
          </w:tcPr>
          <w:p>
            <w:pPr>
              <w:spacing w:line="250"/>
            </w:pPr>
            <w:r>
              <w:rPr>
                <w:sz w:val="18"/>
                <w:szCs w:val="18"/>
              </w:rPr>
              <w:t xml:space="preserve">square, ≥600×600</w:t>
            </w:r>
          </w:p>
        </w:tc>
        <w:tc>
          <w:tcPr>
            <w:tcW w:type="dxa" w:w="1600"/>
            <w:tcMar>
              <w:top w:type="dxa" w:w="50"/>
              <w:left w:type="dxa" w:w="100"/>
              <w:bottom w:type="dxa" w:w="50"/>
              <w:right w:type="dxa" w:w="100"/>
            </w:tcMar>
          </w:tcPr>
          <w:p>
            <w:pPr>
              <w:spacing w:line="250"/>
            </w:pPr>
            <w:r>
              <w:rPr>
                <w:b/>
                <w:bCs/>
                <w:color w:val="0C8577"/>
                <w:sz w:val="16"/>
                <w:szCs w:val="16"/>
              </w:rPr>
              <w:t xml:space="preserve">ASSET</w:t>
            </w:r>
          </w:p>
        </w:tc>
      </w:tr>
    </w:tbl>
    <w:p>
      <w:r>
        <w:br w:type="page"/>
      </w:r>
    </w:p>
    <w:p>
      <w:pPr>
        <w:pStyle w:val="Heading1"/>
        <w:spacing w:after="140" w:before="320"/>
      </w:pPr>
      <w:r>
        <w:rPr>
          <w:color w:val="0E1B22"/>
        </w:rPr>
        <w:t xml:space="preserve">6 · Target directories &amp; marketplaces</w:t>
      </w:r>
    </w:p>
    <w:p>
      <w:pPr>
        <w:spacing w:after="120" w:line="276"/>
      </w:pPr>
      <w:r>
        <w:t xml:space="preserve">Grouped by type and priority. P1 = do first (highest trust / traffic / backlink value). Claim an existing profile where one exists rather than creating a duplicate.</w:t>
      </w:r>
    </w:p>
    <w:p>
      <w:pPr>
        <w:pStyle w:val="Heading2"/>
        <w:spacing w:after="100" w:before="240"/>
      </w:pPr>
      <w:r>
        <w:rPr>
          <w:color w:val="0E1B22"/>
        </w:rPr>
        <w:t xml:space="preserve">6.1 Software review sites (P1: highest trust &amp; buyer intent)</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500"/>
        <w:gridCol w:w="1100"/>
        <w:gridCol w:w="5600"/>
      </w:tblGrid>
      <w:tr>
        <w:trPr>
          <w:tblHeader/>
        </w:trPr>
        <w:tc>
          <w:tcPr>
            <w:tcW w:type="dxa" w:w="2500"/>
            <w:shd w:fill="0E1B22" w:color="auto" w:val="clear"/>
            <w:tcMar>
              <w:top w:type="dxa" w:w="60"/>
              <w:left w:type="dxa" w:w="100"/>
              <w:bottom w:type="dxa" w:w="60"/>
              <w:right w:type="dxa" w:w="100"/>
            </w:tcMar>
          </w:tcPr>
          <w:p>
            <w:r>
              <w:rPr>
                <w:b/>
                <w:bCs/>
                <w:color w:val="FFFFFF"/>
                <w:sz w:val="17"/>
                <w:szCs w:val="17"/>
              </w:rPr>
              <w:t xml:space="preserve">Platform</w:t>
            </w:r>
          </w:p>
        </w:tc>
        <w:tc>
          <w:tcPr>
            <w:tcW w:type="dxa" w:w="1100"/>
            <w:shd w:fill="0E1B22" w:color="auto" w:val="clear"/>
            <w:tcMar>
              <w:top w:type="dxa" w:w="60"/>
              <w:left w:type="dxa" w:w="100"/>
              <w:bottom w:type="dxa" w:w="60"/>
              <w:right w:type="dxa" w:w="100"/>
            </w:tcMar>
          </w:tcPr>
          <w:p>
            <w:r>
              <w:rPr>
                <w:b/>
                <w:bCs/>
                <w:color w:val="FFFFFF"/>
                <w:sz w:val="17"/>
                <w:szCs w:val="17"/>
              </w:rPr>
              <w:t xml:space="preserve">Priority</w:t>
            </w:r>
          </w:p>
        </w:tc>
        <w:tc>
          <w:tcPr>
            <w:tcW w:type="dxa" w:w="5600"/>
            <w:shd w:fill="0E1B22" w:color="auto" w:val="clear"/>
            <w:tcMar>
              <w:top w:type="dxa" w:w="60"/>
              <w:left w:type="dxa" w:w="100"/>
              <w:bottom w:type="dxa" w:w="60"/>
              <w:right w:type="dxa" w:w="100"/>
            </w:tcMar>
          </w:tcPr>
          <w:p>
            <w:r>
              <w:rPr>
                <w:b/>
                <w:bCs/>
                <w:color w:val="FFFFFF"/>
                <w:sz w:val="17"/>
                <w:szCs w:val="17"/>
              </w:rPr>
              <w:t xml:space="preserve">Notes</w:t>
            </w:r>
          </w:p>
        </w:tc>
      </w:tr>
      <w:tr>
        <w:tc>
          <w:tcPr>
            <w:tcW w:type="dxa" w:w="2500"/>
            <w:tcMar>
              <w:top w:type="dxa" w:w="50"/>
              <w:left w:type="dxa" w:w="100"/>
              <w:bottom w:type="dxa" w:w="50"/>
              <w:right w:type="dxa" w:w="100"/>
            </w:tcMar>
          </w:tcPr>
          <w:p>
            <w:pPr>
              <w:spacing w:line="250"/>
            </w:pPr>
            <w:r>
              <w:rPr>
                <w:sz w:val="18"/>
                <w:szCs w:val="18"/>
              </w:rPr>
              <w:t xml:space="preserve">G2</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Category: Conversational AI / Contact Center. Reviews-driven; seed with existing happy customers (see §8).</w:t>
            </w:r>
          </w:p>
        </w:tc>
      </w:tr>
      <w:tr>
        <w:tc>
          <w:tcPr>
            <w:tcW w:type="dxa" w:w="2500"/>
            <w:tcMar>
              <w:top w:type="dxa" w:w="50"/>
              <w:left w:type="dxa" w:w="100"/>
              <w:bottom w:type="dxa" w:w="50"/>
              <w:right w:type="dxa" w:w="100"/>
            </w:tcMar>
          </w:tcPr>
          <w:p>
            <w:pPr>
              <w:spacing w:line="250"/>
            </w:pPr>
            <w:r>
              <w:rPr>
                <w:sz w:val="18"/>
                <w:szCs w:val="18"/>
              </w:rPr>
              <w:t xml:space="preserve">Capterra / GetApp / Software Advice</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One Gartner Digital Markets profile syndicates across all three.</w:t>
            </w:r>
          </w:p>
        </w:tc>
      </w:tr>
      <w:tr>
        <w:tc>
          <w:tcPr>
            <w:tcW w:type="dxa" w:w="2500"/>
            <w:tcMar>
              <w:top w:type="dxa" w:w="50"/>
              <w:left w:type="dxa" w:w="100"/>
              <w:bottom w:type="dxa" w:w="50"/>
              <w:right w:type="dxa" w:w="100"/>
            </w:tcMar>
          </w:tcPr>
          <w:p>
            <w:pPr>
              <w:spacing w:line="250"/>
            </w:pPr>
            <w:r>
              <w:rPr>
                <w:sz w:val="18"/>
                <w:szCs w:val="18"/>
              </w:rPr>
              <w:t xml:space="preserve">TrustRadius</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Long-form reviews; strong for enterprise buyers.</w:t>
            </w:r>
          </w:p>
        </w:tc>
      </w:tr>
      <w:tr>
        <w:tc>
          <w:tcPr>
            <w:tcW w:type="dxa" w:w="2500"/>
            <w:tcMar>
              <w:top w:type="dxa" w:w="50"/>
              <w:left w:type="dxa" w:w="100"/>
              <w:bottom w:type="dxa" w:w="50"/>
              <w:right w:type="dxa" w:w="100"/>
            </w:tcMar>
          </w:tcPr>
          <w:p>
            <w:pPr>
              <w:spacing w:line="250"/>
            </w:pPr>
            <w:r>
              <w:rPr>
                <w:sz w:val="18"/>
                <w:szCs w:val="18"/>
              </w:rPr>
              <w:t xml:space="preserve">Trustpilot</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Already live at 4.6/5. Keep review flow active; link from site footer.</w:t>
            </w:r>
          </w:p>
        </w:tc>
      </w:tr>
      <w:tr>
        <w:tc>
          <w:tcPr>
            <w:tcW w:type="dxa" w:w="2500"/>
            <w:tcMar>
              <w:top w:type="dxa" w:w="50"/>
              <w:left w:type="dxa" w:w="100"/>
              <w:bottom w:type="dxa" w:w="50"/>
              <w:right w:type="dxa" w:w="100"/>
            </w:tcMar>
          </w:tcPr>
          <w:p>
            <w:pPr>
              <w:spacing w:line="250"/>
            </w:pPr>
            <w:r>
              <w:rPr>
                <w:sz w:val="18"/>
                <w:szCs w:val="18"/>
              </w:rPr>
              <w:t xml:space="preserve">Gartner Peer Insights</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Enterprise credibility; slower review process.</w:t>
            </w:r>
          </w:p>
        </w:tc>
      </w:tr>
    </w:tbl>
    <w:p>
      <w:pPr>
        <w:pStyle w:val="Heading2"/>
        <w:spacing w:after="100" w:before="240"/>
      </w:pPr>
      <w:r>
        <w:rPr>
          <w:color w:val="0E1B22"/>
        </w:rPr>
        <w:t xml:space="preserve">6.2 AI-tool directories (P1/P2: discovery &amp; GEO citations)</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500"/>
        <w:gridCol w:w="1100"/>
        <w:gridCol w:w="5600"/>
      </w:tblGrid>
      <w:tr>
        <w:trPr>
          <w:tblHeader/>
        </w:trPr>
        <w:tc>
          <w:tcPr>
            <w:tcW w:type="dxa" w:w="2500"/>
            <w:shd w:fill="0E1B22" w:color="auto" w:val="clear"/>
            <w:tcMar>
              <w:top w:type="dxa" w:w="60"/>
              <w:left w:type="dxa" w:w="100"/>
              <w:bottom w:type="dxa" w:w="60"/>
              <w:right w:type="dxa" w:w="100"/>
            </w:tcMar>
          </w:tcPr>
          <w:p>
            <w:r>
              <w:rPr>
                <w:b/>
                <w:bCs/>
                <w:color w:val="FFFFFF"/>
                <w:sz w:val="17"/>
                <w:szCs w:val="17"/>
              </w:rPr>
              <w:t xml:space="preserve">Platform</w:t>
            </w:r>
          </w:p>
        </w:tc>
        <w:tc>
          <w:tcPr>
            <w:tcW w:type="dxa" w:w="1100"/>
            <w:shd w:fill="0E1B22" w:color="auto" w:val="clear"/>
            <w:tcMar>
              <w:top w:type="dxa" w:w="60"/>
              <w:left w:type="dxa" w:w="100"/>
              <w:bottom w:type="dxa" w:w="60"/>
              <w:right w:type="dxa" w:w="100"/>
            </w:tcMar>
          </w:tcPr>
          <w:p>
            <w:r>
              <w:rPr>
                <w:b/>
                <w:bCs/>
                <w:color w:val="FFFFFF"/>
                <w:sz w:val="17"/>
                <w:szCs w:val="17"/>
              </w:rPr>
              <w:t xml:space="preserve">Priority</w:t>
            </w:r>
          </w:p>
        </w:tc>
        <w:tc>
          <w:tcPr>
            <w:tcW w:type="dxa" w:w="5600"/>
            <w:shd w:fill="0E1B22" w:color="auto" w:val="clear"/>
            <w:tcMar>
              <w:top w:type="dxa" w:w="60"/>
              <w:left w:type="dxa" w:w="100"/>
              <w:bottom w:type="dxa" w:w="60"/>
              <w:right w:type="dxa" w:w="100"/>
            </w:tcMar>
          </w:tcPr>
          <w:p>
            <w:r>
              <w:rPr>
                <w:b/>
                <w:bCs/>
                <w:color w:val="FFFFFF"/>
                <w:sz w:val="17"/>
                <w:szCs w:val="17"/>
              </w:rPr>
              <w:t xml:space="preserve">Notes</w:t>
            </w:r>
          </w:p>
        </w:tc>
      </w:tr>
      <w:tr>
        <w:tc>
          <w:tcPr>
            <w:tcW w:type="dxa" w:w="2500"/>
            <w:tcMar>
              <w:top w:type="dxa" w:w="50"/>
              <w:left w:type="dxa" w:w="100"/>
              <w:bottom w:type="dxa" w:w="50"/>
              <w:right w:type="dxa" w:w="100"/>
            </w:tcMar>
          </w:tcPr>
          <w:p>
            <w:pPr>
              <w:spacing w:line="250"/>
            </w:pPr>
            <w:r>
              <w:rPr>
                <w:sz w:val="18"/>
                <w:szCs w:val="18"/>
              </w:rPr>
              <w:t xml:space="preserve">There's An AI For That</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High-traffic AI directory; voice-agent category.</w:t>
            </w:r>
          </w:p>
        </w:tc>
      </w:tr>
      <w:tr>
        <w:tc>
          <w:tcPr>
            <w:tcW w:type="dxa" w:w="2500"/>
            <w:tcMar>
              <w:top w:type="dxa" w:w="50"/>
              <w:left w:type="dxa" w:w="100"/>
              <w:bottom w:type="dxa" w:w="50"/>
              <w:right w:type="dxa" w:w="100"/>
            </w:tcMar>
          </w:tcPr>
          <w:p>
            <w:pPr>
              <w:spacing w:line="250"/>
            </w:pPr>
            <w:r>
              <w:rPr>
                <w:sz w:val="18"/>
                <w:szCs w:val="18"/>
              </w:rPr>
              <w:t xml:space="preserve">Futurepedia</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Large AI-tool index; strong referral traffic.</w:t>
            </w:r>
          </w:p>
        </w:tc>
      </w:tr>
      <w:tr>
        <w:tc>
          <w:tcPr>
            <w:tcW w:type="dxa" w:w="2500"/>
            <w:tcMar>
              <w:top w:type="dxa" w:w="50"/>
              <w:left w:type="dxa" w:w="100"/>
              <w:bottom w:type="dxa" w:w="50"/>
              <w:right w:type="dxa" w:w="100"/>
            </w:tcMar>
          </w:tcPr>
          <w:p>
            <w:pPr>
              <w:spacing w:line="250"/>
            </w:pPr>
            <w:r>
              <w:rPr>
                <w:sz w:val="18"/>
                <w:szCs w:val="18"/>
              </w:rPr>
              <w:t xml:space="preserve">Toolify.ai</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Aggregated AI-tool listings; good for GEO citations.</w:t>
            </w:r>
          </w:p>
        </w:tc>
      </w:tr>
      <w:tr>
        <w:tc>
          <w:tcPr>
            <w:tcW w:type="dxa" w:w="2500"/>
            <w:tcMar>
              <w:top w:type="dxa" w:w="50"/>
              <w:left w:type="dxa" w:w="100"/>
              <w:bottom w:type="dxa" w:w="50"/>
              <w:right w:type="dxa" w:w="100"/>
            </w:tcMar>
          </w:tcPr>
          <w:p>
            <w:pPr>
              <w:spacing w:line="250"/>
            </w:pPr>
            <w:r>
              <w:rPr>
                <w:sz w:val="18"/>
                <w:szCs w:val="18"/>
              </w:rPr>
              <w:t xml:space="preserve">Future Tools</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Curated; submit for review.</w:t>
            </w:r>
          </w:p>
        </w:tc>
      </w:tr>
      <w:tr>
        <w:tc>
          <w:tcPr>
            <w:tcW w:type="dxa" w:w="2500"/>
            <w:tcMar>
              <w:top w:type="dxa" w:w="50"/>
              <w:left w:type="dxa" w:w="100"/>
              <w:bottom w:type="dxa" w:w="50"/>
              <w:right w:type="dxa" w:w="100"/>
            </w:tcMar>
          </w:tcPr>
          <w:p>
            <w:pPr>
              <w:spacing w:line="250"/>
            </w:pPr>
            <w:r>
              <w:rPr>
                <w:sz w:val="18"/>
                <w:szCs w:val="18"/>
              </w:rPr>
              <w:t xml:space="preserve">AI Scout / TopAI.tools / Insidr</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Volume AI directories; consistent copy from §2.</w:t>
            </w:r>
          </w:p>
        </w:tc>
      </w:tr>
      <w:tr>
        <w:tc>
          <w:tcPr>
            <w:tcW w:type="dxa" w:w="2500"/>
            <w:tcMar>
              <w:top w:type="dxa" w:w="50"/>
              <w:left w:type="dxa" w:w="100"/>
              <w:bottom w:type="dxa" w:w="50"/>
              <w:right w:type="dxa" w:w="100"/>
            </w:tcMar>
          </w:tcPr>
          <w:p>
            <w:pPr>
              <w:spacing w:line="250"/>
            </w:pPr>
            <w:r>
              <w:rPr>
                <w:sz w:val="18"/>
                <w:szCs w:val="18"/>
              </w:rPr>
              <w:t xml:space="preserve">Voice AI Space</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Niche voice-AI directory; already indexed: claim/verify listing.</w:t>
            </w:r>
          </w:p>
        </w:tc>
      </w:tr>
    </w:tbl>
    <w:p>
      <w:pPr>
        <w:pStyle w:val="Heading2"/>
        <w:spacing w:after="100" w:before="240"/>
      </w:pPr>
      <w:r>
        <w:rPr>
          <w:color w:val="0E1B22"/>
        </w:rPr>
        <w:t xml:space="preserve">6.3 Startup &amp; company databases (P1/P2: authority &amp; data accuracy)</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500"/>
        <w:gridCol w:w="1100"/>
        <w:gridCol w:w="5600"/>
      </w:tblGrid>
      <w:tr>
        <w:trPr>
          <w:tblHeader/>
        </w:trPr>
        <w:tc>
          <w:tcPr>
            <w:tcW w:type="dxa" w:w="2500"/>
            <w:shd w:fill="0E1B22" w:color="auto" w:val="clear"/>
            <w:tcMar>
              <w:top w:type="dxa" w:w="60"/>
              <w:left w:type="dxa" w:w="100"/>
              <w:bottom w:type="dxa" w:w="60"/>
              <w:right w:type="dxa" w:w="100"/>
            </w:tcMar>
          </w:tcPr>
          <w:p>
            <w:r>
              <w:rPr>
                <w:b/>
                <w:bCs/>
                <w:color w:val="FFFFFF"/>
                <w:sz w:val="17"/>
                <w:szCs w:val="17"/>
              </w:rPr>
              <w:t xml:space="preserve">Platform</w:t>
            </w:r>
          </w:p>
        </w:tc>
        <w:tc>
          <w:tcPr>
            <w:tcW w:type="dxa" w:w="1100"/>
            <w:shd w:fill="0E1B22" w:color="auto" w:val="clear"/>
            <w:tcMar>
              <w:top w:type="dxa" w:w="60"/>
              <w:left w:type="dxa" w:w="100"/>
              <w:bottom w:type="dxa" w:w="60"/>
              <w:right w:type="dxa" w:w="100"/>
            </w:tcMar>
          </w:tcPr>
          <w:p>
            <w:r>
              <w:rPr>
                <w:b/>
                <w:bCs/>
                <w:color w:val="FFFFFF"/>
                <w:sz w:val="17"/>
                <w:szCs w:val="17"/>
              </w:rPr>
              <w:t xml:space="preserve">Priority</w:t>
            </w:r>
          </w:p>
        </w:tc>
        <w:tc>
          <w:tcPr>
            <w:tcW w:type="dxa" w:w="5600"/>
            <w:shd w:fill="0E1B22" w:color="auto" w:val="clear"/>
            <w:tcMar>
              <w:top w:type="dxa" w:w="60"/>
              <w:left w:type="dxa" w:w="100"/>
              <w:bottom w:type="dxa" w:w="60"/>
              <w:right w:type="dxa" w:w="100"/>
            </w:tcMar>
          </w:tcPr>
          <w:p>
            <w:r>
              <w:rPr>
                <w:b/>
                <w:bCs/>
                <w:color w:val="FFFFFF"/>
                <w:sz w:val="17"/>
                <w:szCs w:val="17"/>
              </w:rPr>
              <w:t xml:space="preserve">Notes</w:t>
            </w:r>
          </w:p>
        </w:tc>
      </w:tr>
      <w:tr>
        <w:tc>
          <w:tcPr>
            <w:tcW w:type="dxa" w:w="2500"/>
            <w:tcMar>
              <w:top w:type="dxa" w:w="50"/>
              <w:left w:type="dxa" w:w="100"/>
              <w:bottom w:type="dxa" w:w="50"/>
              <w:right w:type="dxa" w:w="100"/>
            </w:tcMar>
          </w:tcPr>
          <w:p>
            <w:pPr>
              <w:spacing w:line="250"/>
            </w:pPr>
            <w:r>
              <w:rPr>
                <w:sz w:val="18"/>
                <w:szCs w:val="18"/>
              </w:rPr>
              <w:t xml:space="preserve">Crunchbase</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Claim the profile; fix any name-collision data (see §7). Do NOT enter unverified funding.</w:t>
            </w:r>
          </w:p>
        </w:tc>
      </w:tr>
      <w:tr>
        <w:tc>
          <w:tcPr>
            <w:tcW w:type="dxa" w:w="2500"/>
            <w:tcMar>
              <w:top w:type="dxa" w:w="50"/>
              <w:left w:type="dxa" w:w="100"/>
              <w:bottom w:type="dxa" w:w="50"/>
              <w:right w:type="dxa" w:w="100"/>
            </w:tcMar>
          </w:tcPr>
          <w:p>
            <w:pPr>
              <w:spacing w:line="250"/>
            </w:pPr>
            <w:r>
              <w:rPr>
                <w:sz w:val="18"/>
                <w:szCs w:val="18"/>
              </w:rPr>
              <w:t xml:space="preserve">Product Hunt</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Plan a proper launch; do not submit a bare listing. Coordinate reviews/upvotes.</w:t>
            </w:r>
          </w:p>
        </w:tc>
      </w:tr>
      <w:tr>
        <w:tc>
          <w:tcPr>
            <w:tcW w:type="dxa" w:w="2500"/>
            <w:tcMar>
              <w:top w:type="dxa" w:w="50"/>
              <w:left w:type="dxa" w:w="100"/>
              <w:bottom w:type="dxa" w:w="50"/>
              <w:right w:type="dxa" w:w="100"/>
            </w:tcMar>
          </w:tcPr>
          <w:p>
            <w:pPr>
              <w:spacing w:line="250"/>
            </w:pPr>
            <w:r>
              <w:rPr>
                <w:sz w:val="18"/>
                <w:szCs w:val="18"/>
              </w:rPr>
              <w:t xml:space="preserve">Wellfound (AngelList)</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Company + jobs profile.</w:t>
            </w:r>
          </w:p>
        </w:tc>
      </w:tr>
      <w:tr>
        <w:tc>
          <w:tcPr>
            <w:tcW w:type="dxa" w:w="2500"/>
            <w:tcMar>
              <w:top w:type="dxa" w:w="50"/>
              <w:left w:type="dxa" w:w="100"/>
              <w:bottom w:type="dxa" w:w="50"/>
              <w:right w:type="dxa" w:w="100"/>
            </w:tcMar>
          </w:tcPr>
          <w:p>
            <w:pPr>
              <w:spacing w:line="250"/>
            </w:pPr>
            <w:r>
              <w:rPr>
                <w:sz w:val="18"/>
                <w:szCs w:val="18"/>
              </w:rPr>
              <w:t xml:space="preserve">F6S / BetaList / StartupStash</w:t>
            </w:r>
          </w:p>
        </w:tc>
        <w:tc>
          <w:tcPr>
            <w:tcW w:type="dxa" w:w="1100"/>
            <w:tcMar>
              <w:top w:type="dxa" w:w="50"/>
              <w:left w:type="dxa" w:w="100"/>
              <w:bottom w:type="dxa" w:w="50"/>
              <w:right w:type="dxa" w:w="100"/>
            </w:tcMar>
          </w:tcPr>
          <w:p>
            <w:pPr>
              <w:spacing w:line="250"/>
            </w:pPr>
            <w:r>
              <w:rPr>
                <w:sz w:val="18"/>
                <w:szCs w:val="18"/>
              </w:rPr>
              <w:t xml:space="preserve">P3</w:t>
            </w:r>
          </w:p>
        </w:tc>
        <w:tc>
          <w:tcPr>
            <w:tcW w:type="dxa" w:w="5600"/>
            <w:tcMar>
              <w:top w:type="dxa" w:w="50"/>
              <w:left w:type="dxa" w:w="100"/>
              <w:bottom w:type="dxa" w:w="50"/>
              <w:right w:type="dxa" w:w="100"/>
            </w:tcMar>
          </w:tcPr>
          <w:p>
            <w:pPr>
              <w:spacing w:line="250"/>
            </w:pPr>
            <w:r>
              <w:rPr>
                <w:sz w:val="18"/>
                <w:szCs w:val="18"/>
              </w:rPr>
              <w:t xml:space="preserve">Volume startup directories; backlinks.</w:t>
            </w:r>
          </w:p>
        </w:tc>
      </w:tr>
      <w:tr>
        <w:tc>
          <w:tcPr>
            <w:tcW w:type="dxa" w:w="2500"/>
            <w:tcMar>
              <w:top w:type="dxa" w:w="50"/>
              <w:left w:type="dxa" w:w="100"/>
              <w:bottom w:type="dxa" w:w="50"/>
              <w:right w:type="dxa" w:w="100"/>
            </w:tcMar>
          </w:tcPr>
          <w:p>
            <w:pPr>
              <w:spacing w:line="250"/>
            </w:pPr>
            <w:r>
              <w:rPr>
                <w:sz w:val="18"/>
                <w:szCs w:val="18"/>
              </w:rPr>
              <w:t xml:space="preserve">Tracxn / PitchBook</w:t>
            </w:r>
          </w:p>
        </w:tc>
        <w:tc>
          <w:tcPr>
            <w:tcW w:type="dxa" w:w="1100"/>
            <w:tcMar>
              <w:top w:type="dxa" w:w="50"/>
              <w:left w:type="dxa" w:w="100"/>
              <w:bottom w:type="dxa" w:w="50"/>
              <w:right w:type="dxa" w:w="100"/>
            </w:tcMar>
          </w:tcPr>
          <w:p>
            <w:pPr>
              <w:spacing w:line="250"/>
            </w:pPr>
            <w:r>
              <w:rPr>
                <w:sz w:val="18"/>
                <w:szCs w:val="18"/>
              </w:rPr>
              <w:t xml:space="preserve">P3</w:t>
            </w:r>
          </w:p>
        </w:tc>
        <w:tc>
          <w:tcPr>
            <w:tcW w:type="dxa" w:w="5600"/>
            <w:tcMar>
              <w:top w:type="dxa" w:w="50"/>
              <w:left w:type="dxa" w:w="100"/>
              <w:bottom w:type="dxa" w:w="50"/>
              <w:right w:type="dxa" w:w="100"/>
            </w:tcMar>
          </w:tcPr>
          <w:p>
            <w:pPr>
              <w:spacing w:line="250"/>
            </w:pPr>
            <w:r>
              <w:rPr>
                <w:sz w:val="18"/>
                <w:szCs w:val="18"/>
              </w:rPr>
              <w:t xml:space="preserve">Data platforms; correct the record, monitor for collisions.</w:t>
            </w:r>
          </w:p>
        </w:tc>
      </w:tr>
    </w:tbl>
    <w:p>
      <w:pPr>
        <w:pStyle w:val="Heading2"/>
        <w:spacing w:after="100" w:before="240"/>
      </w:pPr>
      <w:r>
        <w:rPr>
          <w:color w:val="0E1B22"/>
        </w:rPr>
        <w:t xml:space="preserve">6.4 Business &amp; local citations (P2: NAP consistency)</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500"/>
        <w:gridCol w:w="1100"/>
        <w:gridCol w:w="5600"/>
      </w:tblGrid>
      <w:tr>
        <w:trPr>
          <w:tblHeader/>
        </w:trPr>
        <w:tc>
          <w:tcPr>
            <w:tcW w:type="dxa" w:w="2500"/>
            <w:shd w:fill="0E1B22" w:color="auto" w:val="clear"/>
            <w:tcMar>
              <w:top w:type="dxa" w:w="60"/>
              <w:left w:type="dxa" w:w="100"/>
              <w:bottom w:type="dxa" w:w="60"/>
              <w:right w:type="dxa" w:w="100"/>
            </w:tcMar>
          </w:tcPr>
          <w:p>
            <w:r>
              <w:rPr>
                <w:b/>
                <w:bCs/>
                <w:color w:val="FFFFFF"/>
                <w:sz w:val="17"/>
                <w:szCs w:val="17"/>
              </w:rPr>
              <w:t xml:space="preserve">Platform</w:t>
            </w:r>
          </w:p>
        </w:tc>
        <w:tc>
          <w:tcPr>
            <w:tcW w:type="dxa" w:w="1100"/>
            <w:shd w:fill="0E1B22" w:color="auto" w:val="clear"/>
            <w:tcMar>
              <w:top w:type="dxa" w:w="60"/>
              <w:left w:type="dxa" w:w="100"/>
              <w:bottom w:type="dxa" w:w="60"/>
              <w:right w:type="dxa" w:w="100"/>
            </w:tcMar>
          </w:tcPr>
          <w:p>
            <w:r>
              <w:rPr>
                <w:b/>
                <w:bCs/>
                <w:color w:val="FFFFFF"/>
                <w:sz w:val="17"/>
                <w:szCs w:val="17"/>
              </w:rPr>
              <w:t xml:space="preserve">Priority</w:t>
            </w:r>
          </w:p>
        </w:tc>
        <w:tc>
          <w:tcPr>
            <w:tcW w:type="dxa" w:w="5600"/>
            <w:shd w:fill="0E1B22" w:color="auto" w:val="clear"/>
            <w:tcMar>
              <w:top w:type="dxa" w:w="60"/>
              <w:left w:type="dxa" w:w="100"/>
              <w:bottom w:type="dxa" w:w="60"/>
              <w:right w:type="dxa" w:w="100"/>
            </w:tcMar>
          </w:tcPr>
          <w:p>
            <w:r>
              <w:rPr>
                <w:b/>
                <w:bCs/>
                <w:color w:val="FFFFFF"/>
                <w:sz w:val="17"/>
                <w:szCs w:val="17"/>
              </w:rPr>
              <w:t xml:space="preserve">Notes</w:t>
            </w:r>
          </w:p>
        </w:tc>
      </w:tr>
      <w:tr>
        <w:tc>
          <w:tcPr>
            <w:tcW w:type="dxa" w:w="2500"/>
            <w:tcMar>
              <w:top w:type="dxa" w:w="50"/>
              <w:left w:type="dxa" w:w="100"/>
              <w:bottom w:type="dxa" w:w="50"/>
              <w:right w:type="dxa" w:w="100"/>
            </w:tcMar>
          </w:tcPr>
          <w:p>
            <w:pPr>
              <w:spacing w:line="250"/>
            </w:pPr>
            <w:r>
              <w:rPr>
                <w:sz w:val="18"/>
                <w:szCs w:val="18"/>
              </w:rPr>
              <w:t xml:space="preserve">Google Business Profile</w:t>
            </w:r>
          </w:p>
        </w:tc>
        <w:tc>
          <w:tcPr>
            <w:tcW w:type="dxa" w:w="1100"/>
            <w:tcMar>
              <w:top w:type="dxa" w:w="50"/>
              <w:left w:type="dxa" w:w="100"/>
              <w:bottom w:type="dxa" w:w="50"/>
              <w:right w:type="dxa" w:w="100"/>
            </w:tcMar>
          </w:tcPr>
          <w:p>
            <w:pPr>
              <w:spacing w:line="250"/>
            </w:pPr>
            <w:r>
              <w:rPr>
                <w:sz w:val="18"/>
                <w:szCs w:val="18"/>
              </w:rPr>
              <w:t xml:space="preserve">P1</w:t>
            </w:r>
          </w:p>
        </w:tc>
        <w:tc>
          <w:tcPr>
            <w:tcW w:type="dxa" w:w="5600"/>
            <w:tcMar>
              <w:top w:type="dxa" w:w="50"/>
              <w:left w:type="dxa" w:w="100"/>
              <w:bottom w:type="dxa" w:w="50"/>
              <w:right w:type="dxa" w:w="100"/>
            </w:tcMar>
          </w:tcPr>
          <w:p>
            <w:pPr>
              <w:spacing w:line="250"/>
            </w:pPr>
            <w:r>
              <w:rPr>
                <w:sz w:val="18"/>
                <w:szCs w:val="18"/>
              </w:rPr>
              <w:t xml:space="preserve">If eligible; strongest local signal. Use exact NAP from §1.</w:t>
            </w:r>
          </w:p>
        </w:tc>
      </w:tr>
      <w:tr>
        <w:tc>
          <w:tcPr>
            <w:tcW w:type="dxa" w:w="2500"/>
            <w:tcMar>
              <w:top w:type="dxa" w:w="50"/>
              <w:left w:type="dxa" w:w="100"/>
              <w:bottom w:type="dxa" w:w="50"/>
              <w:right w:type="dxa" w:w="100"/>
            </w:tcMar>
          </w:tcPr>
          <w:p>
            <w:pPr>
              <w:spacing w:line="250"/>
            </w:pPr>
            <w:r>
              <w:rPr>
                <w:sz w:val="18"/>
                <w:szCs w:val="18"/>
              </w:rPr>
              <w:t xml:space="preserve">Bing Places / Apple Business Connect</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Mirror the Google profile exactly.</w:t>
            </w:r>
          </w:p>
        </w:tc>
      </w:tr>
      <w:tr>
        <w:tc>
          <w:tcPr>
            <w:tcW w:type="dxa" w:w="2500"/>
            <w:tcMar>
              <w:top w:type="dxa" w:w="50"/>
              <w:left w:type="dxa" w:w="100"/>
              <w:bottom w:type="dxa" w:w="50"/>
              <w:right w:type="dxa" w:w="100"/>
            </w:tcMar>
          </w:tcPr>
          <w:p>
            <w:pPr>
              <w:spacing w:line="250"/>
            </w:pPr>
            <w:r>
              <w:rPr>
                <w:sz w:val="18"/>
                <w:szCs w:val="18"/>
              </w:rPr>
              <w:t xml:space="preserve">Australian directories</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rPr>
                <w:sz w:val="18"/>
                <w:szCs w:val="18"/>
              </w:rPr>
              <w:t xml:space="preserve">Yellow Pages AU, True Local, Hotfrog AU, StartupAus/Cut Through communities. Identical NAP.</w:t>
            </w:r>
          </w:p>
        </w:tc>
      </w:tr>
    </w:tbl>
    <w:p>
      <w:pPr>
        <w:pStyle w:val="Heading2"/>
        <w:spacing w:after="100" w:before="240"/>
      </w:pPr>
      <w:r>
        <w:rPr>
          <w:color w:val="0E1B22"/>
        </w:rPr>
        <w:t xml:space="preserve">6.5 App &amp; integration marketplaces (P2: qualified traffic)</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2500"/>
        <w:gridCol w:w="1100"/>
        <w:gridCol w:w="5600"/>
      </w:tblGrid>
      <w:tr>
        <w:trPr>
          <w:tblHeader/>
        </w:trPr>
        <w:tc>
          <w:tcPr>
            <w:tcW w:type="dxa" w:w="2500"/>
            <w:shd w:fill="0E1B22" w:color="auto" w:val="clear"/>
            <w:tcMar>
              <w:top w:type="dxa" w:w="60"/>
              <w:left w:type="dxa" w:w="100"/>
              <w:bottom w:type="dxa" w:w="60"/>
              <w:right w:type="dxa" w:w="100"/>
            </w:tcMar>
          </w:tcPr>
          <w:p>
            <w:r>
              <w:rPr>
                <w:b/>
                <w:bCs/>
                <w:color w:val="FFFFFF"/>
                <w:sz w:val="17"/>
                <w:szCs w:val="17"/>
              </w:rPr>
              <w:t xml:space="preserve">Platform</w:t>
            </w:r>
          </w:p>
        </w:tc>
        <w:tc>
          <w:tcPr>
            <w:tcW w:type="dxa" w:w="1100"/>
            <w:shd w:fill="0E1B22" w:color="auto" w:val="clear"/>
            <w:tcMar>
              <w:top w:type="dxa" w:w="60"/>
              <w:left w:type="dxa" w:w="100"/>
              <w:bottom w:type="dxa" w:w="60"/>
              <w:right w:type="dxa" w:w="100"/>
            </w:tcMar>
          </w:tcPr>
          <w:p>
            <w:r>
              <w:rPr>
                <w:b/>
                <w:bCs/>
                <w:color w:val="FFFFFF"/>
                <w:sz w:val="17"/>
                <w:szCs w:val="17"/>
              </w:rPr>
              <w:t xml:space="preserve">Priority</w:t>
            </w:r>
          </w:p>
        </w:tc>
        <w:tc>
          <w:tcPr>
            <w:tcW w:type="dxa" w:w="5600"/>
            <w:shd w:fill="0E1B22" w:color="auto" w:val="clear"/>
            <w:tcMar>
              <w:top w:type="dxa" w:w="60"/>
              <w:left w:type="dxa" w:w="100"/>
              <w:bottom w:type="dxa" w:w="60"/>
              <w:right w:type="dxa" w:w="100"/>
            </w:tcMar>
          </w:tcPr>
          <w:p>
            <w:r>
              <w:rPr>
                <w:b/>
                <w:bCs/>
                <w:color w:val="FFFFFF"/>
                <w:sz w:val="17"/>
                <w:szCs w:val="17"/>
              </w:rPr>
              <w:t xml:space="preserve">Notes</w:t>
            </w:r>
          </w:p>
        </w:tc>
      </w:tr>
      <w:tr>
        <w:tc>
          <w:tcPr>
            <w:tcW w:type="dxa" w:w="2500"/>
            <w:tcMar>
              <w:top w:type="dxa" w:w="50"/>
              <w:left w:type="dxa" w:w="100"/>
              <w:bottom w:type="dxa" w:w="50"/>
              <w:right w:type="dxa" w:w="100"/>
            </w:tcMar>
          </w:tcPr>
          <w:p>
            <w:pPr>
              <w:spacing w:line="250"/>
            </w:pPr>
            <w:r>
              <w:rPr>
                <w:sz w:val="18"/>
                <w:szCs w:val="18"/>
              </w:rPr>
              <w:t xml:space="preserve">Partner marketplaces</w:t>
            </w:r>
          </w:p>
        </w:tc>
        <w:tc>
          <w:tcPr>
            <w:tcW w:type="dxa" w:w="1100"/>
            <w:tcMar>
              <w:top w:type="dxa" w:w="50"/>
              <w:left w:type="dxa" w:w="100"/>
              <w:bottom w:type="dxa" w:w="50"/>
              <w:right w:type="dxa" w:w="100"/>
            </w:tcMar>
          </w:tcPr>
          <w:p>
            <w:pPr>
              <w:spacing w:line="250"/>
            </w:pPr>
            <w:r>
              <w:rPr>
                <w:sz w:val="18"/>
                <w:szCs w:val="18"/>
              </w:rPr>
              <w:t xml:space="preserve">P2</w:t>
            </w:r>
          </w:p>
        </w:tc>
        <w:tc>
          <w:tcPr>
            <w:tcW w:type="dxa" w:w="5600"/>
            <w:tcMar>
              <w:top w:type="dxa" w:w="50"/>
              <w:left w:type="dxa" w:w="100"/>
              <w:bottom w:type="dxa" w:w="50"/>
              <w:right w:type="dxa" w:w="100"/>
            </w:tcMar>
          </w:tcPr>
          <w:p>
            <w:pPr>
              <w:spacing w:line="250"/>
            </w:pPr>
            <w:r>
              <w:t xml:space="preserve">List on the marketplaces of tools Trillet integrates with (for example GoHighLevel, HubSpot, Salesforce AppExchange, Zapier, Twilio). </w:t>
            </w:r>
            <w:r>
              <w:rPr>
                <w:b/>
                <w:bCs/>
                <w:color w:val="0C8577"/>
                <w:sz w:val="16"/>
                <w:szCs w:val="16"/>
              </w:rPr>
              <w:t xml:space="preserve">CONFIRM which integrations are real before listing.</w:t>
            </w:r>
          </w:p>
        </w:tc>
      </w:tr>
    </w:tbl>
    <w:p>
      <w:pPr>
        <w:pBdr>
          <w:left w:val="single" w:color="0C8577" w:sz="18" w:space="8"/>
        </w:pBdr>
        <w:shd w:fill="D6ECE7" w:color="auto" w:val="clear"/>
        <w:spacing w:after="140" w:before="60" w:line="264"/>
      </w:pPr>
      <w:r>
        <w:rPr>
          <w:b/>
          <w:bCs/>
          <w:color w:val="0C8577"/>
        </w:rPr>
        <w:t xml:space="preserve">PRIORITY ORDER  </w:t>
      </w:r>
      <w:r>
        <w:t xml:space="preserve">If bandwidth is limited, do the P1 rows first: G2, Capterra (Gartner Digital Markets), TrustRadius, Trustpilot flow, There's An AI For That, Futurepedia, Crunchbase, and a planned Product Hunt launch. These carry the most trust, traffic, and citation value.</w:t>
      </w:r>
    </w:p>
    <w:p>
      <w:r>
        <w:br w:type="page"/>
      </w:r>
    </w:p>
    <w:p>
      <w:pPr>
        <w:pStyle w:val="Heading1"/>
        <w:spacing w:after="140" w:before="320"/>
      </w:pPr>
      <w:r>
        <w:rPr>
          <w:color w:val="0E1B22"/>
        </w:rPr>
        <w:t xml:space="preserve">7 · Consistency &amp; best-practice rules</w:t>
      </w:r>
    </w:p>
    <w:p>
      <w:pPr>
        <w:pStyle w:val="ListParagraph"/>
        <w:numPr>
          <w:ilvl w:val="0"/>
          <w:numId w:val="1"/>
        </w:numPr>
        <w:spacing w:after="60" w:line="264"/>
      </w:pPr>
      <w:r>
        <w:rPr>
          <w:b/>
          <w:bCs/>
        </w:rPr>
        <w:t xml:space="preserve">Identical NAP everywhere. </w:t>
      </w:r>
      <w:r>
        <w:t xml:space="preserve">Name, address and phone must match §1 character-for-character across every listing; inconsistency dilutes the trust signal.</w:t>
      </w:r>
    </w:p>
    <w:p>
      <w:pPr>
        <w:pStyle w:val="ListParagraph"/>
        <w:numPr>
          <w:ilvl w:val="0"/>
          <w:numId w:val="1"/>
        </w:numPr>
        <w:spacing w:after="60" w:line="264"/>
      </w:pPr>
      <w:r>
        <w:rPr>
          <w:b/>
          <w:bCs/>
        </w:rPr>
        <w:t xml:space="preserve">One canonical URL. </w:t>
      </w:r>
      <w:r>
        <w:t xml:space="preserve">Always link to https://www.trillet.ai (the chosen host). Add UTM tags only where a directory allows tracked links.</w:t>
      </w:r>
    </w:p>
    <w:p>
      <w:pPr>
        <w:pStyle w:val="ListParagraph"/>
        <w:numPr>
          <w:ilvl w:val="0"/>
          <w:numId w:val="1"/>
        </w:numPr>
        <w:spacing w:after="60" w:line="264"/>
      </w:pPr>
      <w:r>
        <w:rPr>
          <w:b/>
          <w:bCs/>
        </w:rPr>
        <w:t xml:space="preserve">Claim before you create. </w:t>
      </w:r>
      <w:r>
        <w:t xml:space="preserve">Search each platform first; claim an existing auto-generated profile rather than creating a duplicate.</w:t>
      </w:r>
    </w:p>
    <w:p>
      <w:pPr>
        <w:pStyle w:val="ListParagraph"/>
        <w:numPr>
          <w:ilvl w:val="0"/>
          <w:numId w:val="1"/>
        </w:numPr>
        <w:spacing w:after="60" w:line="264"/>
      </w:pPr>
      <w:r>
        <w:rPr>
          <w:b/>
          <w:bCs/>
        </w:rPr>
        <w:t xml:space="preserve">Watch the name collision. </w:t>
      </w:r>
      <w:r>
        <w:t xml:space="preserve">Correct any aggregator that conflates Trillet with “Rillet” or “Triller”, and never repeat the false $50M/$130M funding figures.</w:t>
      </w:r>
    </w:p>
    <w:p>
      <w:pPr>
        <w:pStyle w:val="ListParagraph"/>
        <w:numPr>
          <w:ilvl w:val="0"/>
          <w:numId w:val="1"/>
        </w:numPr>
        <w:spacing w:after="60" w:line="264"/>
      </w:pPr>
      <w:r>
        <w:rPr>
          <w:b/>
          <w:bCs/>
        </w:rPr>
        <w:t xml:space="preserve">Reuse the same copy. </w:t>
      </w:r>
      <w:r>
        <w:t xml:space="preserve">Paste from §2 so the description, category and tags stay consistent; this reinforces one clear entity for search and AI answer engines.</w:t>
      </w:r>
    </w:p>
    <w:p>
      <w:pPr>
        <w:pStyle w:val="ListParagraph"/>
        <w:numPr>
          <w:ilvl w:val="0"/>
          <w:numId w:val="1"/>
        </w:numPr>
        <w:spacing w:after="60" w:line="264"/>
      </w:pPr>
      <w:r>
        <w:rPr>
          <w:b/>
          <w:bCs/>
        </w:rPr>
        <w:t xml:space="preserve">Prefer do-follow, but take both. </w:t>
      </w:r>
      <w:r>
        <w:t xml:space="preserve">Do-follow links pass more authority, but reputable no-follow listings (Crunchbase, G2) still build trust and citations.</w:t>
      </w:r>
    </w:p>
    <w:p>
      <w:pPr>
        <w:pStyle w:val="Heading1"/>
        <w:spacing w:after="140" w:before="320"/>
      </w:pPr>
      <w:r>
        <w:rPr>
          <w:color w:val="0E1B22"/>
        </w:rPr>
        <w:t xml:space="preserve">8 · Review-generation plan (for G2, Capterra, Trustpilot)</w:t>
      </w:r>
    </w:p>
    <w:p>
      <w:pPr>
        <w:spacing w:after="120" w:line="276"/>
      </w:pPr>
      <w:r>
        <w:t xml:space="preserve">Review sites rank and convert on review volume and recency. A short, steady flow beats a one-time push.</w:t>
      </w:r>
    </w:p>
    <w:p>
      <w:pPr>
        <w:pStyle w:val="ListParagraph"/>
        <w:numPr>
          <w:ilvl w:val="0"/>
          <w:numId w:val="1"/>
        </w:numPr>
        <w:spacing w:after="60" w:line="264"/>
      </w:pPr>
      <w:r>
        <w:t xml:space="preserve">Identify 15/20 happy customers (the Trustpilot reviewers are a starting point).</w:t>
      </w:r>
    </w:p>
    <w:p>
      <w:pPr>
        <w:pStyle w:val="ListParagraph"/>
        <w:numPr>
          <w:ilvl w:val="0"/>
          <w:numId w:val="1"/>
        </w:numPr>
        <w:spacing w:after="60" w:line="264"/>
      </w:pPr>
      <w:r>
        <w:t xml:space="preserve">Send a short, personal request with a direct review link; ask for a specific outcome, not a generic rating.</w:t>
      </w:r>
    </w:p>
    <w:p>
      <w:pPr>
        <w:pStyle w:val="ListParagraph"/>
        <w:numPr>
          <w:ilvl w:val="0"/>
          <w:numId w:val="1"/>
        </w:numPr>
        <w:spacing w:after="60" w:line="264"/>
      </w:pPr>
      <w:r>
        <w:t xml:space="preserve">Add a post-onboarding and post-support review prompt so requests are steady, not one-off.</w:t>
      </w:r>
    </w:p>
    <w:p>
      <w:pPr>
        <w:pStyle w:val="ListParagraph"/>
        <w:numPr>
          <w:ilvl w:val="0"/>
          <w:numId w:val="1"/>
        </w:numPr>
        <w:spacing w:after="60" w:line="264"/>
      </w:pPr>
      <w:r>
        <w:t xml:space="preserve">Never incentivise or script reviews; most platforms prohibit it and it reads as fake.</w:t>
      </w:r>
    </w:p>
    <w:p>
      <w:pPr>
        <w:pStyle w:val="ListParagraph"/>
        <w:numPr>
          <w:ilvl w:val="0"/>
          <w:numId w:val="1"/>
        </w:numPr>
        <w:spacing w:after="60" w:line="264"/>
      </w:pPr>
      <w:r>
        <w:t xml:space="preserve">Respond to every review, positive or negative; responsiveness is itself a ranking and trust signal.</w:t>
      </w:r>
    </w:p>
    <w:p>
      <w:r>
        <w:br w:type="page"/>
      </w:r>
    </w:p>
    <w:p>
      <w:pPr>
        <w:pStyle w:val="Heading1"/>
        <w:spacing w:after="140" w:before="320"/>
      </w:pPr>
      <w:r>
        <w:rPr>
          <w:color w:val="0E1B22"/>
        </w:rPr>
        <w:t xml:space="preserve">9 · Submission tracker (template)</w:t>
      </w:r>
    </w:p>
    <w:p>
      <w:pPr>
        <w:spacing w:after="120" w:line="276"/>
      </w:pPr>
      <w:r>
        <w:t xml:space="preserve">Copy this into a spreadsheet and fill a row per platform. Track owner, date, the live URL, and whether the backlink is do-follow.</w:t>
      </w:r>
    </w:p>
    <w:tbl>
      <w:tblPr>
        <w:tblW w:type="dxa" w:w="9200"/>
        <w:tblBorders>
          <w:top w:val="single" w:color="D6E0E1" w:sz="4"/>
          <w:left w:val="single" w:color="D6E0E1" w:sz="4"/>
          <w:bottom w:val="single" w:color="D6E0E1" w:sz="4"/>
          <w:right w:val="single" w:color="D6E0E1" w:sz="4"/>
          <w:insideH w:val="single" w:color="D6E0E1" w:sz="4"/>
          <w:insideV w:val="single" w:color="D6E0E1" w:sz="4"/>
        </w:tblBorders>
      </w:tblPr>
      <w:tblGrid>
        <w:gridCol w:w="1900"/>
        <w:gridCol w:w="900"/>
        <w:gridCol w:w="1500"/>
        <w:gridCol w:w="1400"/>
        <w:gridCol w:w="1900"/>
        <w:gridCol w:w="1600"/>
      </w:tblGrid>
      <w:tr>
        <w:trPr>
          <w:tblHeader/>
        </w:trPr>
        <w:tc>
          <w:tcPr>
            <w:tcW w:type="dxa" w:w="1900"/>
            <w:shd w:fill="0E1B22" w:color="auto" w:val="clear"/>
            <w:tcMar>
              <w:top w:type="dxa" w:w="60"/>
              <w:left w:type="dxa" w:w="100"/>
              <w:bottom w:type="dxa" w:w="60"/>
              <w:right w:type="dxa" w:w="100"/>
            </w:tcMar>
          </w:tcPr>
          <w:p>
            <w:r>
              <w:rPr>
                <w:b/>
                <w:bCs/>
                <w:color w:val="FFFFFF"/>
                <w:sz w:val="17"/>
                <w:szCs w:val="17"/>
              </w:rPr>
              <w:t xml:space="preserve">Platform</w:t>
            </w:r>
          </w:p>
        </w:tc>
        <w:tc>
          <w:tcPr>
            <w:tcW w:type="dxa" w:w="900"/>
            <w:shd w:fill="0E1B22" w:color="auto" w:val="clear"/>
            <w:tcMar>
              <w:top w:type="dxa" w:w="60"/>
              <w:left w:type="dxa" w:w="100"/>
              <w:bottom w:type="dxa" w:w="60"/>
              <w:right w:type="dxa" w:w="100"/>
            </w:tcMar>
          </w:tcPr>
          <w:p>
            <w:r>
              <w:rPr>
                <w:b/>
                <w:bCs/>
                <w:color w:val="FFFFFF"/>
                <w:sz w:val="17"/>
                <w:szCs w:val="17"/>
              </w:rPr>
              <w:t xml:space="preserve">Priority</w:t>
            </w:r>
          </w:p>
        </w:tc>
        <w:tc>
          <w:tcPr>
            <w:tcW w:type="dxa" w:w="1500"/>
            <w:shd w:fill="0E1B22" w:color="auto" w:val="clear"/>
            <w:tcMar>
              <w:top w:type="dxa" w:w="60"/>
              <w:left w:type="dxa" w:w="100"/>
              <w:bottom w:type="dxa" w:w="60"/>
              <w:right w:type="dxa" w:w="100"/>
            </w:tcMar>
          </w:tcPr>
          <w:p>
            <w:r>
              <w:rPr>
                <w:b/>
                <w:bCs/>
                <w:color w:val="FFFFFF"/>
                <w:sz w:val="17"/>
                <w:szCs w:val="17"/>
              </w:rPr>
              <w:t xml:space="preserve">Category used</w:t>
            </w:r>
          </w:p>
        </w:tc>
        <w:tc>
          <w:tcPr>
            <w:tcW w:type="dxa" w:w="1400"/>
            <w:shd w:fill="0E1B22" w:color="auto" w:val="clear"/>
            <w:tcMar>
              <w:top w:type="dxa" w:w="60"/>
              <w:left w:type="dxa" w:w="100"/>
              <w:bottom w:type="dxa" w:w="60"/>
              <w:right w:type="dxa" w:w="100"/>
            </w:tcMar>
          </w:tcPr>
          <w:p>
            <w:r>
              <w:rPr>
                <w:b/>
                <w:bCs/>
                <w:color w:val="FFFFFF"/>
                <w:sz w:val="17"/>
                <w:szCs w:val="17"/>
              </w:rPr>
              <w:t xml:space="preserve">Owner</w:t>
            </w:r>
          </w:p>
        </w:tc>
        <w:tc>
          <w:tcPr>
            <w:tcW w:type="dxa" w:w="1900"/>
            <w:shd w:fill="0E1B22" w:color="auto" w:val="clear"/>
            <w:tcMar>
              <w:top w:type="dxa" w:w="60"/>
              <w:left w:type="dxa" w:w="100"/>
              <w:bottom w:type="dxa" w:w="60"/>
              <w:right w:type="dxa" w:w="100"/>
            </w:tcMar>
          </w:tcPr>
          <w:p>
            <w:r>
              <w:rPr>
                <w:b/>
                <w:bCs/>
                <w:color w:val="FFFFFF"/>
                <w:sz w:val="17"/>
                <w:szCs w:val="17"/>
              </w:rPr>
              <w:t xml:space="preserve">Live URL</w:t>
            </w:r>
          </w:p>
        </w:tc>
        <w:tc>
          <w:tcPr>
            <w:tcW w:type="dxa" w:w="1600"/>
            <w:shd w:fill="0E1B22" w:color="auto" w:val="clear"/>
            <w:tcMar>
              <w:top w:type="dxa" w:w="60"/>
              <w:left w:type="dxa" w:w="100"/>
              <w:bottom w:type="dxa" w:w="60"/>
              <w:right w:type="dxa" w:w="100"/>
            </w:tcMar>
          </w:tcPr>
          <w:p>
            <w:r>
              <w:rPr>
                <w:b/>
                <w:bCs/>
                <w:color w:val="FFFFFF"/>
                <w:sz w:val="17"/>
                <w:szCs w:val="17"/>
              </w:rPr>
              <w:t xml:space="preserve">Status</w:t>
            </w:r>
          </w:p>
        </w:tc>
      </w:tr>
      <w:tr>
        <w:tc>
          <w:tcPr>
            <w:tcW w:type="dxa" w:w="1900"/>
            <w:tcMar>
              <w:top w:type="dxa" w:w="50"/>
              <w:left w:type="dxa" w:w="100"/>
              <w:bottom w:type="dxa" w:w="50"/>
              <w:right w:type="dxa" w:w="100"/>
            </w:tcMar>
          </w:tcPr>
          <w:p>
            <w:pPr>
              <w:spacing w:line="250"/>
            </w:pPr>
            <w:r>
              <w:rPr>
                <w:sz w:val="18"/>
                <w:szCs w:val="18"/>
              </w:rPr>
              <w:t xml:space="preserve">G2</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Conversational AI</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Not started</w:t>
            </w:r>
          </w:p>
        </w:tc>
      </w:tr>
      <w:tr>
        <w:tc>
          <w:tcPr>
            <w:tcW w:type="dxa" w:w="1900"/>
            <w:tcMar>
              <w:top w:type="dxa" w:w="50"/>
              <w:left w:type="dxa" w:w="100"/>
              <w:bottom w:type="dxa" w:w="50"/>
              <w:right w:type="dxa" w:w="100"/>
            </w:tcMar>
          </w:tcPr>
          <w:p>
            <w:pPr>
              <w:spacing w:line="250"/>
            </w:pPr>
            <w:r>
              <w:rPr>
                <w:sz w:val="18"/>
                <w:szCs w:val="18"/>
              </w:rPr>
              <w:t xml:space="preserve">Capterra</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Call Center</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Not started</w:t>
            </w:r>
          </w:p>
        </w:tc>
      </w:tr>
      <w:tr>
        <w:tc>
          <w:tcPr>
            <w:tcW w:type="dxa" w:w="1900"/>
            <w:tcMar>
              <w:top w:type="dxa" w:w="50"/>
              <w:left w:type="dxa" w:w="100"/>
              <w:bottom w:type="dxa" w:w="50"/>
              <w:right w:type="dxa" w:w="100"/>
            </w:tcMar>
          </w:tcPr>
          <w:p>
            <w:pPr>
              <w:spacing w:line="250"/>
            </w:pPr>
            <w:r>
              <w:rPr>
                <w:sz w:val="18"/>
                <w:szCs w:val="18"/>
              </w:rPr>
              <w:t xml:space="preserve">TrustRadius</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Conversational AI</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Not started</w:t>
            </w:r>
          </w:p>
        </w:tc>
      </w:tr>
      <w:tr>
        <w:tc>
          <w:tcPr>
            <w:tcW w:type="dxa" w:w="1900"/>
            <w:tcMar>
              <w:top w:type="dxa" w:w="50"/>
              <w:left w:type="dxa" w:w="100"/>
              <w:bottom w:type="dxa" w:w="50"/>
              <w:right w:type="dxa" w:w="100"/>
            </w:tcMar>
          </w:tcPr>
          <w:p>
            <w:pPr>
              <w:spacing w:line="250"/>
            </w:pPr>
            <w:r>
              <w:rPr>
                <w:sz w:val="18"/>
                <w:szCs w:val="18"/>
              </w:rPr>
              <w:t xml:space="preserve">There's An AI For That</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Voice agent</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Not started</w:t>
            </w:r>
          </w:p>
        </w:tc>
      </w:tr>
      <w:tr>
        <w:tc>
          <w:tcPr>
            <w:tcW w:type="dxa" w:w="1900"/>
            <w:tcMar>
              <w:top w:type="dxa" w:w="50"/>
              <w:left w:type="dxa" w:w="100"/>
              <w:bottom w:type="dxa" w:w="50"/>
              <w:right w:type="dxa" w:w="100"/>
            </w:tcMar>
          </w:tcPr>
          <w:p>
            <w:pPr>
              <w:spacing w:line="250"/>
            </w:pPr>
            <w:r>
              <w:rPr>
                <w:sz w:val="18"/>
                <w:szCs w:val="18"/>
              </w:rPr>
              <w:t xml:space="preserve">Futurepedia</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Voice AI</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Not started</w:t>
            </w:r>
          </w:p>
        </w:tc>
      </w:tr>
      <w:tr>
        <w:tc>
          <w:tcPr>
            <w:tcW w:type="dxa" w:w="1900"/>
            <w:tcMar>
              <w:top w:type="dxa" w:w="50"/>
              <w:left w:type="dxa" w:w="100"/>
              <w:bottom w:type="dxa" w:w="50"/>
              <w:right w:type="dxa" w:w="100"/>
            </w:tcMar>
          </w:tcPr>
          <w:p>
            <w:pPr>
              <w:spacing w:line="250"/>
            </w:pPr>
            <w:r>
              <w:rPr>
                <w:sz w:val="18"/>
                <w:szCs w:val="18"/>
              </w:rPr>
              <w:t xml:space="preserve">Crunchbase</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Company</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Not started</w:t>
            </w:r>
          </w:p>
        </w:tc>
      </w:tr>
      <w:tr>
        <w:tc>
          <w:tcPr>
            <w:tcW w:type="dxa" w:w="1900"/>
            <w:tcMar>
              <w:top w:type="dxa" w:w="50"/>
              <w:left w:type="dxa" w:w="100"/>
              <w:bottom w:type="dxa" w:w="50"/>
              <w:right w:type="dxa" w:w="100"/>
            </w:tcMar>
          </w:tcPr>
          <w:p>
            <w:pPr>
              <w:spacing w:line="250"/>
            </w:pPr>
            <w:r>
              <w:rPr>
                <w:sz w:val="18"/>
                <w:szCs w:val="18"/>
              </w:rPr>
              <w:t xml:space="preserve">Product Hunt</w:t>
            </w:r>
          </w:p>
        </w:tc>
        <w:tc>
          <w:tcPr>
            <w:tcW w:type="dxa" w:w="900"/>
            <w:tcMar>
              <w:top w:type="dxa" w:w="50"/>
              <w:left w:type="dxa" w:w="100"/>
              <w:bottom w:type="dxa" w:w="50"/>
              <w:right w:type="dxa" w:w="100"/>
            </w:tcMar>
          </w:tcPr>
          <w:p>
            <w:pPr>
              <w:spacing w:line="250"/>
            </w:pPr>
            <w:r>
              <w:rPr>
                <w:sz w:val="18"/>
                <w:szCs w:val="18"/>
              </w:rPr>
              <w:t xml:space="preserve">P1</w:t>
            </w:r>
          </w:p>
        </w:tc>
        <w:tc>
          <w:tcPr>
            <w:tcW w:type="dxa" w:w="1500"/>
            <w:tcMar>
              <w:top w:type="dxa" w:w="50"/>
              <w:left w:type="dxa" w:w="100"/>
              <w:bottom w:type="dxa" w:w="50"/>
              <w:right w:type="dxa" w:w="100"/>
            </w:tcMar>
          </w:tcPr>
          <w:p>
            <w:pPr>
              <w:spacing w:line="250"/>
            </w:pPr>
            <w:r>
              <w:rPr>
                <w:sz w:val="18"/>
                <w:szCs w:val="18"/>
              </w:rPr>
              <w:t xml:space="preserve">Launch</w:t>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Planned</w:t>
            </w:r>
          </w:p>
        </w:tc>
      </w:tr>
      <w:tr>
        <w:tc>
          <w:tcPr>
            <w:tcW w:type="dxa" w:w="1900"/>
            <w:tcMar>
              <w:top w:type="dxa" w:w="50"/>
              <w:left w:type="dxa" w:w="100"/>
              <w:bottom w:type="dxa" w:w="50"/>
              <w:right w:type="dxa" w:w="100"/>
            </w:tcMar>
          </w:tcPr>
          <w:p>
            <w:pPr>
              <w:spacing w:line="250"/>
            </w:pPr>
            <w:r>
              <w:rPr>
                <w:sz w:val="18"/>
                <w:szCs w:val="18"/>
              </w:rPr>
              <w:t xml:space="preserve"/>
            </w:r>
          </w:p>
        </w:tc>
        <w:tc>
          <w:tcPr>
            <w:tcW w:type="dxa" w:w="900"/>
            <w:tcMar>
              <w:top w:type="dxa" w:w="50"/>
              <w:left w:type="dxa" w:w="100"/>
              <w:bottom w:type="dxa" w:w="50"/>
              <w:right w:type="dxa" w:w="100"/>
            </w:tcMar>
          </w:tcPr>
          <w:p>
            <w:pPr>
              <w:spacing w:line="250"/>
            </w:pPr>
            <w:r>
              <w:rPr>
                <w:sz w:val="18"/>
                <w:szCs w:val="18"/>
              </w:rPr>
              <w:t xml:space="preserve"/>
            </w:r>
          </w:p>
        </w:tc>
        <w:tc>
          <w:tcPr>
            <w:tcW w:type="dxa" w:w="1500"/>
            <w:tcMar>
              <w:top w:type="dxa" w:w="50"/>
              <w:left w:type="dxa" w:w="100"/>
              <w:bottom w:type="dxa" w:w="50"/>
              <w:right w:type="dxa" w:w="100"/>
            </w:tcMar>
          </w:tcPr>
          <w:p>
            <w:pPr>
              <w:spacing w:line="250"/>
            </w:pPr>
            <w:r>
              <w:rPr>
                <w:sz w:val="18"/>
                <w:szCs w:val="18"/>
              </w:rPr>
              <w:t xml:space="preserve"/>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
            </w:r>
          </w:p>
        </w:tc>
      </w:tr>
      <w:tr>
        <w:tc>
          <w:tcPr>
            <w:tcW w:type="dxa" w:w="1900"/>
            <w:tcMar>
              <w:top w:type="dxa" w:w="50"/>
              <w:left w:type="dxa" w:w="100"/>
              <w:bottom w:type="dxa" w:w="50"/>
              <w:right w:type="dxa" w:w="100"/>
            </w:tcMar>
          </w:tcPr>
          <w:p>
            <w:pPr>
              <w:spacing w:line="250"/>
            </w:pPr>
            <w:r>
              <w:rPr>
                <w:sz w:val="18"/>
                <w:szCs w:val="18"/>
              </w:rPr>
              <w:t xml:space="preserve"/>
            </w:r>
          </w:p>
        </w:tc>
        <w:tc>
          <w:tcPr>
            <w:tcW w:type="dxa" w:w="900"/>
            <w:tcMar>
              <w:top w:type="dxa" w:w="50"/>
              <w:left w:type="dxa" w:w="100"/>
              <w:bottom w:type="dxa" w:w="50"/>
              <w:right w:type="dxa" w:w="100"/>
            </w:tcMar>
          </w:tcPr>
          <w:p>
            <w:pPr>
              <w:spacing w:line="250"/>
            </w:pPr>
            <w:r>
              <w:rPr>
                <w:sz w:val="18"/>
                <w:szCs w:val="18"/>
              </w:rPr>
              <w:t xml:space="preserve"/>
            </w:r>
          </w:p>
        </w:tc>
        <w:tc>
          <w:tcPr>
            <w:tcW w:type="dxa" w:w="1500"/>
            <w:tcMar>
              <w:top w:type="dxa" w:w="50"/>
              <w:left w:type="dxa" w:w="100"/>
              <w:bottom w:type="dxa" w:w="50"/>
              <w:right w:type="dxa" w:w="100"/>
            </w:tcMar>
          </w:tcPr>
          <w:p>
            <w:pPr>
              <w:spacing w:line="250"/>
            </w:pPr>
            <w:r>
              <w:rPr>
                <w:sz w:val="18"/>
                <w:szCs w:val="18"/>
              </w:rPr>
              <w:t xml:space="preserve"/>
            </w:r>
          </w:p>
        </w:tc>
        <w:tc>
          <w:tcPr>
            <w:tcW w:type="dxa" w:w="1400"/>
            <w:tcMar>
              <w:top w:type="dxa" w:w="50"/>
              <w:left w:type="dxa" w:w="100"/>
              <w:bottom w:type="dxa" w:w="50"/>
              <w:right w:type="dxa" w:w="100"/>
            </w:tcMar>
          </w:tcPr>
          <w:p>
            <w:pPr>
              <w:spacing w:line="250"/>
            </w:pPr>
            <w:r>
              <w:rPr>
                <w:sz w:val="18"/>
                <w:szCs w:val="18"/>
              </w:rPr>
              <w:t xml:space="preserve"/>
            </w:r>
          </w:p>
        </w:tc>
        <w:tc>
          <w:tcPr>
            <w:tcW w:type="dxa" w:w="1900"/>
            <w:tcMar>
              <w:top w:type="dxa" w:w="50"/>
              <w:left w:type="dxa" w:w="100"/>
              <w:bottom w:type="dxa" w:w="50"/>
              <w:right w:type="dxa" w:w="100"/>
            </w:tcMar>
          </w:tcPr>
          <w:p>
            <w:pPr>
              <w:spacing w:line="250"/>
            </w:pPr>
            <w:r>
              <w:rPr>
                <w:sz w:val="18"/>
                <w:szCs w:val="18"/>
              </w:rPr>
              <w:t xml:space="preserve"/>
            </w:r>
          </w:p>
        </w:tc>
        <w:tc>
          <w:tcPr>
            <w:tcW w:type="dxa" w:w="1600"/>
            <w:tcMar>
              <w:top w:type="dxa" w:w="50"/>
              <w:left w:type="dxa" w:w="100"/>
              <w:bottom w:type="dxa" w:w="50"/>
              <w:right w:type="dxa" w:w="100"/>
            </w:tcMar>
          </w:tcPr>
          <w:p>
            <w:pPr>
              <w:spacing w:line="250"/>
            </w:pPr>
            <w:r>
              <w:rPr>
                <w:sz w:val="18"/>
                <w:szCs w:val="18"/>
              </w:rPr>
              <w:t xml:space="preserve"/>
            </w:r>
          </w:p>
        </w:tc>
      </w:tr>
    </w:tbl>
    <w:p>
      <w:pPr>
        <w:pStyle w:val="Heading1"/>
        <w:spacing w:after="140" w:before="320"/>
      </w:pPr>
      <w:r>
        <w:rPr>
          <w:color w:val="0E1B22"/>
        </w:rPr>
        <w:t xml:space="preserve">10 · Confirm before submitting</w:t>
      </w:r>
    </w:p>
    <w:p>
      <w:pPr>
        <w:pStyle w:val="ListParagraph"/>
        <w:numPr>
          <w:ilvl w:val="0"/>
          <w:numId w:val="1"/>
        </w:numPr>
        <w:spacing w:after="70"/>
      </w:pPr>
      <w:r>
        <w:t xml:space="preserve">☐  Listing contact email and phone number for public directories.</w:t>
      </w:r>
    </w:p>
    <w:p>
      <w:pPr>
        <w:pStyle w:val="ListParagraph"/>
        <w:numPr>
          <w:ilvl w:val="0"/>
          <w:numId w:val="1"/>
        </w:numPr>
        <w:spacing w:after="70"/>
      </w:pPr>
      <w:r>
        <w:t xml:space="preserve">☐  Company size band and pricing tiers (entry price, free trial y/n).</w:t>
      </w:r>
    </w:p>
    <w:p>
      <w:pPr>
        <w:pStyle w:val="ListParagraph"/>
        <w:numPr>
          <w:ilvl w:val="0"/>
          <w:numId w:val="1"/>
        </w:numPr>
        <w:spacing w:after="70"/>
      </w:pPr>
      <w:r>
        <w:t xml:space="preserve">☐  Which certifications are held vs in progress (SOC 2, ISO 27001, HIPAA, GDPR, TCPA, ACMA).</w:t>
      </w:r>
    </w:p>
    <w:p>
      <w:pPr>
        <w:pStyle w:val="ListParagraph"/>
        <w:numPr>
          <w:ilvl w:val="0"/>
          <w:numId w:val="1"/>
        </w:numPr>
        <w:spacing w:after="70"/>
      </w:pPr>
      <w:r>
        <w:t xml:space="preserve">☐  Metrics are current and public (1,200+ businesses, 7M+ calls, 4.6 Trustpilot).</w:t>
      </w:r>
    </w:p>
    <w:p>
      <w:pPr>
        <w:pStyle w:val="ListParagraph"/>
        <w:numPr>
          <w:ilvl w:val="0"/>
          <w:numId w:val="1"/>
        </w:numPr>
        <w:spacing w:after="70"/>
      </w:pPr>
      <w:r>
        <w:t xml:space="preserve">☐  Real integrations and any partner marketplaces to list on.</w:t>
      </w:r>
    </w:p>
    <w:p>
      <w:pPr>
        <w:pStyle w:val="ListParagraph"/>
        <w:numPr>
          <w:ilvl w:val="0"/>
          <w:numId w:val="1"/>
        </w:numPr>
        <w:spacing w:after="70"/>
      </w:pPr>
      <w:r>
        <w:t xml:space="preserve">☐  Social handles (X, YouTube, Facebook, Instagram) and GitHub URL.</w:t>
      </w:r>
    </w:p>
    <w:p>
      <w:pPr>
        <w:pStyle w:val="ListParagraph"/>
        <w:numPr>
          <w:ilvl w:val="0"/>
          <w:numId w:val="1"/>
        </w:numPr>
        <w:spacing w:after="70"/>
      </w:pPr>
      <w:r>
        <w:t xml:space="preserve">☐  Logo, screenshots, OG image and (optionally) a demo video.</w:t>
      </w:r>
    </w:p>
    <w:p>
      <w:pPr>
        <w:pStyle w:val="ListParagraph"/>
        <w:numPr>
          <w:ilvl w:val="0"/>
          <w:numId w:val="1"/>
        </w:numPr>
        <w:spacing w:after="70"/>
      </w:pPr>
      <w:r>
        <w:t xml:space="preserve">☐  Customer names are cleared for public display where a listing shows logos.</w:t>
      </w:r>
    </w:p>
    <w:p>
      <w:pPr>
        <w:spacing w:after="120"/>
      </w:pPr>
      <w:r>
        <w:t xml:space="preserve"/>
      </w:r>
    </w:p>
    <w:p>
      <w:pPr>
        <w:spacing w:after="120" w:line="276"/>
      </w:pPr>
      <w:r>
        <w:rPr>
          <w:i/>
          <w:iCs/>
          <w:color w:val="52646A"/>
          <w:sz w:val="18"/>
          <w:szCs w:val="18"/>
        </w:rPr>
        <w:t xml:space="preserve">Provenance: company details drawn from trillet.ai (home, /enterprise, /ai-info), the September 2025 press release, the Trustpilot profile, and the founders' LinkedIn profiles. Directory list reflects standard off-page SEO practice for B2B/AI SaaS. No funding or valuation figures are included, as aggregator data is unreliable due to name collisions.</w:t>
      </w:r>
    </w:p>
    <w:sectPr>
      <w:pgSz w:w="12240" w:h="15840" w:orient="portrait"/>
      <w:pgMar w:top="1080" w:right="1160" w:bottom="1080" w:left="1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B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Bricolage Grotesque" w:cs="Bricolage Grotesque" w:eastAsia="Bricolage Grotesque" w:hAnsi="Bricolage Grotesque"/>
      <w:b/>
      <w:bCs/>
      <w:color w:val="0E1B22"/>
      <w:sz w:val="40"/>
      <w:szCs w:val="40"/>
    </w:rPr>
  </w:style>
  <w:style w:type="paragraph" w:styleId="Heading1">
    <w:name w:val="Heading 1"/>
    <w:basedOn w:val="Normal"/>
    <w:next w:val="Normal"/>
    <w:qFormat/>
    <w:rPr>
      <w:rFonts w:ascii="Bricolage Grotesque" w:cs="Bricolage Grotesque" w:eastAsia="Bricolage Grotesque" w:hAnsi="Bricolage Grotesque"/>
      <w:b/>
      <w:bCs/>
      <w:color w:val="0E1B22"/>
      <w:sz w:val="27"/>
      <w:szCs w:val="27"/>
    </w:rPr>
  </w:style>
  <w:style w:type="paragraph" w:styleId="Heading2">
    <w:name w:val="Heading 2"/>
    <w:basedOn w:val="Normal"/>
    <w:next w:val="Normal"/>
    <w:qFormat/>
    <w:rPr>
      <w:rFonts w:ascii="Bricolage Grotesque" w:cs="Bricolage Grotesque" w:eastAsia="Bricolage Grotesque" w:hAnsi="Bricolage Grotesque"/>
      <w:b/>
      <w:bCs/>
      <w:color w:val="0E1B22"/>
      <w:sz w:val="22"/>
      <w:szCs w:val="22"/>
    </w:rPr>
  </w:style>
  <w:style w:type="paragraph" w:styleId="Heading3">
    <w:name w:val="Heading 3"/>
    <w:basedOn w:val="Normal"/>
    <w:next w:val="Normal"/>
    <w:qFormat/>
    <w:rPr>
      <w:rFonts w:ascii="Bricolage Grotesque" w:cs="Bricolage Grotesque" w:eastAsia="Bricolage Grotesque" w:hAnsi="Bricolage Grotesque"/>
      <w:b/>
      <w:bCs/>
      <w:color w:val="0C857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Trillet Off-Page &amp; Directory Submission Kit</dc:title>
  <dc:creator>Trillet</dc:creator>
  <cp:lastModifiedBy>Un-named</cp:lastModifiedBy>
  <cp:revision>1</cp:revision>
  <dcterms:created xsi:type="dcterms:W3CDTF">2026-09-16T04:51:31.387Z</dcterms:created>
  <dcterms:modified xsi:type="dcterms:W3CDTF">2026-09-16T04:51:31.387Z</dcterms:modified>
</cp:coreProperties>
</file>

<file path=docProps/custom.xml><?xml version="1.0" encoding="utf-8"?>
<Properties xmlns="http://schemas.openxmlformats.org/officeDocument/2006/custom-properties" xmlns:vt="http://schemas.openxmlformats.org/officeDocument/2006/docPropsVTypes"/>
</file>