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color w:val="2F57C9"/>
          <w:spacing w:val="20"/>
          <w:sz w:val="16"/>
          <w:szCs w:val="16"/>
        </w:rPr>
        <w:t xml:space="preserve">HOMEPAGE · CONTENT &amp; DESIGN SPEC · v3</w:t>
      </w:r>
    </w:p>
    <w:p>
      <w:pPr>
        <w:spacing w:after="80"/>
      </w:pPr>
      <w:r>
        <w:rPr>
          <w:rFonts w:ascii="Calibri" w:cs="Calibri" w:eastAsia="Calibri" w:hAnsi="Calibri"/>
          <w:b/>
          <w:bCs/>
          <w:color w:val="151A22"/>
          <w:sz w:val="52"/>
          <w:szCs w:val="52"/>
        </w:rPr>
        <w:t xml:space="preserve">Trillet Homepage Copy Deck</w:t>
      </w:r>
    </w:p>
    <w:p>
      <w:pPr>
        <w:spacing w:after="120"/>
      </w:pPr>
      <w:r>
        <w:rPr>
          <w:rFonts w:ascii="Calibri" w:cs="Calibri" w:eastAsia="Calibri" w:hAnsi="Calibri"/>
          <w:color w:val="586274"/>
          <w:sz w:val="20"/>
          <w:szCs w:val="20"/>
        </w:rPr>
        <w:t xml:space="preserve">Full page copy for trillet.ai, built to rank for “ai voice agents” while keeping the current design. Written in Trillet’s own voice: plain, declarative, enterprise. Every block is marked new, changed, or retained, with the copy to ship and a design note.</w:t>
      </w:r>
    </w:p>
    <w:p>
      <w:pPr>
        <w:spacing w:after="40"/>
      </w:pPr>
      <w:r>
        <w:rPr>
          <w:rFonts w:ascii="Consolas" w:cs="Consolas" w:eastAsia="Consolas" w:hAnsi="Consolas"/>
          <w:b/>
          <w:bCs/>
          <w:color w:val="586274"/>
          <w:sz w:val="16"/>
          <w:szCs w:val="16"/>
        </w:rPr>
        <w:t xml:space="preserve">Target keyword: </w:t>
      </w:r>
      <w:r>
        <w:rPr>
          <w:rFonts w:ascii="Consolas" w:cs="Consolas" w:eastAsia="Consolas" w:hAnsi="Consolas"/>
          <w:color w:val="8A94A4"/>
          <w:sz w:val="16"/>
          <w:szCs w:val="16"/>
        </w:rPr>
        <w:t xml:space="preserve">ai voice agents      </w:t>
      </w:r>
      <w:r>
        <w:rPr>
          <w:rFonts w:ascii="Consolas" w:cs="Consolas" w:eastAsia="Consolas" w:hAnsi="Consolas"/>
          <w:b/>
          <w:bCs/>
          <w:color w:val="586274"/>
          <w:sz w:val="16"/>
          <w:szCs w:val="16"/>
        </w:rPr>
        <w:t xml:space="preserve">Proof line: </w:t>
      </w:r>
      <w:r>
        <w:rPr>
          <w:rFonts w:ascii="Consolas" w:cs="Consolas" w:eastAsia="Consolas" w:hAnsi="Consolas"/>
          <w:color w:val="8A94A4"/>
          <w:sz w:val="16"/>
          <w:szCs w:val="16"/>
        </w:rPr>
        <w:t xml:space="preserve">verified, resolved, audited</w:t>
      </w:r>
    </w:p>
    <w:p>
      <w:pPr>
        <w:spacing w:after="60" w:before="120"/>
      </w:pPr>
      <w:r>
        <w:rPr>
          <w:rFonts w:ascii="Consolas" w:cs="Consolas" w:eastAsia="Consolas" w:hAnsi="Consolas"/>
          <w:b/>
          <w:bCs/>
          <w:color w:val="8A94A4"/>
          <w:spacing w:val="15"/>
          <w:sz w:val="15"/>
          <w:szCs w:val="15"/>
        </w:rPr>
        <w:t xml:space="preserve">KEY</w:t>
      </w:r>
    </w:p>
    <w:p>
      <w:pPr>
        <w:spacing w:after="20"/>
      </w:pPr>
      <w:r>
        <w:rPr>
          <w:color w:val="0C7A49"/>
          <w:sz w:val="20"/>
          <w:szCs w:val="20"/>
        </w:rPr>
        <w:t xml:space="preserve">■ </w:t>
      </w:r>
      <w:r>
        <w:rPr>
          <w:rFonts w:ascii="Consolas" w:cs="Consolas" w:eastAsia="Consolas" w:hAnsi="Consolas"/>
          <w:b/>
          <w:bCs/>
          <w:color w:val="0C7A49"/>
          <w:sz w:val="16"/>
          <w:szCs w:val="16"/>
        </w:rPr>
        <w:t xml:space="preserve">NEW</w:t>
      </w:r>
      <w:r>
        <w:rPr>
          <w:rFonts w:ascii="Calibri" w:cs="Calibri" w:eastAsia="Calibri" w:hAnsi="Calibri"/>
          <w:color w:val="586274"/>
          <w:sz w:val="18"/>
          <w:szCs w:val="18"/>
        </w:rPr>
        <w:t xml:space="preserve"> — net-new block</w:t>
      </w:r>
    </w:p>
    <w:p>
      <w:pPr>
        <w:spacing w:after="20"/>
      </w:pPr>
      <w:r>
        <w:rPr>
          <w:color w:val="9A6300"/>
          <w:sz w:val="20"/>
          <w:szCs w:val="20"/>
        </w:rPr>
        <w:t xml:space="preserve">■ </w:t>
      </w:r>
      <w:r>
        <w:rPr>
          <w:rFonts w:ascii="Consolas" w:cs="Consolas" w:eastAsia="Consolas" w:hAnsi="Consolas"/>
          <w:b/>
          <w:bCs/>
          <w:color w:val="9A6300"/>
          <w:sz w:val="16"/>
          <w:szCs w:val="16"/>
        </w:rPr>
        <w:t xml:space="preserve">CHANGED</w:t>
      </w:r>
      <w:r>
        <w:rPr>
          <w:rFonts w:ascii="Calibri" w:cs="Calibri" w:eastAsia="Calibri" w:hAnsi="Calibri"/>
          <w:color w:val="586274"/>
          <w:sz w:val="18"/>
          <w:szCs w:val="18"/>
        </w:rPr>
        <w:t xml:space="preserve"> — edit copy/labels, keep the component</w:t>
      </w:r>
    </w:p>
    <w:p>
      <w:pPr>
        <w:spacing w:after="120"/>
      </w:pPr>
      <w:r>
        <w:rPr>
          <w:color w:val="48566A"/>
          <w:sz w:val="20"/>
          <w:szCs w:val="20"/>
        </w:rPr>
        <w:t xml:space="preserve">■ </w:t>
      </w:r>
      <w:r>
        <w:rPr>
          <w:rFonts w:ascii="Consolas" w:cs="Consolas" w:eastAsia="Consolas" w:hAnsi="Consolas"/>
          <w:b/>
          <w:bCs/>
          <w:color w:val="48566A"/>
          <w:sz w:val="16"/>
          <w:szCs w:val="16"/>
        </w:rPr>
        <w:t xml:space="preserve">RETAINED</w:t>
      </w:r>
      <w:r>
        <w:rPr>
          <w:rFonts w:ascii="Calibri" w:cs="Calibri" w:eastAsia="Calibri" w:hAnsi="Calibri"/>
          <w:color w:val="586274"/>
          <w:sz w:val="18"/>
          <w:szCs w:val="18"/>
        </w:rPr>
        <w:t xml:space="preserve"> — ship as built today</w:t>
      </w:r>
    </w:p>
    <w:p>
      <w:pPr>
        <w:pBdr>
          <w:bottom w:val="single" w:color="E1E6EE" w:sz="6"/>
        </w:pBdr>
        <w:spacing w:after="40" w:before="200"/>
      </w:pPr>
      <w:r>
        <w:rPr>
          <w:rFonts w:ascii="Calibri" w:cs="Calibri" w:eastAsia="Calibri" w:hAnsi="Calibri"/>
          <w:b/>
          <w:bCs/>
          <w:color w:val="8A94A4"/>
          <w:spacing w:val="15"/>
          <w:sz w:val="18"/>
          <w:szCs w:val="18"/>
        </w:rPr>
        <w:t xml:space="preserve">HEAD &amp; METADATA</w:t>
      </w:r>
    </w:p>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FBF0D9" w:color="auto" w:val="clear"/>
            <w:tcMar>
              <w:top w:type="dxa" w:w="80"/>
              <w:left w:type="dxa" w:w="120"/>
              <w:bottom w:type="dxa" w:w="80"/>
              <w:right w:type="dxa" w:w="60"/>
            </w:tcMar>
          </w:tcPr>
          <w:p>
            <w:r>
              <w:rPr>
                <w:rFonts w:ascii="Calibri" w:cs="Calibri" w:eastAsia="Calibri" w:hAnsi="Calibri"/>
                <w:b/>
                <w:bCs/>
                <w:color w:val="9A6300"/>
                <w:sz w:val="22"/>
                <w:szCs w:val="22"/>
              </w:rPr>
              <w:t xml:space="preserve">—</w:t>
            </w:r>
          </w:p>
        </w:tc>
        <w:tc>
          <w:tcPr>
            <w:tcW w:type="dxa" w:w="6740"/>
            <w:shd w:fill="FBF0D9" w:color="auto" w:val="clear"/>
            <w:tcMar>
              <w:top w:type="dxa" w:w="80"/>
              <w:left w:type="dxa" w:w="60"/>
              <w:bottom w:type="dxa" w:w="80"/>
              <w:right w:type="dxa" w:w="60"/>
            </w:tcMar>
          </w:tcPr>
          <w:p>
            <w:r>
              <w:rPr>
                <w:rFonts w:ascii="Calibri" w:cs="Calibri" w:eastAsia="Calibri" w:hAnsi="Calibri"/>
                <w:b/>
                <w:bCs/>
                <w:color w:val="151A22"/>
                <w:sz w:val="22"/>
                <w:szCs w:val="22"/>
              </w:rPr>
              <w:t xml:space="preserve">Title, meta description &amp; schema</w:t>
            </w:r>
          </w:p>
        </w:tc>
        <w:tc>
          <w:tcPr>
            <w:tcW w:type="dxa" w:w="1800"/>
            <w:shd w:fill="FBF0D9" w:color="auto" w:val="clear"/>
            <w:tcMar>
              <w:top w:type="dxa" w:w="80"/>
              <w:left w:type="dxa" w:w="60"/>
              <w:bottom w:type="dxa" w:w="80"/>
              <w:right w:type="dxa" w:w="120"/>
            </w:tcMar>
          </w:tcPr>
          <w:p>
            <w:pPr>
              <w:jc w:val="right"/>
            </w:pPr>
            <w:r>
              <w:rPr>
                <w:rFonts w:ascii="Consolas" w:cs="Consolas" w:eastAsia="Consolas" w:hAnsi="Consolas"/>
                <w:b/>
                <w:bCs/>
                <w:color w:val="9A6300"/>
                <w:sz w:val="16"/>
                <w:szCs w:val="16"/>
              </w:rPr>
              <w:t xml:space="preserve">CHANGED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40"/>
            </w:pPr>
            <w:r>
              <w:rPr>
                <w:rFonts w:ascii="Consolas" w:cs="Consolas" w:eastAsia="Consolas" w:hAnsi="Consolas"/>
                <w:b/>
                <w:bCs/>
                <w:color w:val="2F57C9"/>
                <w:spacing w:val="20"/>
                <w:sz w:val="15"/>
                <w:szCs w:val="15"/>
              </w:rPr>
              <w:t xml:space="preserve">&lt;TITLE&gt;</w:t>
            </w:r>
          </w:p>
          <w:p>
            <w:pPr>
              <w:spacing w:after="40"/>
            </w:pPr>
            <w:r>
              <w:rPr>
                <w:rFonts w:ascii="Consolas" w:cs="Consolas" w:eastAsia="Consolas" w:hAnsi="Consolas"/>
                <w:strike/>
                <w:color w:val="8A94A4"/>
                <w:sz w:val="17"/>
                <w:szCs w:val="17"/>
              </w:rPr>
              <w:t xml:space="preserve">Was: AI That Resolves High-Stakes Conversations | Trillet</w:t>
            </w:r>
          </w:p>
          <w:p>
            <w:pPr>
              <w:spacing w:after="120"/>
            </w:pPr>
            <w:r>
              <w:rPr>
                <w:rFonts w:ascii="Calibri" w:cs="Calibri" w:eastAsia="Calibri" w:hAnsi="Calibri"/>
                <w:i w:val="false"/>
                <w:iCs w:val="false"/>
                <w:color w:val="151A22"/>
                <w:sz w:val="22"/>
                <w:szCs w:val="22"/>
              </w:rPr>
              <w:t xml:space="preserve">AI Voice Agents for High-Stakes Calls — Verified &amp; Audited | Trillet</w:t>
            </w:r>
          </w:p>
          <w:p>
            <w:pPr>
              <w:spacing w:after="40"/>
            </w:pPr>
            <w:r>
              <w:rPr>
                <w:rFonts w:ascii="Consolas" w:cs="Consolas" w:eastAsia="Consolas" w:hAnsi="Consolas"/>
                <w:b/>
                <w:bCs/>
                <w:color w:val="2F57C9"/>
                <w:spacing w:val="20"/>
                <w:sz w:val="15"/>
                <w:szCs w:val="15"/>
              </w:rPr>
              <w:t xml:space="preserve">META DESCRIPTION</w:t>
            </w:r>
          </w:p>
          <w:p>
            <w:pPr>
              <w:spacing w:after="0"/>
            </w:pPr>
            <w:r>
              <w:rPr>
                <w:rFonts w:ascii="Calibri" w:cs="Calibri" w:eastAsia="Calibri" w:hAnsi="Calibri"/>
                <w:i w:val="false"/>
                <w:iCs w:val="false"/>
                <w:color w:val="151A22"/>
                <w:sz w:val="21"/>
                <w:szCs w:val="21"/>
              </w:rPr>
              <w:t xml:space="preserve">Trillet’s voice AI agents answer, verify identity, take action in your live systems, and keep every call on the audit trail. Across voice, SMS and chat. HIPAA, SOC 2, APRA and IRAP.</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No visible UI. Add </w:t>
            </w:r>
            <w:r>
              <w:rPr>
                <w:rFonts w:ascii="Consolas" w:cs="Consolas" w:eastAsia="Consolas" w:hAnsi="Consolas"/>
                <w:color w:val="151A22"/>
                <w:sz w:val="17"/>
                <w:szCs w:val="17"/>
              </w:rPr>
              <w:t xml:space="preserve">SoftwareApplication</w:t>
            </w:r>
            <w:r>
              <w:rPr>
                <w:rFonts w:ascii="Calibri" w:cs="Calibri" w:eastAsia="Calibri" w:hAnsi="Calibri"/>
                <w:b w:val="false"/>
                <w:bCs w:val="false"/>
                <w:i w:val="false"/>
                <w:iCs w:val="false"/>
                <w:color w:val="151A22"/>
                <w:sz w:val="18"/>
                <w:szCs w:val="18"/>
              </w:rPr>
              <w:t xml:space="preserve"> + </w:t>
            </w:r>
            <w:r>
              <w:rPr>
                <w:rFonts w:ascii="Consolas" w:cs="Consolas" w:eastAsia="Consolas" w:hAnsi="Consolas"/>
                <w:color w:val="151A22"/>
                <w:sz w:val="17"/>
                <w:szCs w:val="17"/>
              </w:rPr>
              <w:t xml:space="preserve">Offer</w:t>
            </w:r>
            <w:r>
              <w:rPr>
                <w:rFonts w:ascii="Calibri" w:cs="Calibri" w:eastAsia="Calibri" w:hAnsi="Calibri"/>
                <w:b w:val="false"/>
                <w:bCs w:val="false"/>
                <w:i w:val="false"/>
                <w:iCs w:val="false"/>
                <w:color w:val="151A22"/>
                <w:sz w:val="18"/>
                <w:szCs w:val="18"/>
              </w:rPr>
              <w:t xml:space="preserve"> (from $49/mo) + </w:t>
            </w:r>
            <w:r>
              <w:rPr>
                <w:rFonts w:ascii="Consolas" w:cs="Consolas" w:eastAsia="Consolas" w:hAnsi="Consolas"/>
                <w:color w:val="151A22"/>
                <w:sz w:val="17"/>
                <w:szCs w:val="17"/>
              </w:rPr>
              <w:t xml:space="preserve">AggregateRating</w:t>
            </w:r>
            <w:r>
              <w:rPr>
                <w:rFonts w:ascii="Calibri" w:cs="Calibri" w:eastAsia="Calibri" w:hAnsi="Calibri"/>
                <w:b w:val="false"/>
                <w:bCs w:val="false"/>
                <w:i w:val="false"/>
                <w:iCs w:val="false"/>
                <w:color w:val="151A22"/>
                <w:sz w:val="18"/>
                <w:szCs w:val="18"/>
              </w:rPr>
              <w:t xml:space="preserve"> (Trustpilot 4.6) + </w:t>
            </w:r>
            <w:r>
              <w:rPr>
                <w:rFonts w:ascii="Consolas" w:cs="Consolas" w:eastAsia="Consolas" w:hAnsi="Consolas"/>
                <w:color w:val="151A22"/>
                <w:sz w:val="17"/>
                <w:szCs w:val="17"/>
              </w:rPr>
              <w:t xml:space="preserve">FAQPage</w:t>
            </w:r>
            <w:r>
              <w:rPr>
                <w:rFonts w:ascii="Calibri" w:cs="Calibri" w:eastAsia="Calibri" w:hAnsi="Calibri"/>
                <w:b w:val="false"/>
                <w:bCs w:val="false"/>
                <w:i w:val="false"/>
                <w:iCs w:val="false"/>
                <w:color w:val="151A22"/>
                <w:sz w:val="18"/>
                <w:szCs w:val="18"/>
              </w:rPr>
              <w:t xml:space="preserve"> JSON-LD; add </w:t>
            </w:r>
            <w:r>
              <w:rPr>
                <w:rFonts w:ascii="Consolas" w:cs="Consolas" w:eastAsia="Consolas" w:hAnsi="Consolas"/>
                <w:color w:val="151A22"/>
                <w:sz w:val="17"/>
                <w:szCs w:val="17"/>
              </w:rPr>
              <w:t xml:space="preserve">SearchAction</w:t>
            </w:r>
            <w:r>
              <w:rPr>
                <w:rFonts w:ascii="Calibri" w:cs="Calibri" w:eastAsia="Calibri" w:hAnsi="Calibri"/>
                <w:b w:val="false"/>
                <w:bCs w:val="false"/>
                <w:i w:val="false"/>
                <w:iCs w:val="false"/>
                <w:color w:val="151A22"/>
                <w:sz w:val="18"/>
                <w:szCs w:val="18"/>
              </w:rPr>
              <w:t xml:space="preserve"> to the existing </w:t>
            </w:r>
            <w:r>
              <w:rPr>
                <w:rFonts w:ascii="Consolas" w:cs="Consolas" w:eastAsia="Consolas" w:hAnsi="Consolas"/>
                <w:color w:val="151A22"/>
                <w:sz w:val="17"/>
                <w:szCs w:val="17"/>
              </w:rPr>
              <w:t xml:space="preserve">WebSite</w:t>
            </w:r>
            <w:r>
              <w:rPr>
                <w:rFonts w:ascii="Calibri" w:cs="Calibri" w:eastAsia="Calibri" w:hAnsi="Calibri"/>
                <w:b/>
                <w:bCs/>
                <w:i w:val="false"/>
                <w:iCs w:val="false"/>
                <w:color w:val="151A22"/>
                <w:sz w:val="18"/>
                <w:szCs w:val="18"/>
              </w:rPr>
              <w:t xml:space="preserve"> block. Remove the site-wide </w:t>
            </w:r>
            <w:r>
              <w:rPr>
                <w:rFonts w:ascii="Consolas" w:cs="Consolas" w:eastAsia="Consolas" w:hAnsi="Consolas"/>
                <w:color w:val="151A22"/>
                <w:sz w:val="17"/>
                <w:szCs w:val="17"/>
              </w:rPr>
              <w:t xml:space="preserve">meta keywords</w:t>
            </w:r>
            <w:r>
              <w:rPr>
                <w:rFonts w:ascii="Calibri" w:cs="Calibri" w:eastAsia="Calibri" w:hAnsi="Calibri"/>
                <w:b w:val="false"/>
                <w:bCs w:val="false"/>
                <w:i w:val="false"/>
                <w:iCs w:val="false"/>
                <w:color w:val="151A22"/>
                <w:sz w:val="18"/>
                <w:szCs w:val="18"/>
              </w:rPr>
              <w:t xml:space="preserve"> Australia block. Add descriptive </w:t>
            </w:r>
            <w:r>
              <w:rPr>
                <w:rFonts w:ascii="Consolas" w:cs="Consolas" w:eastAsia="Consolas" w:hAnsi="Consolas"/>
                <w:color w:val="151A22"/>
                <w:sz w:val="17"/>
                <w:szCs w:val="17"/>
              </w:rPr>
              <w:t xml:space="preserve">alt</w:t>
            </w:r>
            <w:r>
              <w:rPr>
                <w:rFonts w:ascii="Calibri" w:cs="Calibri" w:eastAsia="Calibri" w:hAnsi="Calibri"/>
                <w:b w:val="false"/>
                <w:bCs w:val="false"/>
                <w:i w:val="false"/>
                <w:iCs w:val="false"/>
                <w:color w:val="151A22"/>
                <w:sz w:val="18"/>
                <w:szCs w:val="18"/>
              </w:rPr>
              <w:t xml:space="preserve"> text to the empty homepage images.</w:t>
            </w:r>
          </w:p>
        </w:tc>
      </w:tr>
    </w:tbl>
    <w:p>
      <w:pPr>
        <w:pBdr>
          <w:bottom w:val="single" w:color="E1E6EE" w:sz="6"/>
        </w:pBdr>
        <w:spacing w:after="40" w:before="200"/>
      </w:pPr>
      <w:r>
        <w:rPr>
          <w:rFonts w:ascii="Calibri" w:cs="Calibri" w:eastAsia="Calibri" w:hAnsi="Calibri"/>
          <w:b/>
          <w:bCs/>
          <w:color w:val="8A94A4"/>
          <w:spacing w:val="15"/>
          <w:sz w:val="18"/>
          <w:szCs w:val="18"/>
        </w:rPr>
        <w:t xml:space="preserve">PAGE SECTIONS · TOP → BOTTOM</w:t>
      </w:r>
    </w:p>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FBF0D9" w:color="auto" w:val="clear"/>
            <w:tcMar>
              <w:top w:type="dxa" w:w="80"/>
              <w:left w:type="dxa" w:w="120"/>
              <w:bottom w:type="dxa" w:w="80"/>
              <w:right w:type="dxa" w:w="60"/>
            </w:tcMar>
          </w:tcPr>
          <w:p>
            <w:r>
              <w:rPr>
                <w:rFonts w:ascii="Calibri" w:cs="Calibri" w:eastAsia="Calibri" w:hAnsi="Calibri"/>
                <w:b/>
                <w:bCs/>
                <w:color w:val="9A6300"/>
                <w:sz w:val="22"/>
                <w:szCs w:val="22"/>
              </w:rPr>
              <w:t xml:space="preserve">01</w:t>
            </w:r>
          </w:p>
        </w:tc>
        <w:tc>
          <w:tcPr>
            <w:tcW w:type="dxa" w:w="6740"/>
            <w:shd w:fill="FBF0D9" w:color="auto" w:val="clear"/>
            <w:tcMar>
              <w:top w:type="dxa" w:w="80"/>
              <w:left w:type="dxa" w:w="60"/>
              <w:bottom w:type="dxa" w:w="80"/>
              <w:right w:type="dxa" w:w="60"/>
            </w:tcMar>
          </w:tcPr>
          <w:p>
            <w:r>
              <w:rPr>
                <w:rFonts w:ascii="Calibri" w:cs="Calibri" w:eastAsia="Calibri" w:hAnsi="Calibri"/>
                <w:b/>
                <w:bCs/>
                <w:color w:val="151A22"/>
                <w:sz w:val="22"/>
                <w:szCs w:val="22"/>
              </w:rPr>
              <w:t xml:space="preserve">Hero</w:t>
            </w:r>
          </w:p>
        </w:tc>
        <w:tc>
          <w:tcPr>
            <w:tcW w:type="dxa" w:w="1800"/>
            <w:shd w:fill="FBF0D9" w:color="auto" w:val="clear"/>
            <w:tcMar>
              <w:top w:type="dxa" w:w="80"/>
              <w:left w:type="dxa" w:w="60"/>
              <w:bottom w:type="dxa" w:w="80"/>
              <w:right w:type="dxa" w:w="120"/>
            </w:tcMar>
          </w:tcPr>
          <w:p>
            <w:pPr>
              <w:jc w:val="right"/>
            </w:pPr>
            <w:r>
              <w:rPr>
                <w:rFonts w:ascii="Consolas" w:cs="Consolas" w:eastAsia="Consolas" w:hAnsi="Consolas"/>
                <w:b/>
                <w:bCs/>
                <w:color w:val="9A6300"/>
                <w:sz w:val="16"/>
                <w:szCs w:val="16"/>
              </w:rPr>
              <w:t xml:space="preserve">CHANGED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40"/>
            </w:pPr>
            <w:r>
              <w:rPr>
                <w:rFonts w:ascii="Consolas" w:cs="Consolas" w:eastAsia="Consolas" w:hAnsi="Consolas"/>
                <w:b/>
                <w:bCs/>
                <w:color w:val="2F57C9"/>
                <w:spacing w:val="20"/>
                <w:sz w:val="15"/>
                <w:szCs w:val="15"/>
              </w:rPr>
              <w:t xml:space="preserve">ON-PREMISE &amp; PRIVATE DEPLOYMENT AVAILABLE</w:t>
            </w:r>
          </w:p>
          <w:p>
            <w:pPr>
              <w:spacing w:after="40"/>
            </w:pPr>
            <w:r>
              <w:rPr>
                <w:rFonts w:ascii="Consolas" w:cs="Consolas" w:eastAsia="Consolas" w:hAnsi="Consolas"/>
                <w:strike/>
                <w:color w:val="8A94A4"/>
                <w:sz w:val="17"/>
                <w:szCs w:val="17"/>
              </w:rPr>
              <w:t xml:space="preserve">Was: H1: “AI that resolves high-stakes conversations end-to-end”</w:t>
            </w:r>
          </w:p>
          <w:p>
            <w:pPr>
              <w:spacing w:after="80"/>
            </w:pPr>
            <w:r>
              <w:rPr>
                <w:rFonts w:ascii="Calibri" w:cs="Calibri" w:eastAsia="Calibri" w:hAnsi="Calibri"/>
                <w:b/>
                <w:bCs/>
                <w:color w:val="151A22"/>
                <w:sz w:val="30"/>
                <w:szCs w:val="30"/>
              </w:rPr>
              <w:t xml:space="preserve">Voice AI agents for high-stakes conversations. Verified, resolved, audited.</w:t>
            </w:r>
          </w:p>
          <w:p>
            <w:pPr>
              <w:spacing w:after="100"/>
            </w:pPr>
            <w:r>
              <w:rPr>
                <w:rFonts w:ascii="Calibri" w:cs="Calibri" w:eastAsia="Calibri" w:hAnsi="Calibri"/>
                <w:i w:val="false"/>
                <w:iCs w:val="false"/>
                <w:color w:val="586274"/>
                <w:sz w:val="21"/>
                <w:szCs w:val="21"/>
              </w:rPr>
              <w:t xml:space="preserve">Trillet’s voice AI agents verify identity, take action in your live systems, and follow through across voice, SMS and chat. Every call ends on a complete audit trail.</w:t>
            </w:r>
          </w:p>
          <w:p>
            <w:pPr>
              <w:spacing w:after="120" w:before="40"/>
            </w:pPr>
            <w:r>
              <w:rPr>
                <w:rFonts w:ascii="Consolas" w:cs="Consolas" w:eastAsia="Consolas" w:hAnsi="Consolas"/>
                <w:b/>
                <w:bCs/>
                <w:color w:val="2F57C9"/>
                <w:sz w:val="18"/>
                <w:szCs w:val="18"/>
              </w:rPr>
              <w:t xml:space="preserve">[ Try the live demo   ·   Speak to sales ]</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Retain the animated live-call transcript demo and the “Demo our AI” email-capture widget exactly as built. Only the headline, subhead and eyebrow change. The H1 leads with the keyword and stays enterprise in tone.</w:t>
            </w:r>
          </w:p>
        </w:tc>
      </w:tr>
    </w:tbl>
    <w:p>
      <w:pPr>
        <w:spacing w:after="80" w:before="40"/>
      </w:pPr>
      <w:r>
        <w:rPr>
          <w:rFonts w:ascii="Consolas" w:cs="Consolas" w:eastAsia="Consolas" w:hAnsi="Consolas"/>
          <w:b/>
          <w:bCs/>
          <w:color w:val="586274"/>
          <w:sz w:val="16"/>
          <w:szCs w:val="16"/>
        </w:rPr>
        <w:t xml:space="preserve">Captures: </w:t>
      </w:r>
      <w:r>
        <w:rPr>
          <w:rFonts w:ascii="Consolas" w:cs="Consolas" w:eastAsia="Consolas" w:hAnsi="Consolas"/>
          <w:color w:val="8A94A4"/>
          <w:sz w:val="16"/>
          <w:szCs w:val="16"/>
        </w:rPr>
        <w:t xml:space="preserve">voice AI agents · AI voice agents · AI phone agents</w:t>
      </w:r>
    </w:p>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E8F5EE" w:color="auto" w:val="clear"/>
            <w:tcMar>
              <w:top w:type="dxa" w:w="80"/>
              <w:left w:type="dxa" w:w="120"/>
              <w:bottom w:type="dxa" w:w="80"/>
              <w:right w:type="dxa" w:w="60"/>
            </w:tcMar>
          </w:tcPr>
          <w:p>
            <w:r>
              <w:rPr>
                <w:rFonts w:ascii="Calibri" w:cs="Calibri" w:eastAsia="Calibri" w:hAnsi="Calibri"/>
                <w:b/>
                <w:bCs/>
                <w:color w:val="0C7A49"/>
                <w:sz w:val="22"/>
                <w:szCs w:val="22"/>
              </w:rPr>
              <w:t xml:space="preserve">02</w:t>
            </w:r>
          </w:p>
        </w:tc>
        <w:tc>
          <w:tcPr>
            <w:tcW w:type="dxa" w:w="6740"/>
            <w:shd w:fill="E8F5EE" w:color="auto" w:val="clear"/>
            <w:tcMar>
              <w:top w:type="dxa" w:w="80"/>
              <w:left w:type="dxa" w:w="60"/>
              <w:bottom w:type="dxa" w:w="80"/>
              <w:right w:type="dxa" w:w="60"/>
            </w:tcMar>
          </w:tcPr>
          <w:p>
            <w:r>
              <w:rPr>
                <w:rFonts w:ascii="Calibri" w:cs="Calibri" w:eastAsia="Calibri" w:hAnsi="Calibri"/>
                <w:b/>
                <w:bCs/>
                <w:color w:val="151A22"/>
                <w:sz w:val="22"/>
                <w:szCs w:val="22"/>
              </w:rPr>
              <w:t xml:space="preserve">Who it’s for — three paths (right after hero)</w:t>
            </w:r>
          </w:p>
        </w:tc>
        <w:tc>
          <w:tcPr>
            <w:tcW w:type="dxa" w:w="1800"/>
            <w:shd w:fill="E8F5EE" w:color="auto" w:val="clear"/>
            <w:tcMar>
              <w:top w:type="dxa" w:w="80"/>
              <w:left w:type="dxa" w:w="60"/>
              <w:bottom w:type="dxa" w:w="80"/>
              <w:right w:type="dxa" w:w="120"/>
            </w:tcMar>
          </w:tcPr>
          <w:p>
            <w:pPr>
              <w:jc w:val="right"/>
            </w:pPr>
            <w:r>
              <w:rPr>
                <w:rFonts w:ascii="Consolas" w:cs="Consolas" w:eastAsia="Consolas" w:hAnsi="Consolas"/>
                <w:b/>
                <w:bCs/>
                <w:color w:val="0C7A49"/>
                <w:sz w:val="16"/>
                <w:szCs w:val="16"/>
              </w:rPr>
              <w:t xml:space="preserve">NEW</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40"/>
            </w:pPr>
            <w:r>
              <w:rPr>
                <w:rFonts w:ascii="Consolas" w:cs="Consolas" w:eastAsia="Consolas" w:hAnsi="Consolas"/>
                <w:b/>
                <w:bCs/>
                <w:color w:val="2F57C9"/>
                <w:spacing w:val="20"/>
                <w:sz w:val="15"/>
                <w:szCs w:val="15"/>
              </w:rPr>
              <w:t xml:space="preserve">WHO RUNS TRILLET</w:t>
            </w:r>
          </w:p>
          <w:p>
            <w:pPr>
              <w:spacing w:after="80" w:before="60"/>
            </w:pPr>
            <w:r>
              <w:rPr>
                <w:rFonts w:ascii="Calibri" w:cs="Calibri" w:eastAsia="Calibri" w:hAnsi="Calibri"/>
                <w:b/>
                <w:bCs/>
                <w:color w:val="151A22"/>
                <w:sz w:val="30"/>
                <w:szCs w:val="30"/>
              </w:rPr>
              <w:t xml:space="preserve">Built for small business, agencies and enterprise</w:t>
            </w:r>
          </w:p>
          <w:p>
            <w:pPr>
              <w:spacing w:after="100"/>
            </w:pPr>
            <w:r>
              <w:rPr>
                <w:rFonts w:ascii="Calibri" w:cs="Calibri" w:eastAsia="Calibri" w:hAnsi="Calibri"/>
                <w:i w:val="false"/>
                <w:iCs w:val="false"/>
                <w:color w:val="586274"/>
                <w:sz w:val="21"/>
                <w:szCs w:val="21"/>
              </w:rPr>
              <w:t xml:space="preserve">The same verified, audited voice AI agents, set up for how you operate.</w:t>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3120"/>
              <w:gridCol w:w="3120"/>
              <w:gridCol w:w="3120"/>
            </w:tblGrid>
            <w:tr>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The AI receptionist for calls you can’t get wrong</w:t>
                  </w:r>
                </w:p>
                <w:p>
                  <w:pPr>
                    <w:spacing w:after="30"/>
                  </w:pPr>
                  <w:r>
                    <w:rPr>
                      <w:rFonts w:ascii="Consolas" w:cs="Consolas" w:eastAsia="Consolas" w:hAnsi="Consolas"/>
                      <w:b/>
                      <w:bCs/>
                      <w:color w:val="8A94A4"/>
                      <w:spacing w:val="12"/>
                      <w:sz w:val="13"/>
                      <w:szCs w:val="13"/>
                    </w:rPr>
                    <w:t xml:space="preserve">SMALL BUSINESS</w:t>
                  </w:r>
                </w:p>
                <w:p>
                  <w:pPr>
                    <w:spacing w:after="30"/>
                  </w:pPr>
                  <w:r>
                    <w:rPr>
                      <w:rFonts w:ascii="Calibri" w:cs="Calibri" w:eastAsia="Calibri" w:hAnsi="Calibri"/>
                      <w:color w:val="586274"/>
                      <w:sz w:val="18"/>
                      <w:szCs w:val="18"/>
                    </w:rPr>
                    <w:t xml:space="preserve">Answer every call, day or night, without adding headcount. Live in minutes, from $49/mo. The same compliance the enterprise runs on.</w:t>
                  </w:r>
                </w:p>
                <w:p>
                  <w:r>
                    <w:rPr>
                      <w:rFonts w:ascii="Consolas" w:cs="Consolas" w:eastAsia="Consolas" w:hAnsi="Consolas"/>
                      <w:b/>
                      <w:bCs/>
                      <w:color w:val="2F57C9"/>
                      <w:sz w:val="15"/>
                      <w:szCs w:val="15"/>
                    </w:rPr>
                    <w:t xml:space="preserve">See receptionist plans →</w:t>
                  </w:r>
                </w:p>
              </w:tc>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Resell under your own brand</w:t>
                  </w:r>
                </w:p>
                <w:p>
                  <w:pPr>
                    <w:spacing w:after="30"/>
                  </w:pPr>
                  <w:r>
                    <w:rPr>
                      <w:rFonts w:ascii="Consolas" w:cs="Consolas" w:eastAsia="Consolas" w:hAnsi="Consolas"/>
                      <w:b/>
                      <w:bCs/>
                      <w:color w:val="8A94A4"/>
                      <w:spacing w:val="12"/>
                      <w:sz w:val="13"/>
                      <w:szCs w:val="13"/>
                    </w:rPr>
                    <w:t xml:space="preserve">AGENCIES &amp; RESELLERS</w:t>
                  </w:r>
                </w:p>
                <w:p>
                  <w:pPr>
                    <w:spacing w:after="30"/>
                  </w:pPr>
                  <w:r>
                    <w:rPr>
                      <w:rFonts w:ascii="Calibri" w:cs="Calibri" w:eastAsia="Calibri" w:hAnsi="Calibri"/>
                      <w:color w:val="586274"/>
                      <w:sz w:val="18"/>
                      <w:szCs w:val="18"/>
                    </w:rPr>
                    <w:t xml:space="preserve">Sell voice AI your clients’ compliance team will approve. White-label agents, isolated workspaces, your margin.</w:t>
                  </w:r>
                </w:p>
                <w:p>
                  <w:r>
                    <w:rPr>
                      <w:rFonts w:ascii="Consolas" w:cs="Consolas" w:eastAsia="Consolas" w:hAnsi="Consolas"/>
                      <w:b/>
                      <w:bCs/>
                      <w:color w:val="2F57C9"/>
                      <w:sz w:val="15"/>
                      <w:szCs w:val="15"/>
                    </w:rPr>
                    <w:t xml:space="preserve">See the white-label platform →</w:t>
                  </w:r>
                </w:p>
              </w:tc>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Agents that verify, act and pass the audit</w:t>
                  </w:r>
                </w:p>
                <w:p>
                  <w:pPr>
                    <w:spacing w:after="30"/>
                  </w:pPr>
                  <w:r>
                    <w:rPr>
                      <w:rFonts w:ascii="Consolas" w:cs="Consolas" w:eastAsia="Consolas" w:hAnsi="Consolas"/>
                      <w:b/>
                      <w:bCs/>
                      <w:color w:val="8A94A4"/>
                      <w:spacing w:val="12"/>
                      <w:sz w:val="13"/>
                      <w:szCs w:val="13"/>
                    </w:rPr>
                    <w:t xml:space="preserve">ENTERPRISE</w:t>
                  </w:r>
                </w:p>
                <w:p>
                  <w:pPr>
                    <w:spacing w:after="30"/>
                  </w:pPr>
                  <w:r>
                    <w:rPr>
                      <w:rFonts w:ascii="Calibri" w:cs="Calibri" w:eastAsia="Calibri" w:hAnsi="Calibri"/>
                      <w:color w:val="586274"/>
                      <w:sz w:val="18"/>
                      <w:szCs w:val="18"/>
                    </w:rPr>
                    <w:t xml:space="preserve">Calls that must be verified, actioned and auditable. HIPAA, SOC 2, APRA and IRAP. On-premise or private cloud, inside your environment.</w:t>
                  </w:r>
                </w:p>
                <w:p>
                  <w:r>
                    <w:rPr>
                      <w:rFonts w:ascii="Consolas" w:cs="Consolas" w:eastAsia="Consolas" w:hAnsi="Consolas"/>
                      <w:b/>
                      <w:bCs/>
                      <w:color w:val="2F57C9"/>
                      <w:sz w:val="15"/>
                      <w:szCs w:val="15"/>
                    </w:rPr>
                    <w:t xml:space="preserve">Book a compliance review →</w:t>
                  </w:r>
                </w:p>
              </w:tc>
            </w:tr>
          </w:tbl>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New 3-card path selector directly under the hero — the first thing a visitor sees after the pitch, so each buyer self-selects. Equal-weight cards, each ending in its own CTA. Headlines are the positioning doc’s segment lines.</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SEO NOTE  </w:t>
            </w:r>
            <w:r>
              <w:rPr>
                <w:rFonts w:ascii="Calibri" w:cs="Calibri" w:eastAsia="Calibri" w:hAnsi="Calibri"/>
                <w:b w:val="false"/>
                <w:bCs w:val="false"/>
                <w:i w:val="false"/>
                <w:iCs w:val="false"/>
                <w:color w:val="151A22"/>
                <w:sz w:val="18"/>
                <w:szCs w:val="18"/>
              </w:rPr>
              <w:t xml:space="preserve">The three CTAs are keyword-rich internal links to </w:t>
            </w:r>
            <w:r>
              <w:rPr>
                <w:rFonts w:ascii="Consolas" w:cs="Consolas" w:eastAsia="Consolas" w:hAnsi="Consolas"/>
                <w:color w:val="151A22"/>
                <w:sz w:val="17"/>
                <w:szCs w:val="17"/>
              </w:rPr>
              <w:t xml:space="preserve">/ai-receptionist</w:t>
            </w:r>
            <w:r>
              <w:rPr>
                <w:rFonts w:ascii="Calibri" w:cs="Calibri" w:eastAsia="Calibri" w:hAnsi="Calibri"/>
                <w:b w:val="false"/>
                <w:bCs w:val="false"/>
                <w:i w:val="false"/>
                <w:iCs w:val="false"/>
                <w:color w:val="151A22"/>
                <w:sz w:val="18"/>
                <w:szCs w:val="18"/>
              </w:rPr>
              <w:t xml:space="preserve">, </w:t>
            </w:r>
            <w:r>
              <w:rPr>
                <w:rFonts w:ascii="Consolas" w:cs="Consolas" w:eastAsia="Consolas" w:hAnsi="Consolas"/>
                <w:color w:val="151A22"/>
                <w:sz w:val="17"/>
                <w:szCs w:val="17"/>
              </w:rPr>
              <w:t xml:space="preserve">/whitelabel</w:t>
            </w:r>
            <w:r>
              <w:rPr>
                <w:rFonts w:ascii="Calibri" w:cs="Calibri" w:eastAsia="Calibri" w:hAnsi="Calibri"/>
                <w:b w:val="false"/>
                <w:bCs w:val="false"/>
                <w:i w:val="false"/>
                <w:iCs w:val="false"/>
                <w:color w:val="151A22"/>
                <w:sz w:val="18"/>
                <w:szCs w:val="18"/>
              </w:rPr>
              <w:t xml:space="preserve">, </w:t>
            </w:r>
            <w:r>
              <w:rPr>
                <w:rFonts w:ascii="Consolas" w:cs="Consolas" w:eastAsia="Consolas" w:hAnsi="Consolas"/>
                <w:color w:val="151A22"/>
                <w:sz w:val="17"/>
                <w:szCs w:val="17"/>
              </w:rPr>
              <w:t xml:space="preserve">/enterprise</w:t>
            </w:r>
            <w:r>
              <w:rPr>
                <w:rFonts w:ascii="Calibri" w:cs="Calibri" w:eastAsia="Calibri" w:hAnsi="Calibri"/>
                <w:b w:val="false"/>
                <w:bCs w:val="false"/>
                <w:i w:val="false"/>
                <w:iCs w:val="false"/>
                <w:color w:val="151A22"/>
                <w:sz w:val="18"/>
                <w:szCs w:val="18"/>
              </w:rPr>
              <w:t xml:space="preserve"> — high on the highest-authority page, so anchor relevance and link equity flow to the money pages from above the fold.</w:t>
            </w:r>
          </w:p>
        </w:tc>
      </w:tr>
    </w:tbl>
    <w:p>
      <w:pPr>
        <w:spacing w:after="80" w:before="40"/>
      </w:pPr>
      <w:r>
        <w:rPr>
          <w:rFonts w:ascii="Consolas" w:cs="Consolas" w:eastAsia="Consolas" w:hAnsi="Consolas"/>
          <w:b/>
          <w:bCs/>
          <w:color w:val="586274"/>
          <w:sz w:val="16"/>
          <w:szCs w:val="16"/>
        </w:rPr>
        <w:t xml:space="preserve">Captures: </w:t>
      </w:r>
      <w:r>
        <w:rPr>
          <w:rFonts w:ascii="Consolas" w:cs="Consolas" w:eastAsia="Consolas" w:hAnsi="Consolas"/>
          <w:color w:val="8A94A4"/>
          <w:sz w:val="16"/>
          <w:szCs w:val="16"/>
        </w:rPr>
        <w:t xml:space="preserve">AI receptionist · white-label voice AI · enterprise voice AI</w:t>
      </w:r>
    </w:p>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EEF1F6" w:color="auto" w:val="clear"/>
            <w:tcMar>
              <w:top w:type="dxa" w:w="80"/>
              <w:left w:type="dxa" w:w="120"/>
              <w:bottom w:type="dxa" w:w="80"/>
              <w:right w:type="dxa" w:w="60"/>
            </w:tcMar>
          </w:tcPr>
          <w:p>
            <w:r>
              <w:rPr>
                <w:rFonts w:ascii="Calibri" w:cs="Calibri" w:eastAsia="Calibri" w:hAnsi="Calibri"/>
                <w:b/>
                <w:bCs/>
                <w:color w:val="48566A"/>
                <w:sz w:val="22"/>
                <w:szCs w:val="22"/>
              </w:rPr>
              <w:t xml:space="preserve">03</w:t>
            </w:r>
          </w:p>
        </w:tc>
        <w:tc>
          <w:tcPr>
            <w:tcW w:type="dxa" w:w="6740"/>
            <w:shd w:fill="EEF1F6" w:color="auto" w:val="clear"/>
            <w:tcMar>
              <w:top w:type="dxa" w:w="80"/>
              <w:left w:type="dxa" w:w="60"/>
              <w:bottom w:type="dxa" w:w="80"/>
              <w:right w:type="dxa" w:w="60"/>
            </w:tcMar>
          </w:tcPr>
          <w:p>
            <w:r>
              <w:rPr>
                <w:rFonts w:ascii="Calibri" w:cs="Calibri" w:eastAsia="Calibri" w:hAnsi="Calibri"/>
                <w:b/>
                <w:bCs/>
                <w:color w:val="151A22"/>
                <w:sz w:val="22"/>
                <w:szCs w:val="22"/>
              </w:rPr>
              <w:t xml:space="preserve">Brand / customer strip</w:t>
            </w:r>
          </w:p>
        </w:tc>
        <w:tc>
          <w:tcPr>
            <w:tcW w:type="dxa" w:w="1800"/>
            <w:shd w:fill="EEF1F6" w:color="auto" w:val="clear"/>
            <w:tcMar>
              <w:top w:type="dxa" w:w="80"/>
              <w:left w:type="dxa" w:w="60"/>
              <w:bottom w:type="dxa" w:w="80"/>
              <w:right w:type="dxa" w:w="120"/>
            </w:tcMar>
          </w:tcPr>
          <w:p>
            <w:pPr>
              <w:jc w:val="right"/>
            </w:pPr>
            <w:r>
              <w:rPr>
                <w:rFonts w:ascii="Consolas" w:cs="Consolas" w:eastAsia="Consolas" w:hAnsi="Consolas"/>
                <w:b/>
                <w:bCs/>
                <w:color w:val="48566A"/>
                <w:sz w:val="16"/>
                <w:szCs w:val="16"/>
              </w:rPr>
              <w:t xml:space="preserve">RETAINED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40"/>
            </w:pPr>
            <w:r>
              <w:rPr>
                <w:rFonts w:ascii="Consolas" w:cs="Consolas" w:eastAsia="Consolas" w:hAnsi="Consolas"/>
                <w:b/>
                <w:bCs/>
                <w:color w:val="2F57C9"/>
                <w:spacing w:val="20"/>
                <w:sz w:val="15"/>
                <w:szCs w:val="15"/>
              </w:rPr>
              <w:t xml:space="preserve">IN PRODUCTION WITH</w:t>
            </w:r>
          </w:p>
          <w:p>
            <w:pPr>
              <w:spacing w:after="100"/>
            </w:pPr>
            <w:r>
              <w:rPr>
                <w:rFonts w:ascii="Calibri" w:cs="Calibri" w:eastAsia="Calibri" w:hAnsi="Calibri"/>
                <w:i w:val="false"/>
                <w:iCs w:val="false"/>
                <w:color w:val="8A94A4"/>
                <w:sz w:val="18"/>
                <w:szCs w:val="18"/>
              </w:rPr>
              <w:t xml:space="preserve">[ Customer logo ]   [ Customer logo ]   [ Customer logo ]   [ Customer logo ]   [ Customer logo ]</w:t>
            </w:r>
          </w:p>
          <w:p>
            <w:pPr>
              <w:spacing w:after="0"/>
            </w:pPr>
            <w:r>
              <w:rPr>
                <w:rFonts w:ascii="Calibri" w:cs="Calibri" w:eastAsia="Calibri" w:hAnsi="Calibri"/>
                <w:i w:val="false"/>
                <w:iCs w:val="false"/>
                <w:color w:val="8A94A4"/>
                <w:sz w:val="17"/>
                <w:szCs w:val="17"/>
              </w:rPr>
              <w:t xml:space="preserve">Proudly Australian, globally trusted.</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Keep the existing “In production with” customer-logo row and the “Proudly Australian, globally trusted” line as built. No copy change.</w:t>
            </w:r>
          </w:p>
        </w:tc>
      </w:tr>
    </w:tbl>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E8F5EE" w:color="auto" w:val="clear"/>
            <w:tcMar>
              <w:top w:type="dxa" w:w="80"/>
              <w:left w:type="dxa" w:w="120"/>
              <w:bottom w:type="dxa" w:w="80"/>
              <w:right w:type="dxa" w:w="60"/>
            </w:tcMar>
          </w:tcPr>
          <w:p>
            <w:r>
              <w:rPr>
                <w:rFonts w:ascii="Calibri" w:cs="Calibri" w:eastAsia="Calibri" w:hAnsi="Calibri"/>
                <w:b/>
                <w:bCs/>
                <w:color w:val="0C7A49"/>
                <w:sz w:val="22"/>
                <w:szCs w:val="22"/>
              </w:rPr>
              <w:t xml:space="preserve">04</w:t>
            </w:r>
          </w:p>
        </w:tc>
        <w:tc>
          <w:tcPr>
            <w:tcW w:type="dxa" w:w="6740"/>
            <w:shd w:fill="E8F5EE" w:color="auto" w:val="clear"/>
            <w:tcMar>
              <w:top w:type="dxa" w:w="80"/>
              <w:left w:type="dxa" w:w="60"/>
              <w:bottom w:type="dxa" w:w="80"/>
              <w:right w:type="dxa" w:w="60"/>
            </w:tcMar>
          </w:tcPr>
          <w:p>
            <w:r>
              <w:rPr>
                <w:rFonts w:ascii="Calibri" w:cs="Calibri" w:eastAsia="Calibri" w:hAnsi="Calibri"/>
                <w:b/>
                <w:bCs/>
                <w:color w:val="151A22"/>
                <w:sz w:val="22"/>
                <w:szCs w:val="22"/>
              </w:rPr>
              <w:t xml:space="preserve">What is a Trillet voice AI agent?</w:t>
            </w:r>
          </w:p>
        </w:tc>
        <w:tc>
          <w:tcPr>
            <w:tcW w:type="dxa" w:w="1800"/>
            <w:shd w:fill="E8F5EE" w:color="auto" w:val="clear"/>
            <w:tcMar>
              <w:top w:type="dxa" w:w="80"/>
              <w:left w:type="dxa" w:w="60"/>
              <w:bottom w:type="dxa" w:w="80"/>
              <w:right w:type="dxa" w:w="120"/>
            </w:tcMar>
          </w:tcPr>
          <w:p>
            <w:pPr>
              <w:jc w:val="right"/>
            </w:pPr>
            <w:r>
              <w:rPr>
                <w:rFonts w:ascii="Consolas" w:cs="Consolas" w:eastAsia="Consolas" w:hAnsi="Consolas"/>
                <w:b/>
                <w:bCs/>
                <w:color w:val="0C7A49"/>
                <w:sz w:val="16"/>
                <w:szCs w:val="16"/>
              </w:rPr>
              <w:t xml:space="preserve">NEW</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40"/>
            </w:pPr>
            <w:r>
              <w:rPr>
                <w:rFonts w:ascii="Consolas" w:cs="Consolas" w:eastAsia="Consolas" w:hAnsi="Consolas"/>
                <w:b/>
                <w:bCs/>
                <w:color w:val="2F57C9"/>
                <w:spacing w:val="20"/>
                <w:sz w:val="15"/>
                <w:szCs w:val="15"/>
              </w:rPr>
              <w:t xml:space="preserve">MEET THE PRODUCT</w:t>
            </w:r>
          </w:p>
          <w:p>
            <w:pPr>
              <w:spacing w:after="80" w:before="60"/>
            </w:pPr>
            <w:r>
              <w:rPr>
                <w:rFonts w:ascii="Calibri" w:cs="Calibri" w:eastAsia="Calibri" w:hAnsi="Calibri"/>
                <w:b/>
                <w:bCs/>
                <w:color w:val="151A22"/>
                <w:sz w:val="30"/>
                <w:szCs w:val="30"/>
              </w:rPr>
              <w:t xml:space="preserve">What is a Trillet voice AI agent?</w:t>
            </w:r>
          </w:p>
          <w:p>
            <w:pPr>
              <w:spacing w:after="100"/>
            </w:pPr>
            <w:r>
              <w:rPr>
                <w:rFonts w:ascii="Calibri" w:cs="Calibri" w:eastAsia="Calibri" w:hAnsi="Calibri"/>
                <w:i w:val="false"/>
                <w:iCs w:val="false"/>
                <w:color w:val="151A22"/>
                <w:sz w:val="21"/>
                <w:szCs w:val="21"/>
              </w:rPr>
              <w:t xml:space="preserve">A voice AI agent answers the phone and holds a real conversation. It listens, understands what the caller needs, and replies in a natural voice. No menus. No hold music.</w:t>
            </w:r>
          </w:p>
          <w:p>
            <w:pPr>
              <w:spacing w:after="100"/>
            </w:pPr>
            <w:r>
              <w:rPr>
                <w:rFonts w:ascii="Calibri" w:cs="Calibri" w:eastAsia="Calibri" w:hAnsi="Calibri"/>
                <w:i w:val="false"/>
                <w:iCs w:val="false"/>
                <w:color w:val="151A22"/>
                <w:sz w:val="21"/>
                <w:szCs w:val="21"/>
              </w:rPr>
              <w:t xml:space="preserve">A Trillet agent also acts. It connects to your CRM, calendar, phone system and payment tools, confirms who it is speaking to, and completes the task on the call: books the appointment, sets up the payment plan, updates the case, sends the confirmation. It works across voice, SMS and chat, and writes every step to an audit trail.</w:t>
            </w:r>
          </w:p>
          <w:p>
            <w:pPr>
              <w:spacing w:after="100"/>
            </w:pPr>
            <w:r>
              <w:rPr>
                <w:rFonts w:ascii="Calibri" w:cs="Calibri" w:eastAsia="Calibri" w:hAnsi="Calibri"/>
                <w:i w:val="false"/>
                <w:iCs w:val="false"/>
                <w:color w:val="151A22"/>
                <w:sz w:val="21"/>
                <w:szCs w:val="21"/>
              </w:rPr>
              <w:t xml:space="preserve">It is built for calls that can’t go wrong. Verified before it acts. Resolved in your live systems. Audited end to end.</w:t>
            </w:r>
          </w:p>
          <w:p>
            <w:pPr>
              <w:spacing w:after="120" w:before="40"/>
            </w:pPr>
            <w:r>
              <w:rPr>
                <w:rFonts w:ascii="Consolas" w:cs="Consolas" w:eastAsia="Consolas" w:hAnsi="Consolas"/>
                <w:b/>
                <w:bCs/>
                <w:color w:val="2F57C9"/>
                <w:sz w:val="18"/>
                <w:szCs w:val="18"/>
              </w:rPr>
              <w:t xml:space="preserve">[ Try the live demo   ·   See how it works → ]</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New prose block, placed high. Text-led; an optional inline diagram (listen → verify → act → confirm). Three tight paragraphs, so it stays scannable.</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SEO NOTE  </w:t>
            </w:r>
            <w:r>
              <w:rPr>
                <w:rFonts w:ascii="Calibri" w:cs="Calibri" w:eastAsia="Calibri" w:hAnsi="Calibri"/>
                <w:b w:val="false"/>
                <w:bCs w:val="false"/>
                <w:i w:val="false"/>
                <w:iCs w:val="false"/>
                <w:color w:val="151A22"/>
                <w:sz w:val="18"/>
                <w:szCs w:val="18"/>
              </w:rPr>
              <w:t xml:space="preserve">The branded H2 keeps the exact phrase </w:t>
            </w:r>
            <w:r>
              <w:rPr>
                <w:rFonts w:ascii="Calibri" w:cs="Calibri" w:eastAsia="Calibri" w:hAnsi="Calibri"/>
                <w:b/>
                <w:bCs/>
                <w:i w:val="false"/>
                <w:iCs w:val="false"/>
                <w:color w:val="151A22"/>
                <w:sz w:val="18"/>
                <w:szCs w:val="18"/>
              </w:rPr>
              <w:t xml:space="preserve">“voice AI agent”</w:t>
            </w:r>
            <w:r>
              <w:rPr>
                <w:rFonts w:ascii="Calibri" w:cs="Calibri" w:eastAsia="Calibri" w:hAnsi="Calibri"/>
                <w:b w:val="false"/>
                <w:bCs w:val="false"/>
                <w:i w:val="false"/>
                <w:iCs w:val="false"/>
                <w:color w:val="151A22"/>
                <w:sz w:val="18"/>
                <w:szCs w:val="18"/>
              </w:rPr>
              <w:t xml:space="preserve"> and reads as a natural-language question, while framing Trillet. The unbranded query </w:t>
            </w:r>
            <w:r>
              <w:rPr>
                <w:rFonts w:ascii="Calibri" w:cs="Calibri" w:eastAsia="Calibri" w:hAnsi="Calibri"/>
                <w:b/>
                <w:bCs/>
                <w:i w:val="false"/>
                <w:iCs w:val="false"/>
                <w:color w:val="151A22"/>
                <w:sz w:val="18"/>
                <w:szCs w:val="18"/>
              </w:rPr>
              <w:t xml:space="preserve">“what is an AI voice agent”</w:t>
            </w:r>
            <w:r>
              <w:rPr>
                <w:rFonts w:ascii="Calibri" w:cs="Calibri" w:eastAsia="Calibri" w:hAnsi="Calibri"/>
                <w:b w:val="false"/>
                <w:bCs w:val="false"/>
                <w:i w:val="false"/>
                <w:iCs w:val="false"/>
                <w:color w:val="151A22"/>
                <w:sz w:val="18"/>
                <w:szCs w:val="18"/>
              </w:rPr>
              <w:t xml:space="preserve"> is still captured as FAQ #1 (§14) with </w:t>
            </w:r>
            <w:r>
              <w:rPr>
                <w:rFonts w:ascii="Consolas" w:cs="Consolas" w:eastAsia="Consolas" w:hAnsi="Consolas"/>
                <w:color w:val="151A22"/>
                <w:sz w:val="17"/>
                <w:szCs w:val="17"/>
              </w:rPr>
              <w:t xml:space="preserve">FAQPage</w:t>
            </w:r>
            <w:r>
              <w:rPr>
                <w:rFonts w:ascii="Calibri" w:cs="Calibri" w:eastAsia="Calibri" w:hAnsi="Calibri"/>
                <w:b w:val="false"/>
                <w:bCs w:val="false"/>
                <w:i w:val="false"/>
                <w:iCs w:val="false"/>
                <w:color w:val="151A22"/>
                <w:sz w:val="18"/>
                <w:szCs w:val="18"/>
              </w:rPr>
              <w:t xml:space="preserve"> schema, so nothing informational is lost.</w:t>
            </w:r>
          </w:p>
        </w:tc>
      </w:tr>
    </w:tbl>
    <w:p>
      <w:pPr>
        <w:spacing w:after="80" w:before="40"/>
      </w:pPr>
      <w:r>
        <w:rPr>
          <w:rFonts w:ascii="Consolas" w:cs="Consolas" w:eastAsia="Consolas" w:hAnsi="Consolas"/>
          <w:b/>
          <w:bCs/>
          <w:color w:val="586274"/>
          <w:sz w:val="16"/>
          <w:szCs w:val="16"/>
        </w:rPr>
        <w:t xml:space="preserve">Captures: </w:t>
      </w:r>
      <w:r>
        <w:rPr>
          <w:rFonts w:ascii="Consolas" w:cs="Consolas" w:eastAsia="Consolas" w:hAnsi="Consolas"/>
          <w:color w:val="8A94A4"/>
          <w:sz w:val="16"/>
          <w:szCs w:val="16"/>
        </w:rPr>
        <w:t xml:space="preserve">Trillet voice AI agent · what a voice AI agent does · AI phone agent</w:t>
      </w:r>
    </w:p>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FBF0D9" w:color="auto" w:val="clear"/>
            <w:tcMar>
              <w:top w:type="dxa" w:w="80"/>
              <w:left w:type="dxa" w:w="120"/>
              <w:bottom w:type="dxa" w:w="80"/>
              <w:right w:type="dxa" w:w="60"/>
            </w:tcMar>
          </w:tcPr>
          <w:p>
            <w:r>
              <w:rPr>
                <w:rFonts w:ascii="Calibri" w:cs="Calibri" w:eastAsia="Calibri" w:hAnsi="Calibri"/>
                <w:b/>
                <w:bCs/>
                <w:color w:val="9A6300"/>
                <w:sz w:val="22"/>
                <w:szCs w:val="22"/>
              </w:rPr>
              <w:t xml:space="preserve">05</w:t>
            </w:r>
          </w:p>
        </w:tc>
        <w:tc>
          <w:tcPr>
            <w:tcW w:type="dxa" w:w="6740"/>
            <w:shd w:fill="FBF0D9" w:color="auto" w:val="clear"/>
            <w:tcMar>
              <w:top w:type="dxa" w:w="80"/>
              <w:left w:type="dxa" w:w="60"/>
              <w:bottom w:type="dxa" w:w="80"/>
              <w:right w:type="dxa" w:w="60"/>
            </w:tcMar>
          </w:tcPr>
          <w:p>
            <w:r>
              <w:rPr>
                <w:rFonts w:ascii="Calibri" w:cs="Calibri" w:eastAsia="Calibri" w:hAnsi="Calibri"/>
                <w:b/>
                <w:bCs/>
                <w:color w:val="151A22"/>
                <w:sz w:val="22"/>
                <w:szCs w:val="22"/>
              </w:rPr>
              <w:t xml:space="preserve">Proven impact</w:t>
            </w:r>
          </w:p>
        </w:tc>
        <w:tc>
          <w:tcPr>
            <w:tcW w:type="dxa" w:w="1800"/>
            <w:shd w:fill="FBF0D9" w:color="auto" w:val="clear"/>
            <w:tcMar>
              <w:top w:type="dxa" w:w="80"/>
              <w:left w:type="dxa" w:w="60"/>
              <w:bottom w:type="dxa" w:w="80"/>
              <w:right w:type="dxa" w:w="120"/>
            </w:tcMar>
          </w:tcPr>
          <w:p>
            <w:pPr>
              <w:jc w:val="right"/>
            </w:pPr>
            <w:r>
              <w:rPr>
                <w:rFonts w:ascii="Consolas" w:cs="Consolas" w:eastAsia="Consolas" w:hAnsi="Consolas"/>
                <w:b/>
                <w:bCs/>
                <w:color w:val="9A6300"/>
                <w:sz w:val="16"/>
                <w:szCs w:val="16"/>
              </w:rPr>
              <w:t xml:space="preserve">CHANGED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80" w:before="60"/>
            </w:pPr>
            <w:r>
              <w:rPr>
                <w:rFonts w:ascii="Calibri" w:cs="Calibri" w:eastAsia="Calibri" w:hAnsi="Calibri"/>
                <w:b/>
                <w:bCs/>
                <w:color w:val="151A22"/>
                <w:sz w:val="30"/>
                <w:szCs w:val="30"/>
              </w:rPr>
              <w:t xml:space="preserve">Measurable results in regulated environments</w:t>
            </w:r>
          </w:p>
          <w:p>
            <w:pPr>
              <w:spacing w:after="100"/>
            </w:pPr>
            <w:r>
              <w:rPr>
                <w:rFonts w:ascii="Calibri" w:cs="Calibri" w:eastAsia="Calibri" w:hAnsi="Calibri"/>
                <w:i w:val="false"/>
                <w:iCs w:val="false"/>
                <w:color w:val="151A22"/>
                <w:sz w:val="21"/>
                <w:szCs w:val="21"/>
              </w:rPr>
              <w:t xml:space="preserve">85% of complex calls resolved   ·   80% reduction in cost to serve   ·   10× lower call abandonment   ·   32% reduction in no-shows</w:t>
            </w:r>
          </w:p>
          <w:p>
            <w:pPr>
              <w:spacing w:after="100"/>
            </w:pPr>
            <w:r>
              <w:rPr>
                <w:rFonts w:ascii="Calibri" w:cs="Calibri" w:eastAsia="Calibri" w:hAnsi="Calibri"/>
                <w:i w:val="false"/>
                <w:iCs w:val="false"/>
                <w:color w:val="586274"/>
                <w:sz w:val="21"/>
                <w:szCs w:val="21"/>
              </w:rPr>
              <w:t xml:space="preserve">In a Google Cloud customer case study, Trillet held error rates under 1% and cut call escalations to under 15%, resolving high-stakes calls end to end in a regulated environment.</w:t>
            </w:r>
          </w:p>
          <w:p>
            <w:pPr>
              <w:spacing w:after="120" w:before="40"/>
            </w:pPr>
            <w:r>
              <w:rPr>
                <w:rFonts w:ascii="Consolas" w:cs="Consolas" w:eastAsia="Consolas" w:hAnsi="Consolas"/>
                <w:b/>
                <w:bCs/>
                <w:color w:val="2F57C9"/>
                <w:sz w:val="18"/>
                <w:szCs w:val="18"/>
              </w:rPr>
              <w:t xml:space="preserve">[ Read the case study → ]</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Retain the stat tiles and the Google Cloud case-study card as built. Additions: the one context sentence, and a “Read the case study” link on the card.</w:t>
            </w:r>
          </w:p>
        </w:tc>
      </w:tr>
    </w:tbl>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FBF0D9" w:color="auto" w:val="clear"/>
            <w:tcMar>
              <w:top w:type="dxa" w:w="80"/>
              <w:left w:type="dxa" w:w="120"/>
              <w:bottom w:type="dxa" w:w="80"/>
              <w:right w:type="dxa" w:w="60"/>
            </w:tcMar>
          </w:tcPr>
          <w:p>
            <w:r>
              <w:rPr>
                <w:rFonts w:ascii="Calibri" w:cs="Calibri" w:eastAsia="Calibri" w:hAnsi="Calibri"/>
                <w:b/>
                <w:bCs/>
                <w:color w:val="9A6300"/>
                <w:sz w:val="22"/>
                <w:szCs w:val="22"/>
              </w:rPr>
              <w:t xml:space="preserve">06</w:t>
            </w:r>
          </w:p>
        </w:tc>
        <w:tc>
          <w:tcPr>
            <w:tcW w:type="dxa" w:w="6740"/>
            <w:shd w:fill="FBF0D9" w:color="auto" w:val="clear"/>
            <w:tcMar>
              <w:top w:type="dxa" w:w="80"/>
              <w:left w:type="dxa" w:w="60"/>
              <w:bottom w:type="dxa" w:w="80"/>
              <w:right w:type="dxa" w:w="60"/>
            </w:tcMar>
          </w:tcPr>
          <w:p>
            <w:r>
              <w:rPr>
                <w:rFonts w:ascii="Calibri" w:cs="Calibri" w:eastAsia="Calibri" w:hAnsi="Calibri"/>
                <w:b/>
                <w:bCs/>
                <w:color w:val="151A22"/>
                <w:sz w:val="22"/>
                <w:szCs w:val="22"/>
              </w:rPr>
              <w:t xml:space="preserve">How Trillet works: Verify → Resolve → Audit trail</w:t>
            </w:r>
          </w:p>
        </w:tc>
        <w:tc>
          <w:tcPr>
            <w:tcW w:type="dxa" w:w="1800"/>
            <w:shd w:fill="FBF0D9" w:color="auto" w:val="clear"/>
            <w:tcMar>
              <w:top w:type="dxa" w:w="80"/>
              <w:left w:type="dxa" w:w="60"/>
              <w:bottom w:type="dxa" w:w="80"/>
              <w:right w:type="dxa" w:w="120"/>
            </w:tcMar>
          </w:tcPr>
          <w:p>
            <w:pPr>
              <w:jc w:val="right"/>
            </w:pPr>
            <w:r>
              <w:rPr>
                <w:rFonts w:ascii="Consolas" w:cs="Consolas" w:eastAsia="Consolas" w:hAnsi="Consolas"/>
                <w:b/>
                <w:bCs/>
                <w:color w:val="9A6300"/>
                <w:sz w:val="16"/>
                <w:szCs w:val="16"/>
              </w:rPr>
              <w:t xml:space="preserve">CHANGED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40"/>
            </w:pPr>
            <w:r>
              <w:rPr>
                <w:rFonts w:ascii="Consolas" w:cs="Consolas" w:eastAsia="Consolas" w:hAnsi="Consolas"/>
                <w:b/>
                <w:bCs/>
                <w:color w:val="2F57C9"/>
                <w:spacing w:val="20"/>
                <w:sz w:val="15"/>
                <w:szCs w:val="15"/>
              </w:rPr>
              <w:t xml:space="preserve">HOW TRILLET WORKS</w:t>
            </w:r>
          </w:p>
          <w:p>
            <w:pPr>
              <w:spacing w:after="80" w:before="60"/>
            </w:pPr>
            <w:r>
              <w:rPr>
                <w:rFonts w:ascii="Calibri" w:cs="Calibri" w:eastAsia="Calibri" w:hAnsi="Calibri"/>
                <w:b/>
                <w:bCs/>
                <w:color w:val="151A22"/>
                <w:sz w:val="30"/>
                <w:szCs w:val="30"/>
              </w:rPr>
              <w:t xml:space="preserve">Every call verified, resolved and audited</w:t>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3120"/>
              <w:gridCol w:w="3120"/>
              <w:gridCol w:w="3120"/>
            </w:tblGrid>
            <w:tr>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Verify</w:t>
                  </w:r>
                </w:p>
                <w:p>
                  <w:pPr>
                    <w:spacing w:after="0"/>
                  </w:pPr>
                  <w:r>
                    <w:rPr>
                      <w:rFonts w:ascii="Calibri" w:cs="Calibri" w:eastAsia="Calibri" w:hAnsi="Calibri"/>
                      <w:color w:val="586274"/>
                      <w:sz w:val="18"/>
                      <w:szCs w:val="18"/>
                    </w:rPr>
                    <w:t xml:space="preserve">Identity is confirmed to your compliance standard before any action is taken. Name and date of birth, reference number, callback-number match.</w:t>
                  </w:r>
                </w:p>
              </w:tc>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Resolve</w:t>
                  </w:r>
                </w:p>
                <w:p>
                  <w:pPr>
                    <w:spacing w:after="0"/>
                  </w:pPr>
                  <w:r>
                    <w:rPr>
                      <w:rFonts w:ascii="Calibri" w:cs="Calibri" w:eastAsia="Calibri" w:hAnsi="Calibri"/>
                      <w:color w:val="586274"/>
                      <w:sz w:val="18"/>
                      <w:szCs w:val="18"/>
                    </w:rPr>
                    <w:t xml:space="preserve">Bookings, payments, case updates and recovery happen in your live tools during the call. It works with the systems you already run.</w:t>
                  </w:r>
                </w:p>
              </w:tc>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Audit trail</w:t>
                  </w:r>
                </w:p>
                <w:p>
                  <w:pPr>
                    <w:spacing w:after="0"/>
                  </w:pPr>
                  <w:r>
                    <w:rPr>
                      <w:rFonts w:ascii="Calibri" w:cs="Calibri" w:eastAsia="Calibri" w:hAnsi="Calibri"/>
                      <w:color w:val="586274"/>
                      <w:sz w:val="18"/>
                      <w:szCs w:val="18"/>
                    </w:rPr>
                    <w:t xml:space="preserve">Every action is timestamped to a complete audit trail. A summary goes out after the call. Recordings and transcripts are held with Australian data residency.</w:t>
                  </w:r>
                </w:p>
              </w:tc>
            </w:tr>
          </w:tbl>
          <w:p>
            <w:pPr>
              <w:spacing w:after="120" w:before="40"/>
            </w:pPr>
            <w:r>
              <w:rPr>
                <w:rFonts w:ascii="Consolas" w:cs="Consolas" w:eastAsia="Consolas" w:hAnsi="Consolas"/>
                <w:b/>
                <w:bCs/>
                <w:color w:val="2F57C9"/>
                <w:sz w:val="18"/>
                <w:szCs w:val="18"/>
              </w:rPr>
              <w:t xml:space="preserve">[ See it on a live call → ]</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Reuse the existing 4-step “From conversation to completed outcome” animation and its panels. </w:t>
            </w:r>
            <w:r>
              <w:rPr>
                <w:rFonts w:ascii="Calibri" w:cs="Calibri" w:eastAsia="Calibri" w:hAnsi="Calibri"/>
                <w:b w:val="false"/>
                <w:bCs w:val="false"/>
                <w:i w:val="false"/>
                <w:iCs w:val="false"/>
                <w:color w:val="151A22"/>
                <w:sz w:val="18"/>
                <w:szCs w:val="18"/>
              </w:rPr>
              <w:t xml:space="preserve">Relabel the third step from “Closed with full audit” to </w:t>
            </w:r>
            <w:r>
              <w:rPr>
                <w:rFonts w:ascii="Calibri" w:cs="Calibri" w:eastAsia="Calibri" w:hAnsi="Calibri"/>
                <w:b/>
                <w:bCs/>
                <w:i w:val="false"/>
                <w:iCs w:val="false"/>
                <w:color w:val="151A22"/>
                <w:sz w:val="18"/>
                <w:szCs w:val="18"/>
              </w:rPr>
              <w:t xml:space="preserve">“Audit trail”</w:t>
            </w:r>
            <w:r>
              <w:rPr>
                <w:rFonts w:ascii="Calibri" w:cs="Calibri" w:eastAsia="Calibri" w:hAnsi="Calibri"/>
                <w:b w:val="false"/>
                <w:bCs w:val="false"/>
                <w:i w:val="false"/>
                <w:iCs w:val="false"/>
                <w:color w:val="151A22"/>
                <w:sz w:val="18"/>
                <w:szCs w:val="18"/>
              </w:rPr>
              <w:t xml:space="preserve">, fold “Handled at scale” into the intro, and de-duplicate (it currently renders twice in the DOM). The audit-trail timeline panel already exists — lean on it.</w:t>
            </w:r>
          </w:p>
        </w:tc>
      </w:tr>
    </w:tbl>
    <w:p>
      <w:pPr>
        <w:spacing w:after="80" w:before="40"/>
      </w:pPr>
      <w:r>
        <w:rPr>
          <w:rFonts w:ascii="Consolas" w:cs="Consolas" w:eastAsia="Consolas" w:hAnsi="Consolas"/>
          <w:b/>
          <w:bCs/>
          <w:color w:val="586274"/>
          <w:sz w:val="16"/>
          <w:szCs w:val="16"/>
        </w:rPr>
        <w:t xml:space="preserve">Captures: </w:t>
      </w:r>
      <w:r>
        <w:rPr>
          <w:rFonts w:ascii="Consolas" w:cs="Consolas" w:eastAsia="Consolas" w:hAnsi="Consolas"/>
          <w:color w:val="8A94A4"/>
          <w:sz w:val="16"/>
          <w:szCs w:val="16"/>
        </w:rPr>
        <w:t xml:space="preserve">identity verification · audit trail · AI that takes action on calls</w:t>
      </w:r>
    </w:p>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E8F5EE" w:color="auto" w:val="clear"/>
            <w:tcMar>
              <w:top w:type="dxa" w:w="80"/>
              <w:left w:type="dxa" w:w="120"/>
              <w:bottom w:type="dxa" w:w="80"/>
              <w:right w:type="dxa" w:w="60"/>
            </w:tcMar>
          </w:tcPr>
          <w:p>
            <w:r>
              <w:rPr>
                <w:rFonts w:ascii="Calibri" w:cs="Calibri" w:eastAsia="Calibri" w:hAnsi="Calibri"/>
                <w:b/>
                <w:bCs/>
                <w:color w:val="0C7A49"/>
                <w:sz w:val="22"/>
                <w:szCs w:val="22"/>
              </w:rPr>
              <w:t xml:space="preserve">07</w:t>
            </w:r>
          </w:p>
        </w:tc>
        <w:tc>
          <w:tcPr>
            <w:tcW w:type="dxa" w:w="6740"/>
            <w:shd w:fill="E8F5EE" w:color="auto" w:val="clear"/>
            <w:tcMar>
              <w:top w:type="dxa" w:w="80"/>
              <w:left w:type="dxa" w:w="60"/>
              <w:bottom w:type="dxa" w:w="80"/>
              <w:right w:type="dxa" w:w="60"/>
            </w:tcMar>
          </w:tcPr>
          <w:p>
            <w:r>
              <w:rPr>
                <w:rFonts w:ascii="Calibri" w:cs="Calibri" w:eastAsia="Calibri" w:hAnsi="Calibri"/>
                <w:b/>
                <w:bCs/>
                <w:color w:val="151A22"/>
                <w:sz w:val="22"/>
                <w:szCs w:val="22"/>
              </w:rPr>
              <w:t xml:space="preserve">Capabilities</w:t>
            </w:r>
          </w:p>
        </w:tc>
        <w:tc>
          <w:tcPr>
            <w:tcW w:type="dxa" w:w="1800"/>
            <w:shd w:fill="E8F5EE" w:color="auto" w:val="clear"/>
            <w:tcMar>
              <w:top w:type="dxa" w:w="80"/>
              <w:left w:type="dxa" w:w="60"/>
              <w:bottom w:type="dxa" w:w="80"/>
              <w:right w:type="dxa" w:w="120"/>
            </w:tcMar>
          </w:tcPr>
          <w:p>
            <w:pPr>
              <w:jc w:val="right"/>
            </w:pPr>
            <w:r>
              <w:rPr>
                <w:rFonts w:ascii="Consolas" w:cs="Consolas" w:eastAsia="Consolas" w:hAnsi="Consolas"/>
                <w:b/>
                <w:bCs/>
                <w:color w:val="0C7A49"/>
                <w:sz w:val="16"/>
                <w:szCs w:val="16"/>
              </w:rPr>
              <w:t xml:space="preserve">NEW</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40"/>
            </w:pPr>
            <w:r>
              <w:rPr>
                <w:rFonts w:ascii="Consolas" w:cs="Consolas" w:eastAsia="Consolas" w:hAnsi="Consolas"/>
                <w:b/>
                <w:bCs/>
                <w:color w:val="2F57C9"/>
                <w:spacing w:val="20"/>
                <w:sz w:val="15"/>
                <w:szCs w:val="15"/>
              </w:rPr>
              <w:t xml:space="preserve">WHAT THE AGENT CAN DO</w:t>
            </w:r>
          </w:p>
          <w:p>
            <w:pPr>
              <w:spacing w:after="80" w:before="60"/>
            </w:pPr>
            <w:r>
              <w:rPr>
                <w:rFonts w:ascii="Calibri" w:cs="Calibri" w:eastAsia="Calibri" w:hAnsi="Calibri"/>
                <w:b/>
                <w:bCs/>
                <w:color w:val="151A22"/>
                <w:sz w:val="30"/>
                <w:szCs w:val="30"/>
              </w:rPr>
              <w:t xml:space="preserve">What a Trillet agent handles on the call</w:t>
            </w:r>
          </w:p>
          <w:p>
            <w:pPr>
              <w:spacing w:after="100"/>
            </w:pPr>
            <w:r>
              <w:rPr>
                <w:rFonts w:ascii="Calibri" w:cs="Calibri" w:eastAsia="Calibri" w:hAnsi="Calibri"/>
                <w:i w:val="false"/>
                <w:iCs w:val="false"/>
                <w:color w:val="586274"/>
                <w:sz w:val="21"/>
                <w:szCs w:val="21"/>
              </w:rPr>
              <w:t xml:space="preserve">From answering and identity checks to booking, payments and CRM updates. Across voice, SMS, chat and email.</w:t>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4680"/>
              <w:gridCol w:w="4680"/>
            </w:tblGrid>
            <w:tr>
              <w:tc>
                <w:tcPr>
                  <w:tcW w:type="dxa" w:w="468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Answer and engage</w:t>
                  </w:r>
                </w:p>
                <w:p>
                  <w:pPr>
                    <w:spacing w:after="0"/>
                  </w:pPr>
                  <w:r>
                    <w:rPr>
                      <w:rFonts w:ascii="Calibri" w:cs="Calibri" w:eastAsia="Calibri" w:hAnsi="Calibri"/>
                      <w:color w:val="586274"/>
                      <w:sz w:val="18"/>
                      <w:szCs w:val="18"/>
                    </w:rPr>
                    <w:t xml:space="preserve">Inbound answering and outbound campaigns, day and night. Voice, SMS, web chat and email in one thread. Natural voice, with cloning available. Warm transfer to your team, and call forwarding with no number porting.</w:t>
                  </w:r>
                </w:p>
              </w:tc>
              <w:tc>
                <w:tcPr>
                  <w:tcW w:type="dxa" w:w="468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Verify before it acts</w:t>
                  </w:r>
                </w:p>
                <w:p>
                  <w:pPr>
                    <w:spacing w:after="0"/>
                  </w:pPr>
                  <w:r>
                    <w:rPr>
                      <w:rFonts w:ascii="Calibri" w:cs="Calibri" w:eastAsia="Calibri" w:hAnsi="Calibri"/>
                      <w:color w:val="586274"/>
                      <w:sz w:val="18"/>
                      <w:szCs w:val="18"/>
                    </w:rPr>
                    <w:t xml:space="preserve">Confirms identity to your compliance standard before acting. Role-based access on every workspace.</w:t>
                  </w:r>
                </w:p>
              </w:tc>
            </w:tr>
            <w:tr>
              <w:tc>
                <w:tcPr>
                  <w:tcW w:type="dxa" w:w="468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Resolve in your live systems</w:t>
                  </w:r>
                </w:p>
                <w:p>
                  <w:pPr>
                    <w:spacing w:after="0"/>
                  </w:pPr>
                  <w:r>
                    <w:rPr>
                      <w:rFonts w:ascii="Calibri" w:cs="Calibri" w:eastAsia="Calibri" w:hAnsi="Calibri"/>
                      <w:color w:val="586274"/>
                      <w:sz w:val="18"/>
                      <w:szCs w:val="18"/>
                    </w:rPr>
                    <w:t xml:space="preserve">Books and reschedules appointments, sets up payments and plans, captures and qualifies leads, updates cases, runs recovery. Written to your CRM, PMS, telephony, payments and calendars on the call.</w:t>
                  </w:r>
                </w:p>
              </w:tc>
              <w:tc>
                <w:tcPr>
                  <w:tcW w:type="dxa" w:w="468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Keep the audit trail</w:t>
                  </w:r>
                </w:p>
                <w:p>
                  <w:pPr>
                    <w:spacing w:after="0"/>
                  </w:pPr>
                  <w:r>
                    <w:rPr>
                      <w:rFonts w:ascii="Calibri" w:cs="Calibri" w:eastAsia="Calibri" w:hAnsi="Calibri"/>
                      <w:color w:val="586274"/>
                      <w:sz w:val="18"/>
                      <w:szCs w:val="18"/>
                    </w:rPr>
                    <w:t xml:space="preserve">Every action timestamped. Post-call summaries and confirmations by SMS and email. Recordings and transcripts held in-country.</w:t>
                  </w:r>
                </w:p>
              </w:tc>
            </w:tr>
            <w:tr>
              <w:tc>
                <w:tcPr>
                  <w:tcW w:type="dxa" w:w="468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Build and deploy</w:t>
                  </w:r>
                </w:p>
                <w:p>
                  <w:pPr>
                    <w:spacing w:after="0"/>
                  </w:pPr>
                  <w:r>
                    <w:rPr>
                      <w:rFonts w:ascii="Calibri" w:cs="Calibri" w:eastAsia="Calibri" w:hAnsi="Calibri"/>
                      <w:color w:val="586274"/>
                      <w:sz w:val="18"/>
                      <w:szCs w:val="18"/>
                    </w:rPr>
                    <w:t xml:space="preserve">Build an agent by scanning your website and go live in minutes. Start from templates. Orchestrate calls, SMS and email from one trigger. Deploy in cloud, private cloud or on-premise.</w:t>
                  </w:r>
                </w:p>
              </w:tc>
              <w:tc>
                <w:tcPr>
                  <w:tcW w:type="dxa" w:w="4680"/>
                  <w:shd w:fill="FFFFFF" w:color="auto" w:val="clear"/>
                  <w:tcMar>
                    <w:top w:type="dxa" w:w="100"/>
                    <w:left w:type="dxa" w:w="130"/>
                    <w:bottom w:type="dxa" w:w="100"/>
                    <w:right w:type="dxa" w:w="130"/>
                  </w:tcMar>
                </w:tcPr>
                <w:p>
                  <w:r>
                    <w:t xml:space="preserve"/>
                  </w:r>
                </w:p>
              </w:tc>
            </w:tr>
          </w:tbl>
          <w:p>
            <w:pPr>
              <w:spacing w:after="120" w:before="40"/>
            </w:pPr>
            <w:r>
              <w:rPr>
                <w:rFonts w:ascii="Consolas" w:cs="Consolas" w:eastAsia="Consolas" w:hAnsi="Consolas"/>
                <w:b/>
                <w:bCs/>
                <w:color w:val="2F57C9"/>
                <w:sz w:val="18"/>
                <w:szCs w:val="18"/>
              </w:rPr>
              <w:t xml:space="preserve">[ Explore the platform → ]</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New 5-card grid (2-up desktop, 1-up mobile). This is the main feature-keyword section. Keep cards flat and uniform. Pairs with §10 (which covers why, not what) — don’t repeat points across the two.</w:t>
            </w:r>
          </w:p>
        </w:tc>
      </w:tr>
    </w:tbl>
    <w:p>
      <w:pPr>
        <w:spacing w:after="80" w:before="40"/>
      </w:pPr>
      <w:r>
        <w:rPr>
          <w:rFonts w:ascii="Consolas" w:cs="Consolas" w:eastAsia="Consolas" w:hAnsi="Consolas"/>
          <w:b/>
          <w:bCs/>
          <w:color w:val="586274"/>
          <w:sz w:val="16"/>
          <w:szCs w:val="16"/>
        </w:rPr>
        <w:t xml:space="preserve">Captures: </w:t>
      </w:r>
      <w:r>
        <w:rPr>
          <w:rFonts w:ascii="Consolas" w:cs="Consolas" w:eastAsia="Consolas" w:hAnsi="Consolas"/>
          <w:color w:val="8A94A4"/>
          <w:sz w:val="16"/>
          <w:szCs w:val="16"/>
        </w:rPr>
        <w:t xml:space="preserve">AI appointment booking · AI that takes payments · CRM integration · outbound AI calling · no-code voice agent</w:t>
      </w:r>
    </w:p>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FBF0D9" w:color="auto" w:val="clear"/>
            <w:tcMar>
              <w:top w:type="dxa" w:w="80"/>
              <w:left w:type="dxa" w:w="120"/>
              <w:bottom w:type="dxa" w:w="80"/>
              <w:right w:type="dxa" w:w="60"/>
            </w:tcMar>
          </w:tcPr>
          <w:p>
            <w:r>
              <w:rPr>
                <w:rFonts w:ascii="Calibri" w:cs="Calibri" w:eastAsia="Calibri" w:hAnsi="Calibri"/>
                <w:b/>
                <w:bCs/>
                <w:color w:val="9A6300"/>
                <w:sz w:val="22"/>
                <w:szCs w:val="22"/>
              </w:rPr>
              <w:t xml:space="preserve">08</w:t>
            </w:r>
          </w:p>
        </w:tc>
        <w:tc>
          <w:tcPr>
            <w:tcW w:type="dxa" w:w="6740"/>
            <w:shd w:fill="FBF0D9" w:color="auto" w:val="clear"/>
            <w:tcMar>
              <w:top w:type="dxa" w:w="80"/>
              <w:left w:type="dxa" w:w="60"/>
              <w:bottom w:type="dxa" w:w="80"/>
              <w:right w:type="dxa" w:w="60"/>
            </w:tcMar>
          </w:tcPr>
          <w:p>
            <w:r>
              <w:rPr>
                <w:rFonts w:ascii="Calibri" w:cs="Calibri" w:eastAsia="Calibri" w:hAnsi="Calibri"/>
                <w:b/>
                <w:bCs/>
                <w:color w:val="151A22"/>
                <w:sz w:val="22"/>
                <w:szCs w:val="22"/>
              </w:rPr>
              <w:t xml:space="preserve">Built for the industries where calls can’t go wrong</w:t>
            </w:r>
          </w:p>
        </w:tc>
        <w:tc>
          <w:tcPr>
            <w:tcW w:type="dxa" w:w="1800"/>
            <w:shd w:fill="FBF0D9" w:color="auto" w:val="clear"/>
            <w:tcMar>
              <w:top w:type="dxa" w:w="80"/>
              <w:left w:type="dxa" w:w="60"/>
              <w:bottom w:type="dxa" w:w="80"/>
              <w:right w:type="dxa" w:w="120"/>
            </w:tcMar>
          </w:tcPr>
          <w:p>
            <w:pPr>
              <w:jc w:val="right"/>
            </w:pPr>
            <w:r>
              <w:rPr>
                <w:rFonts w:ascii="Consolas" w:cs="Consolas" w:eastAsia="Consolas" w:hAnsi="Consolas"/>
                <w:b/>
                <w:bCs/>
                <w:color w:val="9A6300"/>
                <w:sz w:val="16"/>
                <w:szCs w:val="16"/>
              </w:rPr>
              <w:t xml:space="preserve">CHANGED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80" w:before="60"/>
            </w:pPr>
            <w:r>
              <w:rPr>
                <w:rFonts w:ascii="Calibri" w:cs="Calibri" w:eastAsia="Calibri" w:hAnsi="Calibri"/>
                <w:b/>
                <w:bCs/>
                <w:color w:val="151A22"/>
                <w:sz w:val="30"/>
                <w:szCs w:val="30"/>
              </w:rPr>
              <w:t xml:space="preserve">Built for the industries where calls can’t go wrong</w:t>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3120"/>
              <w:gridCol w:w="3120"/>
              <w:gridCol w:w="3120"/>
            </w:tblGrid>
            <w:tr>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Healthcare</w:t>
                  </w:r>
                </w:p>
                <w:p>
                  <w:pPr>
                    <w:spacing w:after="30"/>
                  </w:pPr>
                  <w:r>
                    <w:rPr>
                      <w:rFonts w:ascii="Calibri" w:cs="Calibri" w:eastAsia="Calibri" w:hAnsi="Calibri"/>
                      <w:color w:val="586274"/>
                      <w:sz w:val="18"/>
                      <w:szCs w:val="18"/>
                    </w:rPr>
                    <w:t xml:space="preserve">Intake, booking, insurance verification and follow-ups under full HIPAA control. 32% fewer no-shows.</w:t>
                  </w:r>
                </w:p>
                <w:p>
                  <w:pPr>
                    <w:spacing w:after="20"/>
                  </w:pPr>
                  <w:r>
                    <w:rPr>
                      <w:rFonts w:ascii="Consolas" w:cs="Consolas" w:eastAsia="Consolas" w:hAnsi="Consolas"/>
                      <w:color w:val="8A94A4"/>
                      <w:sz w:val="14"/>
                      <w:szCs w:val="14"/>
                    </w:rPr>
                    <w:t xml:space="preserve">kw: AI receptionist for healthcare</w:t>
                  </w:r>
                </w:p>
                <w:p>
                  <w:r>
                    <w:rPr>
                      <w:rFonts w:ascii="Consolas" w:cs="Consolas" w:eastAsia="Consolas" w:hAnsi="Consolas"/>
                      <w:b/>
                      <w:bCs/>
                      <w:color w:val="2F57C9"/>
                      <w:sz w:val="15"/>
                      <w:szCs w:val="15"/>
                    </w:rPr>
                    <w:t xml:space="preserve">Healthcare →</w:t>
                  </w:r>
                </w:p>
              </w:tc>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Legal</w:t>
                  </w:r>
                </w:p>
                <w:p>
                  <w:pPr>
                    <w:spacing w:after="30"/>
                  </w:pPr>
                  <w:r>
                    <w:rPr>
                      <w:rFonts w:ascii="Calibri" w:cs="Calibri" w:eastAsia="Calibri" w:hAnsi="Calibri"/>
                      <w:color w:val="586274"/>
                      <w:sz w:val="18"/>
                      <w:szCs w:val="18"/>
                    </w:rPr>
                    <w:t xml:space="preserve">After-hours enquiries and new-matter intake, qualified and booked to the right lawyer.</w:t>
                  </w:r>
                </w:p>
                <w:p>
                  <w:pPr>
                    <w:spacing w:after="20"/>
                  </w:pPr>
                  <w:r>
                    <w:rPr>
                      <w:rFonts w:ascii="Consolas" w:cs="Consolas" w:eastAsia="Consolas" w:hAnsi="Consolas"/>
                      <w:color w:val="8A94A4"/>
                      <w:sz w:val="14"/>
                      <w:szCs w:val="14"/>
                    </w:rPr>
                    <w:t xml:space="preserve">kw: AI intake for law firms</w:t>
                  </w:r>
                </w:p>
                <w:p>
                  <w:r>
                    <w:rPr>
                      <w:rFonts w:ascii="Consolas" w:cs="Consolas" w:eastAsia="Consolas" w:hAnsi="Consolas"/>
                      <w:b/>
                      <w:bCs/>
                      <w:color w:val="2F57C9"/>
                      <w:sz w:val="15"/>
                      <w:szCs w:val="15"/>
                    </w:rPr>
                    <w:t xml:space="preserve">Legal →</w:t>
                  </w:r>
                </w:p>
              </w:tc>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Finance</w:t>
                  </w:r>
                </w:p>
                <w:p>
                  <w:pPr>
                    <w:spacing w:after="30"/>
                  </w:pPr>
                  <w:r>
                    <w:rPr>
                      <w:rFonts w:ascii="Calibri" w:cs="Calibri" w:eastAsia="Calibri" w:hAnsi="Calibri"/>
                      <w:color w:val="586274"/>
                      <w:sz w:val="18"/>
                      <w:szCs w:val="18"/>
                    </w:rPr>
                    <w:t xml:space="preserve">Identity verification, payments and recovery at scale. Every step audited.</w:t>
                  </w:r>
                </w:p>
                <w:p>
                  <w:pPr>
                    <w:spacing w:after="20"/>
                  </w:pPr>
                  <w:r>
                    <w:rPr>
                      <w:rFonts w:ascii="Consolas" w:cs="Consolas" w:eastAsia="Consolas" w:hAnsi="Consolas"/>
                      <w:color w:val="8A94A4"/>
                      <w:sz w:val="14"/>
                      <w:szCs w:val="14"/>
                    </w:rPr>
                    <w:t xml:space="preserve">kw: voice AI for financial services</w:t>
                  </w:r>
                </w:p>
                <w:p>
                  <w:r>
                    <w:rPr>
                      <w:rFonts w:ascii="Consolas" w:cs="Consolas" w:eastAsia="Consolas" w:hAnsi="Consolas"/>
                      <w:b/>
                      <w:bCs/>
                      <w:color w:val="2F57C9"/>
                      <w:sz w:val="15"/>
                      <w:szCs w:val="15"/>
                    </w:rPr>
                    <w:t xml:space="preserve">Finance →</w:t>
                  </w:r>
                </w:p>
              </w:tc>
            </w:tr>
            <w:tr>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Government</w:t>
                  </w:r>
                </w:p>
                <w:p>
                  <w:pPr>
                    <w:spacing w:after="30"/>
                  </w:pPr>
                  <w:r>
                    <w:rPr>
                      <w:rFonts w:ascii="Calibri" w:cs="Calibri" w:eastAsia="Calibri" w:hAnsi="Calibri"/>
                      <w:color w:val="586274"/>
                      <w:sz w:val="18"/>
                      <w:szCs w:val="18"/>
                    </w:rPr>
                    <w:t xml:space="preserve">Resident enquiries, service requests, rates and payments, resolved on the call.</w:t>
                  </w:r>
                </w:p>
                <w:p>
                  <w:pPr>
                    <w:spacing w:after="20"/>
                  </w:pPr>
                  <w:r>
                    <w:rPr>
                      <w:rFonts w:ascii="Consolas" w:cs="Consolas" w:eastAsia="Consolas" w:hAnsi="Consolas"/>
                      <w:color w:val="8A94A4"/>
                      <w:sz w:val="14"/>
                      <w:szCs w:val="14"/>
                    </w:rPr>
                    <w:t xml:space="preserve">kw: AI voice agents for government</w:t>
                  </w:r>
                </w:p>
                <w:p>
                  <w:r>
                    <w:rPr>
                      <w:rFonts w:ascii="Consolas" w:cs="Consolas" w:eastAsia="Consolas" w:hAnsi="Consolas"/>
                      <w:b/>
                      <w:bCs/>
                      <w:color w:val="2F57C9"/>
                      <w:sz w:val="15"/>
                      <w:szCs w:val="15"/>
                    </w:rPr>
                    <w:t xml:space="preserve">Government →</w:t>
                  </w:r>
                </w:p>
              </w:tc>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Utilities</w:t>
                  </w:r>
                </w:p>
                <w:p>
                  <w:pPr>
                    <w:spacing w:after="30"/>
                  </w:pPr>
                  <w:r>
                    <w:rPr>
                      <w:rFonts w:ascii="Calibri" w:cs="Calibri" w:eastAsia="Calibri" w:hAnsi="Calibri"/>
                      <w:color w:val="586274"/>
                      <w:sz w:val="18"/>
                      <w:szCs w:val="18"/>
                    </w:rPr>
                    <w:t xml:space="preserve">Billing, payment plans, outages and service requests, handled at volume.</w:t>
                  </w:r>
                </w:p>
                <w:p>
                  <w:pPr>
                    <w:spacing w:after="20"/>
                  </w:pPr>
                  <w:r>
                    <w:rPr>
                      <w:rFonts w:ascii="Consolas" w:cs="Consolas" w:eastAsia="Consolas" w:hAnsi="Consolas"/>
                      <w:color w:val="8A94A4"/>
                      <w:sz w:val="14"/>
                      <w:szCs w:val="14"/>
                    </w:rPr>
                    <w:t xml:space="preserve">kw: AI phone agents for utilities</w:t>
                  </w:r>
                </w:p>
                <w:p>
                  <w:r>
                    <w:rPr>
                      <w:rFonts w:ascii="Consolas" w:cs="Consolas" w:eastAsia="Consolas" w:hAnsi="Consolas"/>
                      <w:b/>
                      <w:bCs/>
                      <w:color w:val="2F57C9"/>
                      <w:sz w:val="15"/>
                      <w:szCs w:val="15"/>
                    </w:rPr>
                    <w:t xml:space="preserve">Utilities →</w:t>
                  </w:r>
                </w:p>
              </w:tc>
              <w:tc>
                <w:tcPr>
                  <w:tcW w:type="dxa" w:w="3120"/>
                  <w:shd w:fill="FFFFFF" w:color="auto" w:val="clear"/>
                  <w:tcMar>
                    <w:top w:type="dxa" w:w="100"/>
                    <w:left w:type="dxa" w:w="130"/>
                    <w:bottom w:type="dxa" w:w="100"/>
                    <w:right w:type="dxa" w:w="130"/>
                  </w:tcMar>
                </w:tcPr>
                <w:p>
                  <w:r>
                    <w:t xml:space="preserve"/>
                  </w:r>
                </w:p>
              </w:tc>
            </w:tr>
          </w:tbl>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Keep the existing industry cards and layout. Add the keyword line to each card, and link each to its </w:t>
            </w:r>
            <w:r>
              <w:rPr>
                <w:rFonts w:ascii="Consolas" w:cs="Consolas" w:eastAsia="Consolas" w:hAnsi="Consolas"/>
                <w:color w:val="151A22"/>
                <w:sz w:val="17"/>
                <w:szCs w:val="17"/>
              </w:rPr>
              <w:t xml:space="preserve">/industries/*</w:t>
            </w:r>
            <w:r>
              <w:rPr>
                <w:rFonts w:ascii="Calibri" w:cs="Calibri" w:eastAsia="Calibri" w:hAnsi="Calibri"/>
                <w:b w:val="false"/>
                <w:bCs w:val="false"/>
                <w:i w:val="false"/>
                <w:iCs w:val="false"/>
                <w:color w:val="151A22"/>
                <w:sz w:val="18"/>
                <w:szCs w:val="18"/>
              </w:rPr>
              <w:t xml:space="preserve"> page — funnels homepage authority to industry pages the audit found stuck on page 3.</w:t>
            </w:r>
          </w:p>
        </w:tc>
      </w:tr>
    </w:tbl>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E8F5EE" w:color="auto" w:val="clear"/>
            <w:tcMar>
              <w:top w:type="dxa" w:w="80"/>
              <w:left w:type="dxa" w:w="120"/>
              <w:bottom w:type="dxa" w:w="80"/>
              <w:right w:type="dxa" w:w="60"/>
            </w:tcMar>
          </w:tcPr>
          <w:p>
            <w:r>
              <w:rPr>
                <w:rFonts w:ascii="Calibri" w:cs="Calibri" w:eastAsia="Calibri" w:hAnsi="Calibri"/>
                <w:b/>
                <w:bCs/>
                <w:color w:val="0C7A49"/>
                <w:sz w:val="22"/>
                <w:szCs w:val="22"/>
              </w:rPr>
              <w:t xml:space="preserve">09</w:t>
            </w:r>
          </w:p>
        </w:tc>
        <w:tc>
          <w:tcPr>
            <w:tcW w:type="dxa" w:w="6740"/>
            <w:shd w:fill="E8F5EE" w:color="auto" w:val="clear"/>
            <w:tcMar>
              <w:top w:type="dxa" w:w="80"/>
              <w:left w:type="dxa" w:w="60"/>
              <w:bottom w:type="dxa" w:w="80"/>
              <w:right w:type="dxa" w:w="60"/>
            </w:tcMar>
          </w:tcPr>
          <w:p>
            <w:r>
              <w:rPr>
                <w:rFonts w:ascii="Calibri" w:cs="Calibri" w:eastAsia="Calibri" w:hAnsi="Calibri"/>
                <w:b/>
                <w:bCs/>
                <w:color w:val="151A22"/>
                <w:sz w:val="22"/>
                <w:szCs w:val="22"/>
              </w:rPr>
              <w:t xml:space="preserve">One standard, every tier</w:t>
            </w:r>
          </w:p>
        </w:tc>
        <w:tc>
          <w:tcPr>
            <w:tcW w:type="dxa" w:w="1800"/>
            <w:shd w:fill="E8F5EE" w:color="auto" w:val="clear"/>
            <w:tcMar>
              <w:top w:type="dxa" w:w="80"/>
              <w:left w:type="dxa" w:w="60"/>
              <w:bottom w:type="dxa" w:w="80"/>
              <w:right w:type="dxa" w:w="120"/>
            </w:tcMar>
          </w:tcPr>
          <w:p>
            <w:pPr>
              <w:jc w:val="right"/>
            </w:pPr>
            <w:r>
              <w:rPr>
                <w:rFonts w:ascii="Consolas" w:cs="Consolas" w:eastAsia="Consolas" w:hAnsi="Consolas"/>
                <w:b/>
                <w:bCs/>
                <w:color w:val="0C7A49"/>
                <w:sz w:val="16"/>
                <w:szCs w:val="16"/>
              </w:rPr>
              <w:t xml:space="preserve">NEW</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40"/>
            </w:pPr>
            <w:r>
              <w:rPr>
                <w:rFonts w:ascii="Consolas" w:cs="Consolas" w:eastAsia="Consolas" w:hAnsi="Consolas"/>
                <w:b/>
                <w:bCs/>
                <w:color w:val="2F57C9"/>
                <w:spacing w:val="20"/>
                <w:sz w:val="15"/>
                <w:szCs w:val="15"/>
              </w:rPr>
              <w:t xml:space="preserve">COMPLIANCE AT EVERY TIER</w:t>
            </w:r>
          </w:p>
          <w:p>
            <w:pPr>
              <w:spacing w:after="80" w:before="60"/>
            </w:pPr>
            <w:r>
              <w:rPr>
                <w:rFonts w:ascii="Calibri" w:cs="Calibri" w:eastAsia="Calibri" w:hAnsi="Calibri"/>
                <w:b/>
                <w:bCs/>
                <w:color w:val="151A22"/>
                <w:sz w:val="30"/>
                <w:szCs w:val="30"/>
              </w:rPr>
              <w:t xml:space="preserve">One standard, every tier</w:t>
            </w:r>
          </w:p>
          <w:p>
            <w:pPr>
              <w:spacing w:after="100"/>
            </w:pPr>
            <w:r>
              <w:rPr>
                <w:rFonts w:ascii="Calibri" w:cs="Calibri" w:eastAsia="Calibri" w:hAnsi="Calibri"/>
                <w:i w:val="false"/>
                <w:iCs w:val="false"/>
                <w:color w:val="151A22"/>
                <w:sz w:val="21"/>
                <w:szCs w:val="21"/>
              </w:rPr>
              <w:t xml:space="preserve">The certifications and the audit trail are the same whether you pay $49 a month or sign an enterprise contract. The entry tier runs on the bar built for regulated enterprise.</w:t>
            </w:r>
          </w:p>
          <w:p>
            <w:pPr>
              <w:spacing w:after="80" w:before="60"/>
            </w:pPr>
            <w:r>
              <w:rPr>
                <w:rFonts w:ascii="Consolas" w:cs="Consolas" w:eastAsia="Consolas" w:hAnsi="Consolas"/>
                <w:color w:val="586274"/>
                <w:sz w:val="16"/>
                <w:szCs w:val="16"/>
              </w:rPr>
              <w:t xml:space="preserve">HIPAA   ·   SOC 2 Type II   ·   ISO 27001   ·   APRA CPS 234   ·   IRAP   ·   GDPR   ·   AU Data Residency</w:t>
            </w:r>
          </w:p>
          <w:p>
            <w:pPr>
              <w:spacing w:after="120" w:before="40"/>
            </w:pPr>
            <w:r>
              <w:rPr>
                <w:rFonts w:ascii="Consolas" w:cs="Consolas" w:eastAsia="Consolas" w:hAnsi="Consolas"/>
                <w:b/>
                <w:bCs/>
                <w:color w:val="2F57C9"/>
                <w:sz w:val="18"/>
                <w:szCs w:val="18"/>
              </w:rPr>
              <w:t xml:space="preserve">[ Compare plans → ]</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A single statement band, not a repeat of the ICP cards in §02. Those cover who + solution + CTA; this covers the trust point (one bar for all tiers). Full-width, quiet, badge-backed. Links to </w:t>
            </w:r>
            <w:r>
              <w:rPr>
                <w:rFonts w:ascii="Consolas" w:cs="Consolas" w:eastAsia="Consolas" w:hAnsi="Consolas"/>
                <w:color w:val="151A22"/>
                <w:sz w:val="17"/>
                <w:szCs w:val="17"/>
              </w:rPr>
              <w:t xml:space="preserve">/pricing</w:t>
            </w:r>
            <w:r>
              <w:rPr>
                <w:rFonts w:ascii="Calibri" w:cs="Calibri" w:eastAsia="Calibri" w:hAnsi="Calibri"/>
                <w:b w:val="false"/>
                <w:bCs w:val="false"/>
                <w:i w:val="false"/>
                <w:iCs w:val="false"/>
                <w:color w:val="151A22"/>
                <w:sz w:val="18"/>
                <w:szCs w:val="18"/>
              </w:rPr>
              <w:t xml:space="preserve">.</w:t>
            </w:r>
          </w:p>
        </w:tc>
      </w:tr>
    </w:tbl>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FBF0D9" w:color="auto" w:val="clear"/>
            <w:tcMar>
              <w:top w:type="dxa" w:w="80"/>
              <w:left w:type="dxa" w:w="120"/>
              <w:bottom w:type="dxa" w:w="80"/>
              <w:right w:type="dxa" w:w="60"/>
            </w:tcMar>
          </w:tcPr>
          <w:p>
            <w:r>
              <w:rPr>
                <w:rFonts w:ascii="Calibri" w:cs="Calibri" w:eastAsia="Calibri" w:hAnsi="Calibri"/>
                <w:b/>
                <w:bCs/>
                <w:color w:val="9A6300"/>
                <w:sz w:val="22"/>
                <w:szCs w:val="22"/>
              </w:rPr>
              <w:t xml:space="preserve">10</w:t>
            </w:r>
          </w:p>
        </w:tc>
        <w:tc>
          <w:tcPr>
            <w:tcW w:type="dxa" w:w="6740"/>
            <w:shd w:fill="FBF0D9" w:color="auto" w:val="clear"/>
            <w:tcMar>
              <w:top w:type="dxa" w:w="80"/>
              <w:left w:type="dxa" w:w="60"/>
              <w:bottom w:type="dxa" w:w="80"/>
              <w:right w:type="dxa" w:w="60"/>
            </w:tcMar>
          </w:tcPr>
          <w:p>
            <w:r>
              <w:rPr>
                <w:rFonts w:ascii="Calibri" w:cs="Calibri" w:eastAsia="Calibri" w:hAnsi="Calibri"/>
                <w:b/>
                <w:bCs/>
                <w:color w:val="151A22"/>
                <w:sz w:val="22"/>
                <w:szCs w:val="22"/>
              </w:rPr>
              <w:t xml:space="preserve">What makes it different</w:t>
            </w:r>
          </w:p>
        </w:tc>
        <w:tc>
          <w:tcPr>
            <w:tcW w:type="dxa" w:w="1800"/>
            <w:shd w:fill="FBF0D9" w:color="auto" w:val="clear"/>
            <w:tcMar>
              <w:top w:type="dxa" w:w="80"/>
              <w:left w:type="dxa" w:w="60"/>
              <w:bottom w:type="dxa" w:w="80"/>
              <w:right w:type="dxa" w:w="120"/>
            </w:tcMar>
          </w:tcPr>
          <w:p>
            <w:pPr>
              <w:jc w:val="right"/>
            </w:pPr>
            <w:r>
              <w:rPr>
                <w:rFonts w:ascii="Consolas" w:cs="Consolas" w:eastAsia="Consolas" w:hAnsi="Consolas"/>
                <w:b/>
                <w:bCs/>
                <w:color w:val="9A6300"/>
                <w:sz w:val="16"/>
                <w:szCs w:val="16"/>
              </w:rPr>
              <w:t xml:space="preserve">CHANGED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80" w:before="60"/>
            </w:pPr>
            <w:r>
              <w:rPr>
                <w:rFonts w:ascii="Calibri" w:cs="Calibri" w:eastAsia="Calibri" w:hAnsi="Calibri"/>
                <w:b/>
                <w:bCs/>
                <w:color w:val="151A22"/>
                <w:sz w:val="30"/>
                <w:szCs w:val="30"/>
              </w:rPr>
              <w:t xml:space="preserve">What makes it different</w:t>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3120"/>
              <w:gridCol w:w="3120"/>
              <w:gridCol w:w="3120"/>
            </w:tblGrid>
            <w:tr>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Conversations end in real outcomes</w:t>
                  </w:r>
                </w:p>
                <w:p>
                  <w:pPr>
                    <w:spacing w:after="0"/>
                  </w:pPr>
                  <w:r>
                    <w:rPr>
                      <w:rFonts w:ascii="Calibri" w:cs="Calibri" w:eastAsia="Calibri" w:hAnsi="Calibri"/>
                      <w:color w:val="586274"/>
                      <w:sz w:val="18"/>
                      <w:szCs w:val="18"/>
                    </w:rPr>
                    <w:t xml:space="preserve">Reads from and writes to your live tools, so every call ends in a completed action, not a note or a ticket.</w:t>
                  </w:r>
                </w:p>
              </w:tc>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Built for regulated industries</w:t>
                  </w:r>
                </w:p>
                <w:p>
                  <w:pPr>
                    <w:spacing w:after="0"/>
                  </w:pPr>
                  <w:r>
                    <w:rPr>
                      <w:rFonts w:ascii="Calibri" w:cs="Calibri" w:eastAsia="Calibri" w:hAnsi="Calibri"/>
                      <w:color w:val="586274"/>
                      <w:sz w:val="18"/>
                      <w:szCs w:val="18"/>
                    </w:rPr>
                    <w:t xml:space="preserve">Designed from the start for the compliance, audit and operational requirements of healthcare, legal and financial services.</w:t>
                  </w:r>
                </w:p>
              </w:tc>
              <w:tc>
                <w:tcPr>
                  <w:tcW w:type="dxa" w:w="3120"/>
                  <w:shd w:fill="FFFFFF" w:color="auto" w:val="clear"/>
                  <w:tcMar>
                    <w:top w:type="dxa" w:w="100"/>
                    <w:left w:type="dxa" w:w="130"/>
                    <w:bottom w:type="dxa" w:w="100"/>
                    <w:right w:type="dxa" w:w="130"/>
                  </w:tcMar>
                </w:tcPr>
                <w:p>
                  <w:pPr>
                    <w:spacing w:after="40"/>
                  </w:pPr>
                  <w:r>
                    <w:rPr>
                      <w:rFonts w:ascii="Calibri" w:cs="Calibri" w:eastAsia="Calibri" w:hAnsi="Calibri"/>
                      <w:b/>
                      <w:bCs/>
                      <w:color w:val="151A22"/>
                      <w:sz w:val="19"/>
                      <w:szCs w:val="19"/>
                    </w:rPr>
                    <w:t xml:space="preserve">Continuous across channels</w:t>
                  </w:r>
                </w:p>
                <w:p>
                  <w:pPr>
                    <w:spacing w:after="0"/>
                  </w:pPr>
                  <w:r>
                    <w:rPr>
                      <w:rFonts w:ascii="Calibri" w:cs="Calibri" w:eastAsia="Calibri" w:hAnsi="Calibri"/>
                      <w:color w:val="586274"/>
                      <w:sz w:val="18"/>
                      <w:szCs w:val="18"/>
                    </w:rPr>
                    <w:t xml:space="preserve">High-stakes calls stay connected across voice, SMS, chat and messaging. Context is never lost.</w:t>
                  </w:r>
                </w:p>
              </w:tc>
            </w:tr>
          </w:tbl>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Keep the accordion and the “one thread” visual. Tighten from four points to three — drop “works with your existing systems”, now in §11 Integrations — so this stays differentiators and doesn’t echo §07 Capabilities.</w:t>
            </w:r>
          </w:p>
        </w:tc>
      </w:tr>
    </w:tbl>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FBF0D9" w:color="auto" w:val="clear"/>
            <w:tcMar>
              <w:top w:type="dxa" w:w="80"/>
              <w:left w:type="dxa" w:w="120"/>
              <w:bottom w:type="dxa" w:w="80"/>
              <w:right w:type="dxa" w:w="60"/>
            </w:tcMar>
          </w:tcPr>
          <w:p>
            <w:r>
              <w:rPr>
                <w:rFonts w:ascii="Calibri" w:cs="Calibri" w:eastAsia="Calibri" w:hAnsi="Calibri"/>
                <w:b/>
                <w:bCs/>
                <w:color w:val="9A6300"/>
                <w:sz w:val="22"/>
                <w:szCs w:val="22"/>
              </w:rPr>
              <w:t xml:space="preserve">11</w:t>
            </w:r>
          </w:p>
        </w:tc>
        <w:tc>
          <w:tcPr>
            <w:tcW w:type="dxa" w:w="6740"/>
            <w:shd w:fill="FBF0D9" w:color="auto" w:val="clear"/>
            <w:tcMar>
              <w:top w:type="dxa" w:w="80"/>
              <w:left w:type="dxa" w:w="60"/>
              <w:bottom w:type="dxa" w:w="80"/>
              <w:right w:type="dxa" w:w="60"/>
            </w:tcMar>
          </w:tcPr>
          <w:p>
            <w:r>
              <w:rPr>
                <w:rFonts w:ascii="Calibri" w:cs="Calibri" w:eastAsia="Calibri" w:hAnsi="Calibri"/>
                <w:b/>
                <w:bCs/>
                <w:color w:val="151A22"/>
                <w:sz w:val="22"/>
                <w:szCs w:val="22"/>
              </w:rPr>
              <w:t xml:space="preserve">Integrations</w:t>
            </w:r>
          </w:p>
        </w:tc>
        <w:tc>
          <w:tcPr>
            <w:tcW w:type="dxa" w:w="1800"/>
            <w:shd w:fill="FBF0D9" w:color="auto" w:val="clear"/>
            <w:tcMar>
              <w:top w:type="dxa" w:w="80"/>
              <w:left w:type="dxa" w:w="60"/>
              <w:bottom w:type="dxa" w:w="80"/>
              <w:right w:type="dxa" w:w="120"/>
            </w:tcMar>
          </w:tcPr>
          <w:p>
            <w:pPr>
              <w:jc w:val="right"/>
            </w:pPr>
            <w:r>
              <w:rPr>
                <w:rFonts w:ascii="Consolas" w:cs="Consolas" w:eastAsia="Consolas" w:hAnsi="Consolas"/>
                <w:b/>
                <w:bCs/>
                <w:color w:val="9A6300"/>
                <w:sz w:val="16"/>
                <w:szCs w:val="16"/>
              </w:rPr>
              <w:t xml:space="preserve">CHANGED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40"/>
            </w:pPr>
            <w:r>
              <w:rPr>
                <w:rFonts w:ascii="Consolas" w:cs="Consolas" w:eastAsia="Consolas" w:hAnsi="Consolas"/>
                <w:b/>
                <w:bCs/>
                <w:color w:val="2F57C9"/>
                <w:spacing w:val="20"/>
                <w:sz w:val="15"/>
                <w:szCs w:val="15"/>
              </w:rPr>
              <w:t xml:space="preserve">FITS YOUR STACK</w:t>
            </w:r>
          </w:p>
          <w:p>
            <w:pPr>
              <w:spacing w:after="80" w:before="60"/>
            </w:pPr>
            <w:r>
              <w:rPr>
                <w:rFonts w:ascii="Calibri" w:cs="Calibri" w:eastAsia="Calibri" w:hAnsi="Calibri"/>
                <w:b/>
                <w:bCs/>
                <w:color w:val="151A22"/>
                <w:sz w:val="30"/>
                <w:szCs w:val="30"/>
              </w:rPr>
              <w:t xml:space="preserve">Works with the systems you already run</w:t>
            </w:r>
          </w:p>
          <w:p>
            <w:pPr>
              <w:spacing w:after="100"/>
            </w:pPr>
            <w:r>
              <w:rPr>
                <w:rFonts w:ascii="Calibri" w:cs="Calibri" w:eastAsia="Calibri" w:hAnsi="Calibri"/>
                <w:i w:val="false"/>
                <w:iCs w:val="false"/>
                <w:color w:val="151A22"/>
                <w:sz w:val="21"/>
                <w:szCs w:val="21"/>
              </w:rPr>
              <w:t xml:space="preserve">Trillet connects to your telephony, CRM, practice-management, payment and calendar platforms. It reads and writes on the call. No parallel systems to maintain.</w:t>
            </w:r>
          </w:p>
          <w:p>
            <w:pPr>
              <w:spacing w:after="80" w:before="60"/>
            </w:pPr>
            <w:r>
              <w:rPr>
                <w:rFonts w:ascii="Consolas" w:cs="Consolas" w:eastAsia="Consolas" w:hAnsi="Consolas"/>
                <w:color w:val="586274"/>
                <w:sz w:val="16"/>
                <w:szCs w:val="16"/>
              </w:rPr>
              <w:t xml:space="preserve">Telephony   ·   CRM   ·   Practice management   ·   Payments   ·   Calendars   ·   Case files</w:t>
            </w:r>
          </w:p>
          <w:p>
            <w:pPr>
              <w:spacing w:after="120" w:before="40"/>
            </w:pPr>
            <w:r>
              <w:rPr>
                <w:rFonts w:ascii="Consolas" w:cs="Consolas" w:eastAsia="Consolas" w:hAnsi="Consolas"/>
                <w:b/>
                <w:bCs/>
                <w:color w:val="2F57C9"/>
                <w:sz w:val="18"/>
                <w:szCs w:val="18"/>
              </w:rPr>
              <w:t xml:space="preserve">[ See all integrations → ]</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Reuse the “Connected” systems diagram now buried in “What makes it different” — promote it to its own labelled section and drop in the real integration logos (categories here are placeholders). Naming actual systems earns “AI receptionist that works with [system]” long-tail.</w:t>
            </w:r>
          </w:p>
        </w:tc>
      </w:tr>
    </w:tbl>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EEF1F6" w:color="auto" w:val="clear"/>
            <w:tcMar>
              <w:top w:type="dxa" w:w="80"/>
              <w:left w:type="dxa" w:w="120"/>
              <w:bottom w:type="dxa" w:w="80"/>
              <w:right w:type="dxa" w:w="60"/>
            </w:tcMar>
          </w:tcPr>
          <w:p>
            <w:r>
              <w:rPr>
                <w:rFonts w:ascii="Calibri" w:cs="Calibri" w:eastAsia="Calibri" w:hAnsi="Calibri"/>
                <w:b/>
                <w:bCs/>
                <w:color w:val="48566A"/>
                <w:sz w:val="22"/>
                <w:szCs w:val="22"/>
              </w:rPr>
              <w:t xml:space="preserve">12</w:t>
            </w:r>
          </w:p>
        </w:tc>
        <w:tc>
          <w:tcPr>
            <w:tcW w:type="dxa" w:w="6740"/>
            <w:shd w:fill="EEF1F6" w:color="auto" w:val="clear"/>
            <w:tcMar>
              <w:top w:type="dxa" w:w="80"/>
              <w:left w:type="dxa" w:w="60"/>
              <w:bottom w:type="dxa" w:w="80"/>
              <w:right w:type="dxa" w:w="60"/>
            </w:tcMar>
          </w:tcPr>
          <w:p>
            <w:r>
              <w:rPr>
                <w:rFonts w:ascii="Calibri" w:cs="Calibri" w:eastAsia="Calibri" w:hAnsi="Calibri"/>
                <w:b/>
                <w:bCs/>
                <w:color w:val="151A22"/>
                <w:sz w:val="22"/>
                <w:szCs w:val="22"/>
              </w:rPr>
              <w:t xml:space="preserve">Customer quote &amp; trust metrics</w:t>
            </w:r>
          </w:p>
        </w:tc>
        <w:tc>
          <w:tcPr>
            <w:tcW w:type="dxa" w:w="1800"/>
            <w:shd w:fill="EEF1F6" w:color="auto" w:val="clear"/>
            <w:tcMar>
              <w:top w:type="dxa" w:w="80"/>
              <w:left w:type="dxa" w:w="60"/>
              <w:bottom w:type="dxa" w:w="80"/>
              <w:right w:type="dxa" w:w="120"/>
            </w:tcMar>
          </w:tcPr>
          <w:p>
            <w:pPr>
              <w:jc w:val="right"/>
            </w:pPr>
            <w:r>
              <w:rPr>
                <w:rFonts w:ascii="Consolas" w:cs="Consolas" w:eastAsia="Consolas" w:hAnsi="Consolas"/>
                <w:b/>
                <w:bCs/>
                <w:color w:val="48566A"/>
                <w:sz w:val="16"/>
                <w:szCs w:val="16"/>
              </w:rPr>
              <w:t xml:space="preserve">RETAINED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60"/>
            </w:pPr>
            <w:r>
              <w:rPr>
                <w:rFonts w:ascii="Calibri" w:cs="Calibri" w:eastAsia="Calibri" w:hAnsi="Calibri"/>
                <w:b/>
                <w:bCs/>
                <w:i/>
                <w:iCs/>
                <w:color w:val="151A22"/>
                <w:sz w:val="24"/>
                <w:szCs w:val="24"/>
              </w:rPr>
              <w:t xml:space="preserve">“It meets our compliance requirements without a six-month integration. It runs inside our infrastructure — fully.”</w:t>
            </w:r>
          </w:p>
          <w:p>
            <w:pPr>
              <w:spacing w:after="100"/>
            </w:pPr>
            <w:r>
              <w:rPr>
                <w:rFonts w:ascii="Calibri" w:cs="Calibri" w:eastAsia="Calibri" w:hAnsi="Calibri"/>
                <w:i w:val="false"/>
                <w:iCs w:val="false"/>
                <w:color w:val="586274"/>
                <w:sz w:val="17"/>
                <w:szCs w:val="17"/>
              </w:rPr>
              <w:t xml:space="preserve">Tim Close · Founder, CommsChannel</w:t>
            </w:r>
          </w:p>
          <w:p>
            <w:pPr>
              <w:spacing w:after="0"/>
            </w:pPr>
            <w:r>
              <w:rPr>
                <w:rFonts w:ascii="Calibri" w:cs="Calibri" w:eastAsia="Calibri" w:hAnsi="Calibri"/>
                <w:i w:val="false"/>
                <w:iCs w:val="false"/>
                <w:color w:val="586274"/>
                <w:sz w:val="21"/>
                <w:szCs w:val="21"/>
              </w:rPr>
              <w:t xml:space="preserve">4.6 rated on Trustpilot   ·   1,200+ businesses trust Trillet   ·   99.97% uptime SLA   ·   Google Cloud customer case study</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Keep the existing testimonial and the trust-metric row as built (this is the current mid-page proof block). Add </w:t>
            </w:r>
            <w:r>
              <w:rPr>
                <w:rFonts w:ascii="Consolas" w:cs="Consolas" w:eastAsia="Consolas" w:hAnsi="Consolas"/>
                <w:color w:val="151A22"/>
                <w:sz w:val="17"/>
                <w:szCs w:val="17"/>
              </w:rPr>
              <w:t xml:space="preserve">Review</w:t>
            </w:r>
            <w:r>
              <w:rPr>
                <w:rFonts w:ascii="Calibri" w:cs="Calibri" w:eastAsia="Calibri" w:hAnsi="Calibri"/>
                <w:b w:val="false"/>
                <w:bCs w:val="false"/>
                <w:i w:val="false"/>
                <w:iCs w:val="false"/>
                <w:color w:val="151A22"/>
                <w:sz w:val="18"/>
                <w:szCs w:val="18"/>
              </w:rPr>
              <w:t xml:space="preserve"> schema, and add one or two more named quotes over time.</w:t>
            </w:r>
          </w:p>
        </w:tc>
      </w:tr>
    </w:tbl>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EEF1F6" w:color="auto" w:val="clear"/>
            <w:tcMar>
              <w:top w:type="dxa" w:w="80"/>
              <w:left w:type="dxa" w:w="120"/>
              <w:bottom w:type="dxa" w:w="80"/>
              <w:right w:type="dxa" w:w="60"/>
            </w:tcMar>
          </w:tcPr>
          <w:p>
            <w:r>
              <w:rPr>
                <w:rFonts w:ascii="Calibri" w:cs="Calibri" w:eastAsia="Calibri" w:hAnsi="Calibri"/>
                <w:b/>
                <w:bCs/>
                <w:color w:val="48566A"/>
                <w:sz w:val="22"/>
                <w:szCs w:val="22"/>
              </w:rPr>
              <w:t xml:space="preserve">13</w:t>
            </w:r>
          </w:p>
        </w:tc>
        <w:tc>
          <w:tcPr>
            <w:tcW w:type="dxa" w:w="6740"/>
            <w:shd w:fill="EEF1F6" w:color="auto" w:val="clear"/>
            <w:tcMar>
              <w:top w:type="dxa" w:w="80"/>
              <w:left w:type="dxa" w:w="60"/>
              <w:bottom w:type="dxa" w:w="80"/>
              <w:right w:type="dxa" w:w="60"/>
            </w:tcMar>
          </w:tcPr>
          <w:p>
            <w:r>
              <w:rPr>
                <w:rFonts w:ascii="Calibri" w:cs="Calibri" w:eastAsia="Calibri" w:hAnsi="Calibri"/>
                <w:b/>
                <w:bCs/>
                <w:color w:val="151A22"/>
                <w:sz w:val="22"/>
                <w:szCs w:val="22"/>
              </w:rPr>
              <w:t xml:space="preserve">Security &amp; compliance</w:t>
            </w:r>
          </w:p>
        </w:tc>
        <w:tc>
          <w:tcPr>
            <w:tcW w:type="dxa" w:w="1800"/>
            <w:shd w:fill="EEF1F6" w:color="auto" w:val="clear"/>
            <w:tcMar>
              <w:top w:type="dxa" w:w="80"/>
              <w:left w:type="dxa" w:w="60"/>
              <w:bottom w:type="dxa" w:w="80"/>
              <w:right w:type="dxa" w:w="120"/>
            </w:tcMar>
          </w:tcPr>
          <w:p>
            <w:pPr>
              <w:jc w:val="right"/>
            </w:pPr>
            <w:r>
              <w:rPr>
                <w:rFonts w:ascii="Consolas" w:cs="Consolas" w:eastAsia="Consolas" w:hAnsi="Consolas"/>
                <w:b/>
                <w:bCs/>
                <w:color w:val="48566A"/>
                <w:sz w:val="16"/>
                <w:szCs w:val="16"/>
              </w:rPr>
              <w:t xml:space="preserve">RETAINED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80" w:before="60"/>
            </w:pPr>
            <w:r>
              <w:rPr>
                <w:rFonts w:ascii="Calibri" w:cs="Calibri" w:eastAsia="Calibri" w:hAnsi="Calibri"/>
                <w:b/>
                <w:bCs/>
                <w:color w:val="151A22"/>
                <w:sz w:val="30"/>
                <w:szCs w:val="30"/>
              </w:rPr>
              <w:t xml:space="preserve">Runs where your compliance team needs it to</w:t>
            </w:r>
          </w:p>
          <w:p>
            <w:pPr>
              <w:spacing w:after="100"/>
            </w:pPr>
            <w:r>
              <w:rPr>
                <w:rFonts w:ascii="Calibri" w:cs="Calibri" w:eastAsia="Calibri" w:hAnsi="Calibri"/>
                <w:i w:val="false"/>
                <w:iCs w:val="false"/>
                <w:color w:val="151A22"/>
                <w:sz w:val="21"/>
                <w:szCs w:val="21"/>
              </w:rPr>
              <w:t xml:space="preserve">Enterprise deployment including on-premise and private cloud. Full audit logs and role-based access. HIPAA, GDPR, ACMA and TCPA compliant. SOC 2 Type II and ISO 27001 certified. Australian data residency — recordings, transcripts and backups stored in Australia, with in-country LLM hosting available.</w:t>
            </w:r>
          </w:p>
          <w:p>
            <w:pPr>
              <w:spacing w:after="80" w:before="60"/>
            </w:pPr>
            <w:r>
              <w:rPr>
                <w:rFonts w:ascii="Consolas" w:cs="Consolas" w:eastAsia="Consolas" w:hAnsi="Consolas"/>
                <w:color w:val="586274"/>
                <w:sz w:val="16"/>
                <w:szCs w:val="16"/>
              </w:rPr>
              <w:t xml:space="preserve">HIPAA   ·   GDPR   ·   ACMA   ·   TCPA   ·   SOC 2 Type II   ·   ISO 27001   ·   AU Data Residency</w:t>
            </w:r>
          </w:p>
          <w:p>
            <w:pPr>
              <w:spacing w:after="120" w:before="40"/>
            </w:pPr>
            <w:r>
              <w:rPr>
                <w:rFonts w:ascii="Consolas" w:cs="Consolas" w:eastAsia="Consolas" w:hAnsi="Consolas"/>
                <w:b/>
                <w:bCs/>
                <w:color w:val="2F57C9"/>
                <w:sz w:val="18"/>
                <w:szCs w:val="18"/>
              </w:rPr>
              <w:t xml:space="preserve">[ Visit the security &amp; trust center → ]</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Ship as built; keep its existing “Visit our security &amp; trust center” link. Optional: add </w:t>
            </w:r>
            <w:r>
              <w:rPr>
                <w:rFonts w:ascii="Calibri" w:cs="Calibri" w:eastAsia="Calibri" w:hAnsi="Calibri"/>
                <w:b/>
                <w:bCs/>
                <w:i w:val="false"/>
                <w:iCs w:val="false"/>
                <w:color w:val="151A22"/>
                <w:sz w:val="18"/>
                <w:szCs w:val="18"/>
              </w:rPr>
              <w:t xml:space="preserve">APRA CPS 234</w:t>
            </w:r>
            <w:r>
              <w:rPr>
                <w:rFonts w:ascii="Calibri" w:cs="Calibri" w:eastAsia="Calibri" w:hAnsi="Calibri"/>
                <w:b w:val="false"/>
                <w:bCs w:val="false"/>
                <w:i w:val="false"/>
                <w:iCs w:val="false"/>
                <w:color w:val="151A22"/>
                <w:sz w:val="18"/>
                <w:szCs w:val="18"/>
              </w:rPr>
              <w:t xml:space="preserve"> and </w:t>
            </w:r>
            <w:r>
              <w:rPr>
                <w:rFonts w:ascii="Calibri" w:cs="Calibri" w:eastAsia="Calibri" w:hAnsi="Calibri"/>
                <w:b/>
                <w:bCs/>
                <w:i w:val="false"/>
                <w:iCs w:val="false"/>
                <w:color w:val="151A22"/>
                <w:sz w:val="18"/>
                <w:szCs w:val="18"/>
              </w:rPr>
              <w:t xml:space="preserve">IRAP</w:t>
            </w:r>
            <w:r>
              <w:rPr>
                <w:rFonts w:ascii="Calibri" w:cs="Calibri" w:eastAsia="Calibri" w:hAnsi="Calibri"/>
                <w:b w:val="false"/>
                <w:bCs w:val="false"/>
                <w:i w:val="false"/>
                <w:iCs w:val="false"/>
                <w:color w:val="151A22"/>
                <w:sz w:val="18"/>
                <w:szCs w:val="18"/>
              </w:rPr>
              <w:t xml:space="preserve"> badges to match the enterprise line.</w:t>
            </w:r>
          </w:p>
        </w:tc>
      </w:tr>
    </w:tbl>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E8F5EE" w:color="auto" w:val="clear"/>
            <w:tcMar>
              <w:top w:type="dxa" w:w="80"/>
              <w:left w:type="dxa" w:w="120"/>
              <w:bottom w:type="dxa" w:w="80"/>
              <w:right w:type="dxa" w:w="60"/>
            </w:tcMar>
          </w:tcPr>
          <w:p>
            <w:r>
              <w:rPr>
                <w:rFonts w:ascii="Calibri" w:cs="Calibri" w:eastAsia="Calibri" w:hAnsi="Calibri"/>
                <w:b/>
                <w:bCs/>
                <w:color w:val="0C7A49"/>
                <w:sz w:val="22"/>
                <w:szCs w:val="22"/>
              </w:rPr>
              <w:t xml:space="preserve">14</w:t>
            </w:r>
          </w:p>
        </w:tc>
        <w:tc>
          <w:tcPr>
            <w:tcW w:type="dxa" w:w="6740"/>
            <w:shd w:fill="E8F5EE" w:color="auto" w:val="clear"/>
            <w:tcMar>
              <w:top w:type="dxa" w:w="80"/>
              <w:left w:type="dxa" w:w="60"/>
              <w:bottom w:type="dxa" w:w="80"/>
              <w:right w:type="dxa" w:w="60"/>
            </w:tcMar>
          </w:tcPr>
          <w:p>
            <w:r>
              <w:rPr>
                <w:rFonts w:ascii="Calibri" w:cs="Calibri" w:eastAsia="Calibri" w:hAnsi="Calibri"/>
                <w:b/>
                <w:bCs/>
                <w:color w:val="151A22"/>
                <w:sz w:val="22"/>
                <w:szCs w:val="22"/>
              </w:rPr>
              <w:t xml:space="preserve">Frequently asked questions</w:t>
            </w:r>
          </w:p>
        </w:tc>
        <w:tc>
          <w:tcPr>
            <w:tcW w:type="dxa" w:w="1800"/>
            <w:shd w:fill="E8F5EE" w:color="auto" w:val="clear"/>
            <w:tcMar>
              <w:top w:type="dxa" w:w="80"/>
              <w:left w:type="dxa" w:w="60"/>
              <w:bottom w:type="dxa" w:w="80"/>
              <w:right w:type="dxa" w:w="120"/>
            </w:tcMar>
          </w:tcPr>
          <w:p>
            <w:pPr>
              <w:jc w:val="right"/>
            </w:pPr>
            <w:r>
              <w:rPr>
                <w:rFonts w:ascii="Consolas" w:cs="Consolas" w:eastAsia="Consolas" w:hAnsi="Consolas"/>
                <w:b/>
                <w:bCs/>
                <w:color w:val="0C7A49"/>
                <w:sz w:val="16"/>
                <w:szCs w:val="16"/>
              </w:rPr>
              <w:t xml:space="preserve">NEW</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80" w:before="60"/>
            </w:pPr>
            <w:r>
              <w:rPr>
                <w:rFonts w:ascii="Calibri" w:cs="Calibri" w:eastAsia="Calibri" w:hAnsi="Calibri"/>
                <w:b/>
                <w:bCs/>
                <w:color w:val="151A22"/>
                <w:sz w:val="30"/>
                <w:szCs w:val="30"/>
              </w:rPr>
              <w:t xml:space="preserve">Frequently asked questions</w:t>
            </w:r>
          </w:p>
          <w:p>
            <w:pPr>
              <w:spacing w:after="20" w:before="60"/>
            </w:pPr>
            <w:r>
              <w:rPr>
                <w:rFonts w:ascii="Calibri" w:cs="Calibri" w:eastAsia="Calibri" w:hAnsi="Calibri"/>
                <w:b/>
                <w:bCs/>
                <w:color w:val="151A22"/>
                <w:sz w:val="19"/>
                <w:szCs w:val="19"/>
              </w:rPr>
              <w:t xml:space="preserve">What is an AI voice agent?</w:t>
            </w:r>
          </w:p>
          <w:p>
            <w:pPr>
              <w:spacing w:after="0"/>
            </w:pPr>
            <w:r>
              <w:rPr>
                <w:rFonts w:ascii="Calibri" w:cs="Calibri" w:eastAsia="Calibri" w:hAnsi="Calibri"/>
                <w:color w:val="586274"/>
                <w:sz w:val="18"/>
                <w:szCs w:val="18"/>
              </w:rPr>
              <w:t xml:space="preserve">A voice AI agent answers the phone, understands what the caller needs, and takes action. It books, verifies and resolves calls without menus or scripts.</w:t>
            </w:r>
          </w:p>
          <w:p>
            <w:pPr>
              <w:spacing w:after="20" w:before="60"/>
            </w:pPr>
            <w:r>
              <w:rPr>
                <w:rFonts w:ascii="Calibri" w:cs="Calibri" w:eastAsia="Calibri" w:hAnsi="Calibri"/>
                <w:b/>
                <w:bCs/>
                <w:color w:val="151A22"/>
                <w:sz w:val="19"/>
                <w:szCs w:val="19"/>
              </w:rPr>
              <w:t xml:space="preserve">How do AI voice agents work?</w:t>
            </w:r>
          </w:p>
          <w:p>
            <w:pPr>
              <w:spacing w:after="0"/>
            </w:pPr>
            <w:r>
              <w:rPr>
                <w:rFonts w:ascii="Calibri" w:cs="Calibri" w:eastAsia="Calibri" w:hAnsi="Calibri"/>
                <w:color w:val="586274"/>
                <w:sz w:val="18"/>
                <w:szCs w:val="18"/>
              </w:rPr>
              <w:t xml:space="preserve">They combine speech recognition, a language model and text-to-speech to understand and reply in real time, and connect to your systems to complete tasks on the call.</w:t>
            </w:r>
          </w:p>
          <w:p>
            <w:pPr>
              <w:spacing w:after="20" w:before="60"/>
            </w:pPr>
            <w:r>
              <w:rPr>
                <w:rFonts w:ascii="Calibri" w:cs="Calibri" w:eastAsia="Calibri" w:hAnsi="Calibri"/>
                <w:b/>
                <w:bCs/>
                <w:color w:val="151A22"/>
                <w:sz w:val="19"/>
                <w:szCs w:val="19"/>
              </w:rPr>
              <w:t xml:space="preserve">How are they different from a traditional IVR?</w:t>
            </w:r>
          </w:p>
          <w:p>
            <w:pPr>
              <w:spacing w:after="0"/>
            </w:pPr>
            <w:r>
              <w:rPr>
                <w:rFonts w:ascii="Calibri" w:cs="Calibri" w:eastAsia="Calibri" w:hAnsi="Calibri"/>
                <w:color w:val="586274"/>
                <w:sz w:val="18"/>
                <w:szCs w:val="18"/>
              </w:rPr>
              <w:t xml:space="preserve">An IVR routes you through a menu. A voice AI agent listens, answers follow-up questions, and completes the request itself.</w:t>
            </w:r>
          </w:p>
          <w:p>
            <w:pPr>
              <w:spacing w:after="20" w:before="60"/>
            </w:pPr>
            <w:r>
              <w:rPr>
                <w:rFonts w:ascii="Calibri" w:cs="Calibri" w:eastAsia="Calibri" w:hAnsi="Calibri"/>
                <w:b/>
                <w:bCs/>
                <w:color w:val="151A22"/>
                <w:sz w:val="19"/>
                <w:szCs w:val="19"/>
              </w:rPr>
              <w:t xml:space="preserve">Is Trillet HIPAA and SOC 2 compliant?</w:t>
            </w:r>
          </w:p>
          <w:p>
            <w:pPr>
              <w:spacing w:after="0"/>
            </w:pPr>
            <w:r>
              <w:rPr>
                <w:rFonts w:ascii="Calibri" w:cs="Calibri" w:eastAsia="Calibri" w:hAnsi="Calibri"/>
                <w:color w:val="586274"/>
                <w:sz w:val="18"/>
                <w:szCs w:val="18"/>
              </w:rPr>
              <w:t xml:space="preserve">Yes. HIPAA, SOC 2 Type II, ISO 27001, GDPR, TCPA and ACMA, on every plan, not only enterprise.</w:t>
            </w:r>
          </w:p>
          <w:p>
            <w:pPr>
              <w:spacing w:after="20" w:before="60"/>
            </w:pPr>
            <w:r>
              <w:rPr>
                <w:rFonts w:ascii="Calibri" w:cs="Calibri" w:eastAsia="Calibri" w:hAnsi="Calibri"/>
                <w:b/>
                <w:bCs/>
                <w:color w:val="151A22"/>
                <w:sz w:val="19"/>
                <w:szCs w:val="19"/>
              </w:rPr>
              <w:t xml:space="preserve">Can Trillet book appointments and take payments?</w:t>
            </w:r>
          </w:p>
          <w:p>
            <w:pPr>
              <w:spacing w:after="0"/>
            </w:pPr>
            <w:r>
              <w:rPr>
                <w:rFonts w:ascii="Calibri" w:cs="Calibri" w:eastAsia="Calibri" w:hAnsi="Calibri"/>
                <w:color w:val="586274"/>
                <w:sz w:val="18"/>
                <w:szCs w:val="18"/>
              </w:rPr>
              <w:t xml:space="preserve">Yes. Agents book and reschedule appointments and set up payments and payment plans in your live systems during the call.</w:t>
            </w:r>
          </w:p>
          <w:p>
            <w:pPr>
              <w:spacing w:after="20" w:before="60"/>
            </w:pPr>
            <w:r>
              <w:rPr>
                <w:rFonts w:ascii="Calibri" w:cs="Calibri" w:eastAsia="Calibri" w:hAnsi="Calibri"/>
                <w:b/>
                <w:bCs/>
                <w:color w:val="151A22"/>
                <w:sz w:val="19"/>
                <w:szCs w:val="19"/>
              </w:rPr>
              <w:t xml:space="preserve">Does it integrate with my CRM?</w:t>
            </w:r>
          </w:p>
          <w:p>
            <w:pPr>
              <w:spacing w:after="0"/>
            </w:pPr>
            <w:r>
              <w:rPr>
                <w:rFonts w:ascii="Calibri" w:cs="Calibri" w:eastAsia="Calibri" w:hAnsi="Calibri"/>
                <w:color w:val="586274"/>
                <w:sz w:val="18"/>
                <w:szCs w:val="18"/>
              </w:rPr>
              <w:t xml:space="preserve">Trillet connects to your telephony, CRM, practice-management, payment and calendar tools, and reads and writes in real time.</w:t>
            </w:r>
          </w:p>
          <w:p>
            <w:pPr>
              <w:spacing w:after="20" w:before="60"/>
            </w:pPr>
            <w:r>
              <w:rPr>
                <w:rFonts w:ascii="Calibri" w:cs="Calibri" w:eastAsia="Calibri" w:hAnsi="Calibri"/>
                <w:b/>
                <w:bCs/>
                <w:color w:val="151A22"/>
                <w:sz w:val="19"/>
                <w:szCs w:val="19"/>
              </w:rPr>
              <w:t xml:space="preserve">Can I keep my existing phone number?</w:t>
            </w:r>
          </w:p>
          <w:p>
            <w:pPr>
              <w:spacing w:after="0"/>
            </w:pPr>
            <w:r>
              <w:rPr>
                <w:rFonts w:ascii="Calibri" w:cs="Calibri" w:eastAsia="Calibri" w:hAnsi="Calibri"/>
                <w:color w:val="586274"/>
                <w:sz w:val="18"/>
                <w:szCs w:val="18"/>
              </w:rPr>
              <w:t xml:space="preserve">Yes. Trillet forwards your calls with no number porting, so you keep your existing number.</w:t>
            </w:r>
          </w:p>
          <w:p>
            <w:pPr>
              <w:spacing w:after="20" w:before="60"/>
            </w:pPr>
            <w:r>
              <w:rPr>
                <w:rFonts w:ascii="Calibri" w:cs="Calibri" w:eastAsia="Calibri" w:hAnsi="Calibri"/>
                <w:b/>
                <w:bCs/>
                <w:color w:val="151A22"/>
                <w:sz w:val="19"/>
                <w:szCs w:val="19"/>
              </w:rPr>
              <w:t xml:space="preserve">How fast can I go live?</w:t>
            </w:r>
          </w:p>
          <w:p>
            <w:pPr>
              <w:spacing w:after="0"/>
            </w:pPr>
            <w:r>
              <w:rPr>
                <w:rFonts w:ascii="Calibri" w:cs="Calibri" w:eastAsia="Calibri" w:hAnsi="Calibri"/>
                <w:color w:val="586274"/>
                <w:sz w:val="18"/>
                <w:szCs w:val="18"/>
              </w:rPr>
              <w:t xml:space="preserve">Build an agent by scanning your website and go live in minutes. Small-business plans start from $49/mo.</w:t>
            </w:r>
          </w:p>
          <w:p>
            <w:pPr>
              <w:spacing w:after="20" w:before="60"/>
            </w:pPr>
            <w:r>
              <w:rPr>
                <w:rFonts w:ascii="Calibri" w:cs="Calibri" w:eastAsia="Calibri" w:hAnsi="Calibri"/>
                <w:b/>
                <w:bCs/>
                <w:color w:val="151A22"/>
                <w:sz w:val="19"/>
                <w:szCs w:val="19"/>
              </w:rPr>
              <w:t xml:space="preserve">Can I white-label and resell Trillet?</w:t>
            </w:r>
          </w:p>
          <w:p>
            <w:pPr>
              <w:spacing w:after="0"/>
            </w:pPr>
            <w:r>
              <w:rPr>
                <w:rFonts w:ascii="Calibri" w:cs="Calibri" w:eastAsia="Calibri" w:hAnsi="Calibri"/>
                <w:color w:val="586274"/>
                <w:sz w:val="18"/>
                <w:szCs w:val="18"/>
              </w:rPr>
              <w:t xml:space="preserve">Yes. Agencies run Trillet under their own brand in isolated workspaces, and keep the margin.</w:t>
            </w:r>
          </w:p>
          <w:p>
            <w:pPr>
              <w:spacing w:after="20" w:before="60"/>
            </w:pPr>
            <w:r>
              <w:rPr>
                <w:rFonts w:ascii="Calibri" w:cs="Calibri" w:eastAsia="Calibri" w:hAnsi="Calibri"/>
                <w:b/>
                <w:bCs/>
                <w:color w:val="151A22"/>
                <w:sz w:val="19"/>
                <w:szCs w:val="19"/>
              </w:rPr>
              <w:t xml:space="preserve">Where is my data stored?</w:t>
            </w:r>
          </w:p>
          <w:p>
            <w:pPr>
              <w:spacing w:after="0"/>
            </w:pPr>
            <w:r>
              <w:rPr>
                <w:rFonts w:ascii="Calibri" w:cs="Calibri" w:eastAsia="Calibri" w:hAnsi="Calibri"/>
                <w:color w:val="586274"/>
                <w:sz w:val="18"/>
                <w:szCs w:val="18"/>
              </w:rPr>
              <w:t xml:space="preserve">Recordings, transcripts and backups can be held in Australia, with in-country LLM hosting and on-premise or private-cloud deployment available.</w:t>
            </w:r>
          </w:p>
          <w:p>
            <w:pPr>
              <w:spacing w:after="120" w:before="40"/>
            </w:pPr>
            <w:r>
              <w:rPr>
                <w:rFonts w:ascii="Consolas" w:cs="Consolas" w:eastAsia="Consolas" w:hAnsi="Consolas"/>
                <w:b/>
                <w:bCs/>
                <w:color w:val="2F57C9"/>
                <w:sz w:val="18"/>
                <w:szCs w:val="18"/>
              </w:rPr>
              <w:t xml:space="preserve">[ Still have questions? Speak to sales ]</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New accordion. Mirror these Q&amp;As in </w:t>
            </w:r>
            <w:r>
              <w:rPr>
                <w:rFonts w:ascii="Consolas" w:cs="Consolas" w:eastAsia="Consolas" w:hAnsi="Consolas"/>
                <w:color w:val="151A22"/>
                <w:sz w:val="17"/>
                <w:szCs w:val="17"/>
              </w:rPr>
              <w:t xml:space="preserve">FAQPage</w:t>
            </w:r>
            <w:r>
              <w:rPr>
                <w:rFonts w:ascii="Calibri" w:cs="Calibri" w:eastAsia="Calibri" w:hAnsi="Calibri"/>
                <w:b w:val="false"/>
                <w:bCs w:val="false"/>
                <w:i w:val="false"/>
                <w:iCs w:val="false"/>
                <w:color w:val="151A22"/>
                <w:sz w:val="18"/>
                <w:szCs w:val="18"/>
              </w:rPr>
              <w:t xml:space="preserve"> JSON-LD. Answers stay short and factual. FAQ #1 holds the unbranded “what is an AI voice agent” query (see §04 SEO note).</w:t>
            </w:r>
          </w:p>
        </w:tc>
      </w:tr>
    </w:tbl>
    <w:p>
      <w:pPr>
        <w:spacing w:after="80" w:before="40"/>
      </w:pPr>
      <w:r>
        <w:rPr>
          <w:rFonts w:ascii="Consolas" w:cs="Consolas" w:eastAsia="Consolas" w:hAnsi="Consolas"/>
          <w:b/>
          <w:bCs/>
          <w:color w:val="586274"/>
          <w:sz w:val="16"/>
          <w:szCs w:val="16"/>
        </w:rPr>
        <w:t xml:space="preserve">Captures: </w:t>
      </w:r>
      <w:r>
        <w:rPr>
          <w:rFonts w:ascii="Consolas" w:cs="Consolas" w:eastAsia="Consolas" w:hAnsi="Consolas"/>
          <w:color w:val="8A94A4"/>
          <w:sz w:val="16"/>
          <w:szCs w:val="16"/>
        </w:rPr>
        <w:t xml:space="preserve">definitional + product long-tail (HIPAA voice AI, keep my number, white-label, integrations)</w:t>
      </w:r>
    </w:p>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EEF1F6" w:color="auto" w:val="clear"/>
            <w:tcMar>
              <w:top w:type="dxa" w:w="80"/>
              <w:left w:type="dxa" w:w="120"/>
              <w:bottom w:type="dxa" w:w="80"/>
              <w:right w:type="dxa" w:w="60"/>
            </w:tcMar>
          </w:tcPr>
          <w:p>
            <w:r>
              <w:rPr>
                <w:rFonts w:ascii="Calibri" w:cs="Calibri" w:eastAsia="Calibri" w:hAnsi="Calibri"/>
                <w:b/>
                <w:bCs/>
                <w:color w:val="48566A"/>
                <w:sz w:val="22"/>
                <w:szCs w:val="22"/>
              </w:rPr>
              <w:t xml:space="preserve">15</w:t>
            </w:r>
          </w:p>
        </w:tc>
        <w:tc>
          <w:tcPr>
            <w:tcW w:type="dxa" w:w="6740"/>
            <w:shd w:fill="EEF1F6" w:color="auto" w:val="clear"/>
            <w:tcMar>
              <w:top w:type="dxa" w:w="80"/>
              <w:left w:type="dxa" w:w="60"/>
              <w:bottom w:type="dxa" w:w="80"/>
              <w:right w:type="dxa" w:w="60"/>
            </w:tcMar>
          </w:tcPr>
          <w:p>
            <w:r>
              <w:rPr>
                <w:rFonts w:ascii="Calibri" w:cs="Calibri" w:eastAsia="Calibri" w:hAnsi="Calibri"/>
                <w:b/>
                <w:bCs/>
                <w:color w:val="151A22"/>
                <w:sz w:val="22"/>
                <w:szCs w:val="22"/>
              </w:rPr>
              <w:t xml:space="preserve">Final CTA</w:t>
            </w:r>
          </w:p>
        </w:tc>
        <w:tc>
          <w:tcPr>
            <w:tcW w:type="dxa" w:w="1800"/>
            <w:shd w:fill="EEF1F6" w:color="auto" w:val="clear"/>
            <w:tcMar>
              <w:top w:type="dxa" w:w="80"/>
              <w:left w:type="dxa" w:w="60"/>
              <w:bottom w:type="dxa" w:w="80"/>
              <w:right w:type="dxa" w:w="120"/>
            </w:tcMar>
          </w:tcPr>
          <w:p>
            <w:pPr>
              <w:jc w:val="right"/>
            </w:pPr>
            <w:r>
              <w:rPr>
                <w:rFonts w:ascii="Consolas" w:cs="Consolas" w:eastAsia="Consolas" w:hAnsi="Consolas"/>
                <w:b/>
                <w:bCs/>
                <w:color w:val="48566A"/>
                <w:sz w:val="16"/>
                <w:szCs w:val="16"/>
              </w:rPr>
              <w:t xml:space="preserve">RETAINED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80" w:before="60"/>
            </w:pPr>
            <w:r>
              <w:rPr>
                <w:rFonts w:ascii="Calibri" w:cs="Calibri" w:eastAsia="Calibri" w:hAnsi="Calibri"/>
                <w:b/>
                <w:bCs/>
                <w:color w:val="151A22"/>
                <w:sz w:val="30"/>
                <w:szCs w:val="30"/>
              </w:rPr>
              <w:t xml:space="preserve">Ready to resolve high-stakes conversations inside your environment?</w:t>
            </w:r>
          </w:p>
          <w:p>
            <w:pPr>
              <w:spacing w:after="100"/>
            </w:pPr>
            <w:r>
              <w:rPr>
                <w:rFonts w:ascii="Calibri" w:cs="Calibri" w:eastAsia="Calibri" w:hAnsi="Calibri"/>
                <w:i w:val="false"/>
                <w:iCs w:val="false"/>
                <w:color w:val="586274"/>
                <w:sz w:val="21"/>
                <w:szCs w:val="21"/>
              </w:rPr>
              <w:t xml:space="preserve">Speak to sales to review how Trillet integrates with your systems and meets your compliance requirements.</w:t>
            </w:r>
          </w:p>
          <w:p>
            <w:pPr>
              <w:spacing w:after="120" w:before="40"/>
            </w:pPr>
            <w:r>
              <w:rPr>
                <w:rFonts w:ascii="Consolas" w:cs="Consolas" w:eastAsia="Consolas" w:hAnsi="Consolas"/>
                <w:b/>
                <w:bCs/>
                <w:color w:val="2F57C9"/>
                <w:sz w:val="18"/>
                <w:szCs w:val="18"/>
              </w:rPr>
              <w:t xml:space="preserve">[ Speak to sales   ·   Try the live demo → ]</w:t>
            </w:r>
          </w:p>
          <w:p>
            <w:pPr>
              <w:spacing w:after="0"/>
            </w:pPr>
            <w:r>
              <w:rPr>
                <w:rFonts w:ascii="Calibri" w:cs="Calibri" w:eastAsia="Calibri" w:hAnsi="Calibri"/>
                <w:i w:val="false"/>
                <w:iCs w:val="false"/>
                <w:color w:val="8A94A4"/>
                <w:sz w:val="17"/>
                <w:szCs w:val="17"/>
              </w:rPr>
              <w:t xml:space="preserve">A working session with the team that builds the platform, not a scripted demo.</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Ship as built; add the secondary “Try the live demo” link for visitors not ready for sales.</w:t>
            </w:r>
          </w:p>
        </w:tc>
      </w:tr>
    </w:tbl>
    <w:p>
      <w:pPr>
        <w:pBdr>
          <w:bottom w:val="single" w:color="E1E6EE" w:sz="6"/>
        </w:pBdr>
        <w:spacing w:after="40" w:before="200"/>
      </w:pPr>
      <w:r>
        <w:rPr>
          <w:rFonts w:ascii="Calibri" w:cs="Calibri" w:eastAsia="Calibri" w:hAnsi="Calibri"/>
          <w:b/>
          <w:bCs/>
          <w:color w:val="8A94A4"/>
          <w:spacing w:val="15"/>
          <w:sz w:val="18"/>
          <w:szCs w:val="18"/>
        </w:rPr>
        <w:t xml:space="preserve">RETAINED GLOBAL ELEMENTS</w:t>
      </w:r>
    </w:p>
    <w:p>
      <w:pPr>
        <w:spacing w:after="0" w:before="160"/>
      </w:pPr>
      <w:r>
        <w:t xml:space="preserve"/>
      </w:r>
    </w:p>
    <w:tbl>
      <w:tblPr>
        <w:tblW w:type="dxa" w:w="9360"/>
        <w:tblBorders>
          <w:top w:val="single" w:color="FFFFFF" w:sz="4"/>
          <w:left w:val="single" w:color="FFFFFF" w:sz="4"/>
          <w:bottom w:val="single" w:color="FFFFFF" w:sz="4"/>
          <w:right w:val="single" w:color="FFFFFF" w:sz="4"/>
          <w:insideH w:val="single" w:color="FFFFFF" w:sz="4"/>
          <w:insideV w:val="single" w:color="FFFFFF" w:sz="4"/>
        </w:tblBorders>
      </w:tblPr>
      <w:tblGrid>
        <w:gridCol w:w="820"/>
        <w:gridCol w:w="6740"/>
        <w:gridCol w:w="1800"/>
      </w:tblGrid>
      <w:tr>
        <w:tc>
          <w:tcPr>
            <w:tcW w:type="dxa" w:w="820"/>
            <w:shd w:fill="EEF1F6" w:color="auto" w:val="clear"/>
            <w:tcMar>
              <w:top w:type="dxa" w:w="80"/>
              <w:left w:type="dxa" w:w="120"/>
              <w:bottom w:type="dxa" w:w="80"/>
              <w:right w:type="dxa" w:w="60"/>
            </w:tcMar>
          </w:tcPr>
          <w:p>
            <w:r>
              <w:rPr>
                <w:rFonts w:ascii="Calibri" w:cs="Calibri" w:eastAsia="Calibri" w:hAnsi="Calibri"/>
                <w:b/>
                <w:bCs/>
                <w:color w:val="48566A"/>
                <w:sz w:val="22"/>
                <w:szCs w:val="22"/>
              </w:rPr>
              <w:t xml:space="preserve">—</w:t>
            </w:r>
          </w:p>
        </w:tc>
        <w:tc>
          <w:tcPr>
            <w:tcW w:type="dxa" w:w="6740"/>
            <w:shd w:fill="EEF1F6" w:color="auto" w:val="clear"/>
            <w:tcMar>
              <w:top w:type="dxa" w:w="80"/>
              <w:left w:type="dxa" w:w="60"/>
              <w:bottom w:type="dxa" w:w="80"/>
              <w:right w:type="dxa" w:w="60"/>
            </w:tcMar>
          </w:tcPr>
          <w:p>
            <w:r>
              <w:rPr>
                <w:rFonts w:ascii="Calibri" w:cs="Calibri" w:eastAsia="Calibri" w:hAnsi="Calibri"/>
                <w:b/>
                <w:bCs/>
                <w:color w:val="151A22"/>
                <w:sz w:val="22"/>
                <w:szCs w:val="22"/>
              </w:rPr>
              <w:t xml:space="preserve">Kept across the page, unchanged</w:t>
            </w:r>
          </w:p>
        </w:tc>
        <w:tc>
          <w:tcPr>
            <w:tcW w:type="dxa" w:w="1800"/>
            <w:shd w:fill="EEF1F6" w:color="auto" w:val="clear"/>
            <w:tcMar>
              <w:top w:type="dxa" w:w="80"/>
              <w:left w:type="dxa" w:w="60"/>
              <w:bottom w:type="dxa" w:w="80"/>
              <w:right w:type="dxa" w:w="120"/>
            </w:tcMar>
          </w:tcPr>
          <w:p>
            <w:pPr>
              <w:jc w:val="right"/>
            </w:pPr>
            <w:r>
              <w:rPr>
                <w:rFonts w:ascii="Consolas" w:cs="Consolas" w:eastAsia="Consolas" w:hAnsi="Consolas"/>
                <w:b/>
                <w:bCs/>
                <w:color w:val="48566A"/>
                <w:sz w:val="16"/>
                <w:szCs w:val="16"/>
              </w:rPr>
              <w:t xml:space="preserve">RETAINED</w:t>
            </w:r>
          </w:p>
        </w:tc>
      </w:tr>
    </w:tbl>
    <w:p>
      <w:pPr>
        <w:spacing w:after="40"/>
      </w:pPr>
      <w:r>
        <w:t xml:space="preserve"/>
      </w:r>
    </w:p>
    <w:tbl>
      <w:tblPr>
        <w:tblW w:type="dxa" w:w="9360"/>
        <w:tblBorders>
          <w:top w:val="single" w:color="E1E6EE" w:sz="4"/>
          <w:left w:val="single" w:color="E1E6EE" w:sz="4"/>
          <w:bottom w:val="single" w:color="E1E6EE" w:sz="4"/>
          <w:right w:val="single" w:color="E1E6EE" w:sz="4"/>
          <w:insideH w:val="single" w:color="E1E6EE" w:sz="4"/>
          <w:insideV w:val="single" w:color="E1E6EE" w:sz="4"/>
        </w:tblBorders>
      </w:tblPr>
      <w:tblGrid>
        <w:gridCol w:w="9360"/>
      </w:tblGrid>
      <w:tr>
        <w:tc>
          <w:tcPr>
            <w:tcW w:type="dxa" w:w="9360"/>
            <w:shd w:fill="F7F9FC" w:color="auto" w:val="clear"/>
            <w:tcMar>
              <w:top w:type="dxa" w:w="160"/>
              <w:left w:type="dxa" w:w="180"/>
              <w:bottom w:type="dxa" w:w="160"/>
              <w:right w:type="dxa" w:w="180"/>
            </w:tcMar>
          </w:tcPr>
          <w:p>
            <w:pPr>
              <w:spacing w:after="100"/>
            </w:pPr>
            <w:r>
              <w:rPr>
                <w:rFonts w:ascii="Calibri" w:cs="Calibri" w:eastAsia="Calibri" w:hAnsi="Calibri"/>
                <w:i w:val="false"/>
                <w:iCs w:val="false"/>
                <w:color w:val="151A22"/>
                <w:sz w:val="21"/>
                <w:szCs w:val="21"/>
              </w:rPr>
              <w:t xml:space="preserve">Header / nav — Platform, Channels, Products, Solutions, Industries, Partners, Pricing, Security, Resources, plus Log in / Sign up / Speak to sales.</w:t>
            </w:r>
          </w:p>
          <w:p>
            <w:pPr>
              <w:spacing w:after="100"/>
            </w:pPr>
            <w:r>
              <w:rPr>
                <w:rFonts w:ascii="Calibri" w:cs="Calibri" w:eastAsia="Calibri" w:hAnsi="Calibri"/>
                <w:i w:val="false"/>
                <w:iCs w:val="false"/>
                <w:color w:val="151A22"/>
                <w:sz w:val="21"/>
                <w:szCs w:val="21"/>
              </w:rPr>
              <w:t xml:space="preserve">Hero demo widget — the animated live-call transcript and “Demo our AI” email capture.</w:t>
            </w:r>
          </w:p>
          <w:p>
            <w:pPr>
              <w:spacing w:after="100"/>
            </w:pPr>
            <w:r>
              <w:rPr>
                <w:rFonts w:ascii="Calibri" w:cs="Calibri" w:eastAsia="Calibri" w:hAnsi="Calibri"/>
                <w:i w:val="false"/>
                <w:iCs w:val="false"/>
                <w:color w:val="151A22"/>
                <w:sz w:val="21"/>
                <w:szCs w:val="21"/>
              </w:rPr>
              <w:t xml:space="preserve">Certification badge strip — HIPAA · GDPR · ACMA · TCPA · SOC 2 Type II · ISO 27001 · AU Data Residency.</w:t>
            </w:r>
          </w:p>
          <w:p>
            <w:pPr>
              <w:spacing w:after="0"/>
            </w:pPr>
            <w:r>
              <w:rPr>
                <w:rFonts w:ascii="Calibri" w:cs="Calibri" w:eastAsia="Calibri" w:hAnsi="Calibri"/>
                <w:i w:val="false"/>
                <w:iCs w:val="false"/>
                <w:color w:val="151A22"/>
                <w:sz w:val="21"/>
                <w:szCs w:val="21"/>
              </w:rPr>
              <w:t xml:space="preserve">Footer — full nav including Platform, Solutions, Partners, Pricing, Resources, Guides and the Compare cluster (where competitor /compare/* links stay, off the body).</w:t>
            </w:r>
          </w:p>
        </w:tc>
      </w:tr>
    </w:tbl>
    <w:p>
      <w:pPr>
        <w:spacing w:after="40"/>
      </w:pPr>
      <w:r>
        <w:t xml:space="preserve"/>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shd w:fill="F2F5FA" w:color="auto" w:val="clear"/>
            <w:tcMar>
              <w:top w:type="dxa" w:w="80"/>
              <w:left w:type="dxa" w:w="140"/>
              <w:bottom w:type="dxa" w:w="80"/>
              <w:right w:type="dxa" w:w="140"/>
            </w:tcMar>
          </w:tcPr>
          <w:p>
            <w:pPr>
              <w:spacing w:after="0"/>
            </w:pPr>
            <w:r>
              <w:rPr>
                <w:rFonts w:ascii="Consolas" w:cs="Consolas" w:eastAsia="Consolas" w:hAnsi="Consolas"/>
                <w:b/>
                <w:bCs/>
                <w:color w:val="2F57C9"/>
                <w:spacing w:val="15"/>
                <w:sz w:val="14"/>
                <w:szCs w:val="14"/>
              </w:rPr>
              <w:t xml:space="preserve">DESIGN NOTE  </w:t>
            </w:r>
            <w:r>
              <w:rPr>
                <w:rFonts w:ascii="Calibri" w:cs="Calibri" w:eastAsia="Calibri" w:hAnsi="Calibri"/>
                <w:b w:val="false"/>
                <w:bCs w:val="false"/>
                <w:i w:val="false"/>
                <w:iCs w:val="false"/>
                <w:color w:val="151A22"/>
                <w:sz w:val="18"/>
                <w:szCs w:val="18"/>
              </w:rPr>
              <w:t xml:space="preserve">These ship exactly as they are today. Listed so nothing gets dropped in the rebuild.</w:t>
            </w:r>
          </w:p>
        </w:tc>
      </w:tr>
    </w:tbl>
    <w:p>
      <w:pPr>
        <w:spacing w:before="200"/>
        <w:jc w:val="center"/>
      </w:pPr>
      <w:r>
        <w:rPr>
          <w:rFonts w:ascii="Consolas" w:cs="Consolas" w:eastAsia="Consolas" w:hAnsi="Consolas"/>
          <w:color w:val="8A94A4"/>
          <w:sz w:val="15"/>
          <w:szCs w:val="15"/>
        </w:rPr>
        <w:t xml:space="preserve">Trillet homepage copy deck v3 · Trillet voice · proof line: verified, resolved, audited · target: “ai voice agents”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A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2026-09-04T07:06:30.590Z</dcterms:created>
  <dcterms:modified xsi:type="dcterms:W3CDTF">2026-09-04T07:06:30.590Z</dcterms:modified>
</cp:coreProperties>
</file>

<file path=docProps/custom.xml><?xml version="1.0" encoding="utf-8"?>
<Properties xmlns="http://schemas.openxmlformats.org/officeDocument/2006/custom-properties" xmlns:vt="http://schemas.openxmlformats.org/officeDocument/2006/docPropsVTypes"/>
</file>