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259b9d0d87f60a3d5d83ef5888ea6e0ccdd9832"/>
    <w:p>
      <w:pPr>
        <w:pStyle w:val="Heading1"/>
      </w:pPr>
      <w:r>
        <w:t xml:space="preserve">Thermer User Acquisition: Month 1 Proposal</w:t>
      </w:r>
    </w:p>
    <w:p>
      <w:pPr>
        <w:pStyle w:val="FirstParagraph"/>
      </w:pPr>
      <w:r>
        <w:t xml:space="preserve">Oct 27, 2026</w:t>
      </w:r>
    </w:p>
    <w:p>
      <w:pPr>
        <w:pStyle w:val="BodyText"/>
      </w:pPr>
      <w:r>
        <w:rPr>
          <w:bCs/>
          <w:b/>
        </w:rPr>
        <w:t xml:space="preserve">Commitment:</w:t>
      </w:r>
      <w:r>
        <w:t xml:space="preserve"> </w:t>
      </w:r>
      <w:r>
        <w:t xml:space="preserve">6–7 hours a week (about 10–12 in week 1 for setup), mostly weekdays, with quick checks on other days after any change. Actual vs. planned hours go in every weekly report. Scope for month 1 is Google Ads only, with no image or video creatives (ad text only). We review hours and scope at the end of the month, or sooner if Meta or creatives are added.</w:t>
      </w:r>
    </w:p>
    <w:bookmarkStart w:id="20" w:name="how-ill-follow-the-sop"/>
    <w:p>
      <w:pPr>
        <w:pStyle w:val="Heading2"/>
      </w:pPr>
      <w:r>
        <w:t xml:space="preserve">How I’ll follow the SOP</w:t>
      </w:r>
    </w:p>
    <w:p>
      <w:pPr>
        <w:pStyle w:val="FirstParagraph"/>
      </w:pPr>
      <w:r>
        <w:t xml:space="preserve">Everything non-negotiable stays as written: no optimising for installs alone, no budget increase or new campaign without written approval, 10–20% steps only, every change logged and checked within 24 hours, and immediate escalation of spend or tracking issues. To fit the hours, a few items are lighter in month 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SOP item</w:t>
            </w:r>
          </w:p>
        </w:tc>
        <w:tc>
          <w:tcPr/>
          <w:p>
            <w:pPr>
              <w:pStyle w:val="Compact"/>
              <w:jc w:val="left"/>
            </w:pPr>
            <w:r>
              <w:t xml:space="preserve">Month 1</w:t>
            </w:r>
          </w:p>
        </w:tc>
      </w:tr>
      <w:tr>
        <w:tc>
          <w:tcPr/>
          <w:p>
            <w:pPr>
              <w:pStyle w:val="Compact"/>
              <w:jc w:val="left"/>
            </w:pPr>
            <w:r>
              <w:t xml:space="preserve">Experiments</w:t>
            </w:r>
          </w:p>
        </w:tc>
        <w:tc>
          <w:tcPr/>
          <w:p>
            <w:pPr>
              <w:pStyle w:val="Compact"/>
              <w:jc w:val="left"/>
            </w:pPr>
            <w:r>
              <w:t xml:space="preserve">1 a week launched or concluded (3–4 in the month), fully documented</w:t>
            </w:r>
          </w:p>
        </w:tc>
      </w:tr>
      <w:tr>
        <w:tc>
          <w:tcPr/>
          <w:p>
            <w:pPr>
              <w:pStyle w:val="Compact"/>
              <w:jc w:val="left"/>
            </w:pPr>
            <w:r>
              <w:t xml:space="preserve">Insights / product learning</w:t>
            </w:r>
          </w:p>
        </w:tc>
        <w:tc>
          <w:tcPr/>
          <w:p>
            <w:pPr>
              <w:pStyle w:val="Compact"/>
              <w:jc w:val="left"/>
            </w:pPr>
            <w:r>
              <w:t xml:space="preserve">1 insight a week; 1 product or user learning every two weeks</w:t>
            </w:r>
          </w:p>
        </w:tc>
      </w:tr>
      <w:tr>
        <w:tc>
          <w:tcPr/>
          <w:p>
            <w:pPr>
              <w:pStyle w:val="Compact"/>
              <w:jc w:val="left"/>
            </w:pPr>
            <w:r>
              <w:t xml:space="preserve">Documentation</w:t>
            </w:r>
          </w:p>
        </w:tc>
        <w:tc>
          <w:tcPr/>
          <w:p>
            <w:pPr>
              <w:pStyle w:val="Compact"/>
              <w:jc w:val="left"/>
            </w:pPr>
            <w:r>
              <w:t xml:space="preserve">Concise versions of the Confluence templates and a one-page weekly report</w:t>
            </w:r>
          </w:p>
        </w:tc>
      </w:tr>
      <w:tr>
        <w:tc>
          <w:tcPr/>
          <w:p>
            <w:pPr>
              <w:pStyle w:val="Compact"/>
              <w:jc w:val="left"/>
            </w:pPr>
            <w:r>
              <w:t xml:space="preserve">D30 retention, revenue growth</w:t>
            </w:r>
          </w:p>
        </w:tc>
        <w:tc>
          <w:tcPr/>
          <w:p>
            <w:pPr>
              <w:pStyle w:val="Compact"/>
              <w:jc w:val="left"/>
            </w:pPr>
            <w:r>
              <w:t xml:space="preserve">Baseline only; targets agreed for months 2–3, once cohorts mature</w:t>
            </w:r>
          </w:p>
        </w:tc>
      </w:tr>
    </w:tbl>
    <w:bookmarkEnd w:id="20"/>
    <w:bookmarkStart w:id="21" w:name="month-1-goals"/>
    <w:p>
      <w:pPr>
        <w:pStyle w:val="Heading2"/>
      </w:pPr>
      <w:r>
        <w:t xml:space="preserve">Month 1 goals</w:t>
      </w:r>
    </w:p>
    <w:p>
      <w:pPr>
        <w:pStyle w:val="FirstParagraph"/>
      </w:pPr>
      <w:r>
        <w:rPr>
          <w:bCs/>
          <w:b/>
        </w:rPr>
        <w:t xml:space="preserve">Foundation.</w:t>
      </w:r>
      <w:r>
        <w:t xml:space="preserve"> </w:t>
      </w:r>
      <w:r>
        <w:t xml:space="preserve">Baseline report (cost per install, first-print activation by unique user, D7/D30, purchases, revenue) by end of week 2. Purchase-tracking fix spec and First_Print count-once plan to the developer by end of week 2. Change log from day 1, weekly report on time, zero unapproved changes.</w:t>
      </w:r>
    </w:p>
    <w:p>
      <w:pPr>
        <w:pStyle w:val="BodyText"/>
      </w:pPr>
      <w:r>
        <w:rPr>
          <w:bCs/>
          <w:b/>
        </w:rPr>
        <w:t xml:space="preserve">Performance.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Today</w:t>
            </w:r>
          </w:p>
        </w:tc>
        <w:tc>
          <w:tcPr/>
          <w:p>
            <w:pPr>
              <w:pStyle w:val="Compact"/>
              <w:jc w:val="left"/>
            </w:pPr>
            <w:r>
              <w:t xml:space="preserve">Month 1 target</w:t>
            </w:r>
          </w:p>
        </w:tc>
      </w:tr>
      <w:tr>
        <w:tc>
          <w:tcPr/>
          <w:p>
            <w:pPr>
              <w:pStyle w:val="Compact"/>
              <w:jc w:val="left"/>
            </w:pPr>
            <w:r>
              <w:t xml:space="preserve">Cost per install</w:t>
            </w:r>
          </w:p>
        </w:tc>
        <w:tc>
          <w:tcPr/>
          <w:p>
            <w:pPr>
              <w:pStyle w:val="Compact"/>
              <w:jc w:val="left"/>
            </w:pPr>
            <w:r>
              <w:t xml:space="preserve">₹1.89</w:t>
            </w:r>
          </w:p>
        </w:tc>
        <w:tc>
          <w:tcPr/>
          <w:p>
            <w:pPr>
              <w:pStyle w:val="Compact"/>
              <w:jc w:val="left"/>
            </w:pPr>
            <w:r>
              <w:t xml:space="preserve">≤ ₹1.70</w:t>
            </w:r>
          </w:p>
        </w:tc>
      </w:tr>
      <w:tr>
        <w:tc>
          <w:tcPr/>
          <w:p>
            <w:pPr>
              <w:pStyle w:val="Compact"/>
              <w:jc w:val="left"/>
            </w:pPr>
            <w:r>
              <w:t xml:space="preserve">Installs per day</w:t>
            </w:r>
          </w:p>
        </w:tc>
        <w:tc>
          <w:tcPr/>
          <w:p>
            <w:pPr>
              <w:pStyle w:val="Compact"/>
              <w:jc w:val="left"/>
            </w:pPr>
            <w:r>
              <w:t xml:space="preserve">~1,900</w:t>
            </w:r>
          </w:p>
        </w:tc>
        <w:tc>
          <w:tcPr/>
          <w:p>
            <w:pPr>
              <w:pStyle w:val="Compact"/>
              <w:jc w:val="left"/>
            </w:pPr>
            <w:r>
              <w:t xml:space="preserve">≥ 1,900 (no drop)</w:t>
            </w:r>
          </w:p>
        </w:tc>
      </w:tr>
      <w:tr>
        <w:tc>
          <w:tcPr/>
          <w:p>
            <w:pPr>
              <w:pStyle w:val="Compact"/>
              <w:jc w:val="left"/>
            </w:pPr>
            <w:r>
              <w:t xml:space="preserve">First-print activation (unique users)</w:t>
            </w:r>
          </w:p>
        </w:tc>
        <w:tc>
          <w:tcPr/>
          <w:p>
            <w:pPr>
              <w:pStyle w:val="Compact"/>
              <w:jc w:val="left"/>
            </w:pPr>
            <w:r>
              <w:t xml:space="preserve">Baseline</w:t>
            </w:r>
          </w:p>
        </w:tc>
        <w:tc>
          <w:tcPr/>
          <w:p>
            <w:pPr>
              <w:pStyle w:val="Compact"/>
              <w:jc w:val="left"/>
            </w:pPr>
            <w:r>
              <w:t xml:space="preserve">No worse than baseline (within 2 pts)</w:t>
            </w:r>
          </w:p>
        </w:tc>
      </w:tr>
      <w:tr>
        <w:tc>
          <w:tcPr/>
          <w:p>
            <w:pPr>
              <w:pStyle w:val="Compact"/>
              <w:jc w:val="left"/>
            </w:pPr>
            <w:r>
              <w:t xml:space="preserve">D7 retention</w:t>
            </w:r>
          </w:p>
        </w:tc>
        <w:tc>
          <w:tcPr/>
          <w:p>
            <w:pPr>
              <w:pStyle w:val="Compact"/>
              <w:jc w:val="left"/>
            </w:pPr>
            <w:r>
              <w:t xml:space="preserve">Baseline</w:t>
            </w:r>
          </w:p>
        </w:tc>
        <w:tc>
          <w:tcPr/>
          <w:p>
            <w:pPr>
              <w:pStyle w:val="Compact"/>
              <w:jc w:val="left"/>
            </w:pPr>
            <w:r>
              <w:t xml:space="preserve">No worse than baseline</w:t>
            </w:r>
          </w:p>
        </w:tc>
      </w:tr>
      <w:tr>
        <w:tc>
          <w:tcPr/>
          <w:p>
            <w:pPr>
              <w:pStyle w:val="Compact"/>
              <w:jc w:val="left"/>
            </w:pPr>
            <w:r>
              <w:t xml:space="preserve">Cost per activated user</w:t>
            </w:r>
          </w:p>
        </w:tc>
        <w:tc>
          <w:tcPr/>
          <w:p>
            <w:pPr>
              <w:pStyle w:val="Compact"/>
              <w:jc w:val="left"/>
            </w:pPr>
            <w:r>
              <w:t xml:space="preserve">Baseline</w:t>
            </w:r>
          </w:p>
        </w:tc>
        <w:tc>
          <w:tcPr/>
          <w:p>
            <w:pPr>
              <w:pStyle w:val="Compact"/>
              <w:jc w:val="left"/>
            </w:pPr>
            <w:r>
              <w:t xml:space="preserve">10% lower</w:t>
            </w:r>
          </w:p>
        </w:tc>
      </w:tr>
      <w:tr>
        <w:tc>
          <w:tcPr/>
          <w:p>
            <w:pPr>
              <w:pStyle w:val="Compact"/>
              <w:jc w:val="left"/>
            </w:pPr>
            <w:r>
              <w:t xml:space="preserve">Spend</w:t>
            </w:r>
          </w:p>
        </w:tc>
        <w:tc>
          <w:tcPr/>
          <w:p>
            <w:pPr>
              <w:pStyle w:val="Compact"/>
              <w:jc w:val="left"/>
            </w:pPr>
            <w:r>
              <w:t xml:space="preserve">~₹3,600/day</w:t>
            </w:r>
          </w:p>
        </w:tc>
        <w:tc>
          <w:tcPr/>
          <w:p>
            <w:pPr>
              <w:pStyle w:val="Compact"/>
              <w:jc w:val="left"/>
            </w:pPr>
            <w:r>
              <w:t xml:space="preserve">Within the approved ceiling</w:t>
            </w:r>
          </w:p>
        </w:tc>
      </w:tr>
    </w:tbl>
    <w:p>
      <w:pPr>
        <w:pStyle w:val="BodyText"/>
      </w:pPr>
      <w:r>
        <w:rPr>
          <w:bCs/>
          <w:b/>
        </w:rPr>
        <w:t xml:space="preserve">Planned experiments.</w:t>
      </w:r>
      <w:r>
        <w:t xml:space="preserve"> </w:t>
      </w:r>
      <w:r>
        <w:t xml:space="preserve">Target CPA ₹2.60 → ₹2.35 (−10%), with a further step only if install volume holds; add a few ad groups with Bahasa Indonesia headlines and descriptions (all current ad text is English, though the campaign only targets Indonesia), within the existing budget; pause the two weakest ad groups (₹3.1+ per install vs ₹2.31 for the best) and shift their spend to stronger ones; cap the budget at ₹4,000/day; clean up conversion goals once tracking is fixed. Each with hypothesis, guardrails, maximum spend and a written decision.</w:t>
      </w:r>
    </w:p>
    <w:p>
      <w:pPr>
        <w:pStyle w:val="BodyText"/>
      </w:pPr>
      <w:r>
        <w:rPr>
          <w:bCs/>
          <w:b/>
        </w:rPr>
        <w:t xml:space="preserve">Revenue.</w:t>
      </w:r>
      <w:r>
        <w:t xml:space="preserve"> </w:t>
      </w:r>
      <w:r>
        <w:t xml:space="preserve">Purchases checked against Play Console, and cost per purchase reported on installs at least 14 days old, as the baseline for month 2.</w:t>
      </w:r>
    </w:p>
    <w:bookmarkEnd w:id="21"/>
    <w:bookmarkStart w:id="22" w:name="what-i-need-to-start"/>
    <w:p>
      <w:pPr>
        <w:pStyle w:val="Heading2"/>
      </w:pPr>
      <w:r>
        <w:t xml:space="preserve">What I need to start</w:t>
      </w:r>
    </w:p>
    <w:p>
      <w:pPr>
        <w:pStyle w:val="FirstParagraph"/>
      </w:pPr>
      <w:r>
        <w:t xml:space="preserve">Management access to Google Ads; access to Firebase, Play Console, AdMob and Confluence; developer time for the tracking fix; and the approved daily budget ceiling. If any of these is delayed, the goals that depend on it move with it.</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2026-10-27T05:19:30Z</dcterms:created>
  <dcterms:modified xsi:type="dcterms:W3CDTF">2026-10-27T05:19:30Z</dcterms:modified>
</cp:coreProperties>
</file>

<file path=docProps/custom.xml><?xml version="1.0" encoding="utf-8"?>
<Properties xmlns="http://schemas.openxmlformats.org/officeDocument/2006/custom-properties" xmlns:vt="http://schemas.openxmlformats.org/officeDocument/2006/docPropsVTypes"/>
</file>