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Consolas" w:cs="Consolas" w:eastAsia="Consolas" w:hAnsi="Consolas"/>
          <w:b/>
          <w:bCs/>
          <w:color w:val="9A6B3F"/>
          <w:spacing w:val="18"/>
          <w:sz w:val="15"/>
          <w:szCs w:val="15"/>
        </w:rPr>
        <w:t xml:space="preserve">TRILLET · FINAL COPY · BLOG 1 OF 6</w:t>
      </w:r>
    </w:p>
    <w:p>
      <w:pPr>
        <w:spacing w:after="70"/>
      </w:pPr>
      <w:r>
        <w:rPr>
          <w:rFonts w:ascii="Georgia" w:cs="Georgia" w:eastAsia="Georgia" w:hAnsi="Georgia"/>
          <w:b/>
          <w:bCs/>
          <w:color w:val="16223C"/>
          <w:sz w:val="36"/>
          <w:szCs w:val="36"/>
        </w:rPr>
        <w:t xml:space="preserve">What I Wish I Knew Before My First White-Label Partnership</w:t>
      </w:r>
    </w:p>
    <w:p>
      <w:pPr>
        <w:spacing w:after="26"/>
      </w:pPr>
      <w:r>
        <w:rPr>
          <w:rFonts w:ascii="Consolas" w:cs="Consolas" w:eastAsia="Consolas" w:hAnsi="Consolas"/>
          <w:b/>
          <w:bCs/>
          <w:color w:val="9A6B3F"/>
          <w:sz w:val="14"/>
          <w:szCs w:val="14"/>
        </w:rPr>
        <w:t xml:space="preserve">SLUG   </w:t>
      </w:r>
      <w:r>
        <w:rPr>
          <w:rFonts w:ascii="Consolas" w:cs="Consolas" w:eastAsia="Consolas" w:hAnsi="Consolas"/>
          <w:b w:val="false"/>
          <w:bCs w:val="false"/>
          <w:color w:val="24303F"/>
          <w:sz w:val="15"/>
          <w:szCs w:val="15"/>
        </w:rPr>
        <w:t xml:space="preserve">/blogs/white-label-partnerships-guide  (evergreen)</w:t>
      </w:r>
    </w:p>
    <w:p>
      <w:pPr>
        <w:spacing w:after="26"/>
      </w:pPr>
      <w:r>
        <w:rPr>
          <w:rFonts w:ascii="Consolas" w:cs="Consolas" w:eastAsia="Consolas" w:hAnsi="Consolas"/>
          <w:b/>
          <w:bCs/>
          <w:color w:val="9A6B3F"/>
          <w:sz w:val="14"/>
          <w:szCs w:val="14"/>
        </w:rPr>
        <w:t xml:space="preserve">META TITLE   </w:t>
      </w:r>
      <w:r>
        <w:rPr>
          <w:rFonts w:ascii="Consolas" w:cs="Consolas" w:eastAsia="Consolas" w:hAnsi="Consolas"/>
          <w:b w:val="false"/>
          <w:bCs w:val="false"/>
          <w:color w:val="24303F"/>
          <w:sz w:val="15"/>
          <w:szCs w:val="15"/>
        </w:rPr>
        <w:t xml:space="preserve">White-Label Partnerships: What Nobody Tells You (2026)  (54)</w:t>
      </w:r>
    </w:p>
    <w:p>
      <w:pPr>
        <w:spacing w:after="26"/>
      </w:pPr>
      <w:r>
        <w:rPr>
          <w:rFonts w:ascii="Consolas" w:cs="Consolas" w:eastAsia="Consolas" w:hAnsi="Consolas"/>
          <w:b/>
          <w:bCs/>
          <w:color w:val="9A6B3F"/>
          <w:sz w:val="14"/>
          <w:szCs w:val="14"/>
        </w:rPr>
        <w:t xml:space="preserve">META DESC   </w:t>
      </w:r>
      <w:r>
        <w:rPr>
          <w:rFonts w:ascii="Consolas" w:cs="Consolas" w:eastAsia="Consolas" w:hAnsi="Consolas"/>
          <w:b w:val="false"/>
          <w:bCs w:val="false"/>
          <w:color w:val="24303F"/>
          <w:sz w:val="14"/>
          <w:szCs w:val="14"/>
        </w:rPr>
        <w:t xml:space="preserve">White-label partnerships from the operator's seat: how the margin really works, why you own every mistake, and the questions I ask before signing.  (146)</w:t>
      </w:r>
    </w:p>
    <w:p>
      <w:pPr>
        <w:spacing w:after="26"/>
      </w:pPr>
      <w:r>
        <w:rPr>
          <w:rFonts w:ascii="Consolas" w:cs="Consolas" w:eastAsia="Consolas" w:hAnsi="Consolas"/>
          <w:b/>
          <w:bCs/>
          <w:color w:val="9A6B3F"/>
          <w:sz w:val="14"/>
          <w:szCs w:val="14"/>
        </w:rPr>
        <w:t xml:space="preserve">PRIMARY KW   </w:t>
      </w:r>
      <w:r>
        <w:rPr>
          <w:rFonts w:ascii="Calibri" w:cs="Calibri" w:eastAsia="Calibri" w:hAnsi="Calibri"/>
          <w:b w:val="false"/>
          <w:bCs w:val="false"/>
          <w:color w:val="24303F"/>
          <w:sz w:val="17"/>
          <w:szCs w:val="17"/>
        </w:rPr>
        <w:t xml:space="preserve">white label partnerships</w:t>
      </w:r>
    </w:p>
    <w:p>
      <w:pPr>
        <w:spacing w:after="26"/>
      </w:pPr>
      <w:r>
        <w:rPr>
          <w:rFonts w:ascii="Consolas" w:cs="Consolas" w:eastAsia="Consolas" w:hAnsi="Consolas"/>
          <w:b/>
          <w:bCs/>
          <w:color w:val="9A6B3F"/>
          <w:sz w:val="14"/>
          <w:szCs w:val="14"/>
        </w:rPr>
        <w:t xml:space="preserve">SECONDARY   </w:t>
      </w:r>
      <w:r>
        <w:rPr>
          <w:rFonts w:ascii="Calibri" w:cs="Calibri" w:eastAsia="Calibri" w:hAnsi="Calibri"/>
          <w:b w:val="false"/>
          <w:bCs w:val="false"/>
          <w:color w:val="24303F"/>
          <w:sz w:val="17"/>
          <w:szCs w:val="17"/>
        </w:rPr>
        <w:t xml:space="preserve">white label partnership guide · how white label partnerships work · how to choose a white label partner · white label partner agreement</w:t>
      </w:r>
    </w:p>
    <w:p>
      <w:pPr>
        <w:spacing w:after="26"/>
      </w:pPr>
      <w:r>
        <w:rPr>
          <w:rFonts w:ascii="Consolas" w:cs="Consolas" w:eastAsia="Consolas" w:hAnsi="Consolas"/>
          <w:b/>
          <w:bCs/>
          <w:color w:val="9A6B3F"/>
          <w:sz w:val="14"/>
          <w:szCs w:val="14"/>
        </w:rPr>
        <w:t xml:space="preserve">INTERNAL LINKS   </w:t>
      </w:r>
      <w:r>
        <w:rPr>
          <w:rFonts w:ascii="Calibri" w:cs="Calibri" w:eastAsia="Calibri" w:hAnsi="Calibri"/>
          <w:b w:val="false"/>
          <w:bCs w:val="false"/>
          <w:color w:val="24303F"/>
          <w:sz w:val="17"/>
          <w:szCs w:val="17"/>
        </w:rPr>
        <w:t xml:space="preserve">6 placed inline, marked [/path]. Anchor text is natural; the tag is for the publisher.</w:t>
      </w:r>
    </w:p>
    <w:p>
      <w:pPr>
        <w:pBdr>
          <w:bottom w:val="single" w:color="D9DEE8" w:sz="6"/>
        </w:pBdr>
        <w:spacing w:after="120" w:before="120"/>
      </w:pPr>
      <w:r>
        <w:t xml:space="preserve"/>
      </w:r>
    </w:p>
    <w:p>
      <w:pPr>
        <w:spacing w:after="16" w:before="90"/>
      </w:pPr>
      <w:r>
        <w:rPr>
          <w:rFonts w:ascii="Calibri" w:cs="Calibri" w:eastAsia="Calibri" w:hAnsi="Calibri"/>
          <w:b/>
          <w:bCs/>
          <w:color w:val="16223C"/>
          <w:sz w:val="20"/>
          <w:szCs w:val="20"/>
        </w:rPr>
        <w:t xml:space="preserve">Reconciled with the live site, 12 Sep 2026</w:t>
      </w:r>
    </w:p>
    <w:p>
      <w:pPr>
        <w:spacing w:after="40"/>
      </w:pPr>
      <w:r>
        <w:rPr>
          <w:rFonts w:ascii="Calibri" w:cs="Calibri" w:eastAsia="Calibri" w:hAnsi="Calibri"/>
          <w:b/>
          <w:bCs/>
          <w:color w:val="2E7D5B"/>
          <w:sz w:val="16"/>
          <w:szCs w:val="16"/>
        </w:rPr>
        <w:t xml:space="preserve">✓ </w:t>
      </w:r>
      <w:r>
        <w:rPr>
          <w:rFonts w:ascii="Calibri" w:cs="Calibri" w:eastAsia="Calibri" w:hAnsi="Calibri"/>
          <w:color w:val="5A6675"/>
          <w:sz w:val="16"/>
          <w:szCs w:val="16"/>
        </w:rPr>
        <w:t xml:space="preserve">Compliance now matches trillet.ai: SOC 2 Type II, ISO 27001, and operation under HIPAA, GDPR, ACMA, TCPA. Removed the earlier unverified “included on every plan at no extra cost” claim.</w:t>
      </w:r>
    </w:p>
    <w:p>
      <w:pPr>
        <w:spacing w:after="40"/>
      </w:pPr>
      <w:r>
        <w:rPr>
          <w:rFonts w:ascii="Calibri" w:cs="Calibri" w:eastAsia="Calibri" w:hAnsi="Calibri"/>
          <w:b/>
          <w:bCs/>
          <w:color w:val="2E7D5B"/>
          <w:sz w:val="16"/>
          <w:szCs w:val="16"/>
        </w:rPr>
        <w:t xml:space="preserve">✓ </w:t>
      </w:r>
      <w:r>
        <w:rPr>
          <w:rFonts w:ascii="Calibri" w:cs="Calibri" w:eastAsia="Calibri" w:hAnsi="Calibri"/>
          <w:color w:val="5A6675"/>
          <w:sz w:val="16"/>
          <w:szCs w:val="16"/>
        </w:rPr>
        <w:t xml:space="preserve">Audit-trail claim verified and sharpened: the site states “full audit trails and role-based access on every client workspace,” with recordings and transcripts stored onshore.</w:t>
      </w:r>
    </w:p>
    <w:p>
      <w:pPr>
        <w:spacing w:after="40"/>
      </w:pPr>
      <w:r>
        <w:rPr>
          <w:rFonts w:ascii="Calibri" w:cs="Calibri" w:eastAsia="Calibri" w:hAnsi="Calibri"/>
          <w:b/>
          <w:bCs/>
          <w:color w:val="2E7D5B"/>
          <w:sz w:val="16"/>
          <w:szCs w:val="16"/>
        </w:rPr>
        <w:t xml:space="preserve">✓ </w:t>
      </w:r>
      <w:r>
        <w:rPr>
          <w:rFonts w:ascii="Calibri" w:cs="Calibri" w:eastAsia="Calibri" w:hAnsi="Calibri"/>
          <w:color w:val="5A6675"/>
          <w:sz w:val="16"/>
          <w:szCs w:val="16"/>
        </w:rPr>
        <w:t xml:space="preserve">Partner structure corrected: the white-label platform (self-serve) is distinct from the three partnership tracks (reseller, referral, OEM). CTA now reflects this.</w:t>
      </w:r>
    </w:p>
    <w:p>
      <w:pPr>
        <w:spacing w:after="40"/>
      </w:pPr>
      <w:r>
        <w:rPr>
          <w:rFonts w:ascii="Calibri" w:cs="Calibri" w:eastAsia="Calibri" w:hAnsi="Calibri"/>
          <w:b/>
          <w:bCs/>
          <w:color w:val="2E7D5B"/>
          <w:sz w:val="16"/>
          <w:szCs w:val="16"/>
        </w:rPr>
        <w:t xml:space="preserve">✓ </w:t>
      </w:r>
      <w:r>
        <w:rPr>
          <w:rFonts w:ascii="Calibri" w:cs="Calibri" w:eastAsia="Calibri" w:hAnsi="Calibri"/>
          <w:color w:val="5A6675"/>
          <w:sz w:val="16"/>
          <w:szCs w:val="16"/>
        </w:rPr>
        <w:t xml:space="preserve">Real usage figure used: $0.12/min (Studio $99/mo, Agency $299/mo per the live white-label page).</w:t>
      </w:r>
    </w:p>
    <w:p>
      <w:pPr>
        <w:spacing w:after="40"/>
      </w:pPr>
      <w:r>
        <w:rPr>
          <w:rFonts w:ascii="Calibri" w:cs="Calibri" w:eastAsia="Calibri" w:hAnsi="Calibri"/>
          <w:b/>
          <w:bCs/>
          <w:color w:val="B4442E"/>
          <w:sz w:val="16"/>
          <w:szCs w:val="16"/>
        </w:rPr>
        <w:t xml:space="preserve">⚑ </w:t>
      </w:r>
      <w:r>
        <w:rPr>
          <w:rFonts w:ascii="Calibri" w:cs="Calibri" w:eastAsia="Calibri" w:hAnsi="Calibri"/>
          <w:color w:val="5A6675"/>
          <w:sz w:val="16"/>
          <w:szCs w:val="16"/>
        </w:rPr>
        <w:t xml:space="preserve">Re-confirm pricing and certifications at publish; both can change. On-premise/data-residency is enterprise-tier; the copy does not imply it is universal.</w:t>
      </w:r>
    </w:p>
    <w:p>
      <w:pPr>
        <w:pBdr>
          <w:bottom w:val="single" w:color="D9DEE8" w:sz="6"/>
        </w:pBdr>
        <w:spacing w:after="120" w:before="120"/>
      </w:pPr>
      <w:r>
        <w:t xml:space="preserve"/>
      </w:r>
    </w:p>
    <w:p>
      <w:pPr>
        <w:spacing w:after="110" w:line="278"/>
      </w:pPr>
      <w:r>
        <w:rPr>
          <w:rFonts w:ascii="Calibri" w:cs="Calibri" w:eastAsia="Calibri" w:hAnsi="Calibri"/>
          <w:b w:val="false"/>
          <w:bCs w:val="false"/>
          <w:i w:val="false"/>
          <w:iCs w:val="false"/>
          <w:color w:val="24303F"/>
          <w:sz w:val="20"/>
          <w:szCs w:val="20"/>
        </w:rPr>
        <w:t xml:space="preserve">I have watched white-label partnerships make an agency’s year, and I have watched them slowly sink one. The product was rarely what decided which way it went. What decided it was the unglamorous stuff nobody raises on the sales call: who answers when something breaks, whether the numbers still work after the vendor lifts its rates, and whether you can prove what your AI said when a client’s customer swears it said something else.</w:t>
      </w:r>
    </w:p>
    <w:p>
      <w:pPr>
        <w:spacing w:after="110" w:line="278"/>
      </w:pPr>
      <w:r>
        <w:rPr>
          <w:rFonts w:ascii="Calibri" w:cs="Calibri" w:eastAsia="Calibri" w:hAnsi="Calibri"/>
          <w:b w:val="false"/>
          <w:bCs w:val="false"/>
          <w:i w:val="false"/>
          <w:iCs w:val="false"/>
          <w:color w:val="24303F"/>
          <w:sz w:val="20"/>
          <w:szCs w:val="20"/>
        </w:rPr>
        <w:t xml:space="preserve">Here is the plain version before the detail. A white-label partnership means you sell someone else’s product under your own brand. The vendor builds it and keeps it running; you rebrand it, price it, sell it, and own the client. The rest of this covers what the sales page skips, because that is what decides whether the deal actually makes you money.</w:t>
      </w:r>
    </w:p>
    <w:p>
      <w:pPr>
        <w:spacing w:after="50" w:before="150"/>
      </w:pPr>
      <w:r>
        <w:rPr>
          <w:rFonts w:ascii="Georgia" w:cs="Georgia" w:eastAsia="Georgia" w:hAnsi="Georgia"/>
          <w:b/>
          <w:bCs/>
          <w:color w:val="16223C"/>
          <w:sz w:val="25"/>
          <w:szCs w:val="25"/>
        </w:rPr>
        <w:t xml:space="preserve">The labels get blurred, so know which one you’re signing</w:t>
      </w:r>
    </w:p>
    <w:p>
      <w:pPr>
        <w:spacing w:after="110" w:line="278"/>
      </w:pPr>
      <w:r>
        <w:rPr>
          <w:rFonts w:ascii="Calibri" w:cs="Calibri" w:eastAsia="Calibri" w:hAnsi="Calibri"/>
          <w:b w:val="false"/>
          <w:bCs w:val="false"/>
          <w:i w:val="false"/>
          <w:iCs w:val="false"/>
          <w:color w:val="24303F"/>
          <w:sz w:val="20"/>
          <w:szCs w:val="20"/>
        </w:rPr>
        <w:t xml:space="preserve">The first thing I got wrong was assuming white-label meant one fixed thing. It does not, and vendors tend to soften the differences on a call because they want you comfortable. Those differences decide how much control and how much margin you keep.</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50"/>
        <w:gridCol w:w="4650"/>
        <w:gridCol w:w="2960"/>
      </w:tblGrid>
      <w:tr>
        <w:trPr>
          <w:tblHeader/>
        </w:trPr>
        <w:tc>
          <w:tcPr>
            <w:tcW w:type="dxa" w:w="1750"/>
            <w:tcBorders>
              <w:top w:val="single" w:color="D9DEE8" w:sz="4"/>
              <w:left w:val="single" w:color="D9DEE8" w:sz="4"/>
              <w:bottom w:val="single" w:color="D9DEE8" w:sz="4"/>
              <w:right w:val="single" w:color="D9DEE8" w:sz="4"/>
            </w:tcBorders>
            <w:shd w:fill="16223C" w:color="auto" w:val="clear"/>
            <w:tcMar>
              <w:top w:type="dxa" w:w="60"/>
              <w:left w:type="dxa" w:w="100"/>
              <w:bottom w:type="dxa" w:w="60"/>
              <w:right w:type="dxa" w:w="100"/>
            </w:tcMar>
          </w:tcPr>
          <w:p>
            <w:pPr>
              <w:spacing w:after="0" w:line="250"/>
            </w:pPr>
            <w:r>
              <w:rPr>
                <w:rFonts w:ascii="Calibri" w:cs="Calibri" w:eastAsia="Calibri" w:hAnsi="Calibri"/>
                <w:b/>
                <w:bCs/>
                <w:color w:val="FFFFFF"/>
                <w:sz w:val="15"/>
                <w:szCs w:val="15"/>
              </w:rPr>
              <w:t xml:space="preserve">What they call it</w:t>
            </w:r>
          </w:p>
        </w:tc>
        <w:tc>
          <w:tcPr>
            <w:tcW w:type="dxa" w:w="4650"/>
            <w:tcBorders>
              <w:top w:val="single" w:color="D9DEE8" w:sz="4"/>
              <w:left w:val="single" w:color="D9DEE8" w:sz="4"/>
              <w:bottom w:val="single" w:color="D9DEE8" w:sz="4"/>
              <w:right w:val="single" w:color="D9DEE8" w:sz="4"/>
            </w:tcBorders>
            <w:shd w:fill="16223C" w:color="auto" w:val="clear"/>
            <w:tcMar>
              <w:top w:type="dxa" w:w="60"/>
              <w:left w:type="dxa" w:w="100"/>
              <w:bottom w:type="dxa" w:w="60"/>
              <w:right w:type="dxa" w:w="100"/>
            </w:tcMar>
          </w:tcPr>
          <w:p>
            <w:pPr>
              <w:spacing w:after="0" w:line="250"/>
            </w:pPr>
            <w:r>
              <w:rPr>
                <w:rFonts w:ascii="Calibri" w:cs="Calibri" w:eastAsia="Calibri" w:hAnsi="Calibri"/>
                <w:b/>
                <w:bCs/>
                <w:color w:val="FFFFFF"/>
                <w:sz w:val="15"/>
                <w:szCs w:val="15"/>
              </w:rPr>
              <w:t xml:space="preserve">What you actually get</w:t>
            </w:r>
          </w:p>
        </w:tc>
        <w:tc>
          <w:tcPr>
            <w:tcW w:type="dxa" w:w="2960"/>
            <w:tcBorders>
              <w:top w:val="single" w:color="D9DEE8" w:sz="4"/>
              <w:left w:val="single" w:color="D9DEE8" w:sz="4"/>
              <w:bottom w:val="single" w:color="D9DEE8" w:sz="4"/>
              <w:right w:val="single" w:color="D9DEE8" w:sz="4"/>
            </w:tcBorders>
            <w:shd w:fill="16223C" w:color="auto" w:val="clear"/>
            <w:tcMar>
              <w:top w:type="dxa" w:w="60"/>
              <w:left w:type="dxa" w:w="100"/>
              <w:bottom w:type="dxa" w:w="60"/>
              <w:right w:type="dxa" w:w="100"/>
            </w:tcMar>
          </w:tcPr>
          <w:p>
            <w:pPr>
              <w:spacing w:after="0" w:line="250"/>
            </w:pPr>
            <w:r>
              <w:rPr>
                <w:rFonts w:ascii="Calibri" w:cs="Calibri" w:eastAsia="Calibri" w:hAnsi="Calibri"/>
                <w:b/>
                <w:bCs/>
                <w:color w:val="FFFFFF"/>
                <w:sz w:val="15"/>
                <w:szCs w:val="15"/>
              </w:rPr>
              <w:t xml:space="preserve">Who owns the client</w:t>
            </w:r>
          </w:p>
        </w:tc>
      </w:tr>
      <w:tr>
        <w:tc>
          <w:tcPr>
            <w:tcW w:type="dxa" w:w="17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White-label</w:t>
            </w:r>
          </w:p>
        </w:tc>
        <w:tc>
          <w:tcPr>
            <w:tcW w:type="dxa" w:w="46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The product sold fully as your brand, your pricing.</w:t>
            </w:r>
          </w:p>
        </w:tc>
        <w:tc>
          <w:tcPr>
            <w:tcW w:type="dxa" w:w="29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You</w:t>
            </w:r>
          </w:p>
        </w:tc>
      </w:tr>
      <w:tr>
        <w:tc>
          <w:tcPr>
            <w:tcW w:type="dxa" w:w="17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Reseller</w:t>
            </w:r>
          </w:p>
        </w:tc>
        <w:tc>
          <w:tcPr>
            <w:tcW w:type="dxa" w:w="46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You sell it, often with the vendor’s brand showing, for a margin.</w:t>
            </w:r>
          </w:p>
        </w:tc>
        <w:tc>
          <w:tcPr>
            <w:tcW w:type="dxa" w:w="29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Shared, leaning vendor</w:t>
            </w:r>
          </w:p>
        </w:tc>
      </w:tr>
      <w:tr>
        <w:tc>
          <w:tcPr>
            <w:tcW w:type="dxa" w:w="17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Referral</w:t>
            </w:r>
          </w:p>
        </w:tc>
        <w:tc>
          <w:tcPr>
            <w:tcW w:type="dxa" w:w="46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You pass leads over and take a cut. Nothing is yours.</w:t>
            </w:r>
          </w:p>
        </w:tc>
        <w:tc>
          <w:tcPr>
            <w:tcW w:type="dxa" w:w="29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Vendor</w:t>
            </w:r>
          </w:p>
        </w:tc>
      </w:tr>
      <w:tr>
        <w:tc>
          <w:tcPr>
            <w:tcW w:type="dxa" w:w="17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OEM</w:t>
            </w:r>
          </w:p>
        </w:tc>
        <w:tc>
          <w:tcPr>
            <w:tcW w:type="dxa" w:w="46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Their engine sits inside your own product.</w:t>
            </w:r>
          </w:p>
        </w:tc>
        <w:tc>
          <w:tcPr>
            <w:tcW w:type="dxa" w:w="29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You</w:t>
            </w:r>
          </w:p>
        </w:tc>
      </w:tr>
    </w:tbl>
    <w:p>
      <w:pPr>
        <w:spacing w:after="110" w:line="278"/>
      </w:pPr>
      <w:r>
        <w:rPr>
          <w:rFonts w:ascii="Calibri" w:cs="Calibri" w:eastAsia="Calibri" w:hAnsi="Calibri"/>
          <w:b w:val="false"/>
          <w:bCs w:val="false"/>
          <w:i w:val="false"/>
          <w:iCs w:val="false"/>
          <w:color w:val="24303F"/>
          <w:sz w:val="20"/>
          <w:szCs w:val="20"/>
        </w:rPr>
        <w:t xml:space="preserve">If the contract says white-label but the dashboard still shows the vendor’s name and the invoices come from them, you have a reseller arrangement with better marketing. Ask to see the branded product working before you trust the label.</w:t>
      </w:r>
    </w:p>
    <w:p>
      <w:pPr>
        <w:spacing w:after="50" w:before="150"/>
      </w:pPr>
      <w:r>
        <w:rPr>
          <w:rFonts w:ascii="Georgia" w:cs="Georgia" w:eastAsia="Georgia" w:hAnsi="Georgia"/>
          <w:b/>
          <w:bCs/>
          <w:color w:val="16223C"/>
          <w:sz w:val="25"/>
          <w:szCs w:val="25"/>
        </w:rPr>
        <w:t xml:space="preserve">Where the margin actually goes</w:t>
      </w:r>
    </w:p>
    <w:p>
      <w:pPr>
        <w:spacing w:after="110" w:line="278"/>
      </w:pPr>
      <w:r>
        <w:rPr>
          <w:rFonts w:ascii="Calibri" w:cs="Calibri" w:eastAsia="Calibri" w:hAnsi="Calibri"/>
          <w:b w:val="false"/>
          <w:bCs w:val="false"/>
          <w:i w:val="false"/>
          <w:iCs w:val="false"/>
          <w:color w:val="24303F"/>
          <w:sz w:val="20"/>
          <w:szCs w:val="20"/>
        </w:rPr>
        <w:t xml:space="preserve">The pitch rarely changes: pay wholesale, charge retail, keep the difference, and it recurs every month. That part holds. Two things erode the margin, and both are avoidable once you know to look.</w:t>
      </w:r>
    </w:p>
    <w:p>
      <w:pPr>
        <w:spacing w:after="110" w:line="278"/>
      </w:pPr>
      <w:r>
        <w:rPr>
          <w:rFonts w:ascii="Calibri" w:cs="Calibri" w:eastAsia="Calibri" w:hAnsi="Calibri"/>
          <w:b w:val="false"/>
          <w:bCs w:val="false"/>
          <w:i w:val="false"/>
          <w:iCs w:val="false"/>
          <w:color w:val="24303F"/>
          <w:sz w:val="20"/>
          <w:szCs w:val="20"/>
        </w:rPr>
        <w:t xml:space="preserve">The first is pricing a usage-based cost as if it were fixed. Most AI platforms bill per minute or per interaction. Trillet’s usage runs at $0.12 a minute, for instance. If you sell a client a flat monthly price and one heavy user runs the minutes up, your margin on that account can fall to nothing before you notice. Price with a usage band rather than a flat rate you will regret later.</w:t>
      </w:r>
    </w:p>
    <w:p>
      <w:pPr>
        <w:spacing w:after="110" w:line="278"/>
      </w:pPr>
      <w:r>
        <w:rPr>
          <w:rFonts w:ascii="Calibri" w:cs="Calibri" w:eastAsia="Calibri" w:hAnsi="Calibri"/>
          <w:b w:val="false"/>
          <w:bCs w:val="false"/>
          <w:i w:val="false"/>
          <w:iCs w:val="false"/>
          <w:color w:val="24303F"/>
          <w:sz w:val="20"/>
          <w:szCs w:val="20"/>
        </w:rPr>
        <w:t xml:space="preserve">The second is rate creep. You lock a client’s price to win the deal, then the vendor lifts its wholesale rate or moves a feature you rely on into a higher tier, and the squeeze lands on you. I now assume wholesale pricing will move, and I ask in writing how far and how often it can. The numbers behind a healthy recurring margin are in our </w:t>
      </w:r>
      <w:r>
        <w:rPr>
          <w:rFonts w:ascii="Calibri" w:cs="Calibri" w:eastAsia="Calibri" w:hAnsi="Calibri"/>
          <w:color w:val="1B5E86"/>
          <w:sz w:val="20"/>
          <w:szCs w:val="20"/>
          <w:u w:val="single"/>
        </w:rPr>
        <w:t xml:space="preserve">white-label profit margins</w:t>
      </w:r>
      <w:r>
        <w:rPr>
          <w:rFonts w:ascii="Consolas" w:cs="Consolas" w:eastAsia="Consolas" w:hAnsi="Consolas"/>
          <w:color w:val="5A6675"/>
          <w:sz w:val="12"/>
          <w:szCs w:val="12"/>
        </w:rPr>
        <w:t xml:space="preserve"> [/blogs/white-label-ai-profit-margins]</w:t>
      </w:r>
      <w:r>
        <w:rPr>
          <w:rFonts w:ascii="Calibri" w:cs="Calibri" w:eastAsia="Calibri" w:hAnsi="Calibri"/>
          <w:b w:val="false"/>
          <w:bCs w:val="false"/>
          <w:i w:val="false"/>
          <w:iCs w:val="false"/>
          <w:color w:val="24303F"/>
          <w:sz w:val="20"/>
          <w:szCs w:val="20"/>
        </w:rPr>
        <w:t xml:space="preserve"> breakdown. A few agencies weigh building their own on Vapi or Retell instead of reselling; that </w:t>
      </w:r>
      <w:r>
        <w:rPr>
          <w:rFonts w:ascii="Calibri" w:cs="Calibri" w:eastAsia="Calibri" w:hAnsi="Calibri"/>
          <w:color w:val="1B5E86"/>
          <w:sz w:val="20"/>
          <w:szCs w:val="20"/>
          <w:u w:val="single"/>
        </w:rPr>
        <w:t xml:space="preserve">build-versus-buy call</w:t>
      </w:r>
      <w:r>
        <w:rPr>
          <w:rFonts w:ascii="Consolas" w:cs="Consolas" w:eastAsia="Consolas" w:hAnsi="Consolas"/>
          <w:color w:val="5A6675"/>
          <w:sz w:val="12"/>
          <w:szCs w:val="12"/>
        </w:rPr>
        <w:t xml:space="preserve"> [/blogs/build-on-vapi-retell-vs-buy-white-label]</w:t>
      </w:r>
      <w:r>
        <w:rPr>
          <w:rFonts w:ascii="Calibri" w:cs="Calibri" w:eastAsia="Calibri" w:hAnsi="Calibri"/>
          <w:b w:val="false"/>
          <w:bCs w:val="false"/>
          <w:i w:val="false"/>
          <w:iCs w:val="false"/>
          <w:color w:val="24303F"/>
          <w:sz w:val="20"/>
          <w:szCs w:val="20"/>
        </w:rPr>
        <w:t xml:space="preserve"> is its own exercise.</w:t>
      </w:r>
    </w:p>
    <w:p>
      <w:pPr>
        <w:spacing w:after="50" w:before="150"/>
      </w:pPr>
      <w:r>
        <w:rPr>
          <w:rFonts w:ascii="Georgia" w:cs="Georgia" w:eastAsia="Georgia" w:hAnsi="Georgia"/>
          <w:b/>
          <w:bCs/>
          <w:color w:val="16223C"/>
          <w:sz w:val="25"/>
          <w:szCs w:val="25"/>
        </w:rPr>
        <w:t xml:space="preserve">You own every mistake the agent makes</w:t>
      </w:r>
    </w:p>
    <w:p>
      <w:pPr>
        <w:spacing w:after="110" w:line="278"/>
      </w:pPr>
      <w:r>
        <w:rPr>
          <w:rFonts w:ascii="Calibri" w:cs="Calibri" w:eastAsia="Calibri" w:hAnsi="Calibri"/>
          <w:b w:val="false"/>
          <w:bCs w:val="false"/>
          <w:i w:val="false"/>
          <w:iCs w:val="false"/>
          <w:color w:val="24303F"/>
          <w:sz w:val="20"/>
          <w:szCs w:val="20"/>
        </w:rPr>
        <w:t xml:space="preserve">This is the risk people underestimate, and the one that has cost me the most sleep. When the agent wears your brand, a wrong answer, an invented policy or a botched booking reads to the client’s customer as your company’s error rather than the vendor’s.</w:t>
      </w:r>
    </w:p>
    <w:p>
      <w:pPr>
        <w:spacing w:after="110" w:line="278"/>
      </w:pPr>
      <w:r>
        <w:rPr>
          <w:rFonts w:ascii="Calibri" w:cs="Calibri" w:eastAsia="Calibri" w:hAnsi="Calibri"/>
          <w:b w:val="false"/>
          <w:bCs w:val="false"/>
          <w:i w:val="false"/>
          <w:iCs w:val="false"/>
          <w:color w:val="24303F"/>
          <w:sz w:val="20"/>
          <w:szCs w:val="20"/>
        </w:rPr>
        <w:t xml:space="preserve">It is harder at the support desk. The customer complains to your client, your client comes to you, and you go to the vendor holding a ticket with none of the detail attached: no recording, no transcript, no log of what the agent said or which tool it called. You end up apologising for something you cannot see, while your client watches how you handle it.</w:t>
      </w:r>
    </w:p>
    <w:p>
      <w:pPr>
        <w:spacing w:after="110" w:line="278"/>
      </w:pPr>
      <w:r>
        <w:rPr>
          <w:rFonts w:ascii="Calibri" w:cs="Calibri" w:eastAsia="Calibri" w:hAnsi="Calibri"/>
          <w:b w:val="false"/>
          <w:bCs w:val="false"/>
          <w:i w:val="false"/>
          <w:iCs w:val="false"/>
          <w:color w:val="24303F"/>
          <w:sz w:val="20"/>
          <w:szCs w:val="20"/>
        </w:rPr>
        <w:t xml:space="preserve">So I treat one question as non-negotiable now: can I pull a full record of any conversation myself, on demand? If a platform cannot show me what its own agent said, I cannot stand behind my brand. This is where Trillet’s setup differs. Every client workspace carries full audit trails and role-based access, and recordings and transcripts are kept, so a disputed call is something you open rather than guess at. Compliance is built into the platform too: SOC 2 Type II and ISO 27001, and operation under HIPAA, GDPR, ACMA and TCPA, which counts for a lot when your clients are clinics or law firms. Our </w:t>
      </w:r>
      <w:r>
        <w:rPr>
          <w:rFonts w:ascii="Calibri" w:cs="Calibri" w:eastAsia="Calibri" w:hAnsi="Calibri"/>
          <w:color w:val="1B5E86"/>
          <w:sz w:val="20"/>
          <w:szCs w:val="20"/>
          <w:u w:val="single"/>
        </w:rPr>
        <w:t xml:space="preserve">white-label AI with built-in compliance</w:t>
      </w:r>
      <w:r>
        <w:rPr>
          <w:rFonts w:ascii="Consolas" w:cs="Consolas" w:eastAsia="Consolas" w:hAnsi="Consolas"/>
          <w:color w:val="5A6675"/>
          <w:sz w:val="12"/>
          <w:szCs w:val="12"/>
        </w:rPr>
        <w:t xml:space="preserve"> [/blogs/white-label-ai-with-built-in-compliance]</w:t>
      </w:r>
      <w:r>
        <w:rPr>
          <w:rFonts w:ascii="Calibri" w:cs="Calibri" w:eastAsia="Calibri" w:hAnsi="Calibri"/>
          <w:b w:val="false"/>
          <w:bCs w:val="false"/>
          <w:i w:val="false"/>
          <w:iCs w:val="false"/>
          <w:color w:val="24303F"/>
          <w:sz w:val="20"/>
          <w:szCs w:val="20"/>
        </w:rPr>
        <w:t xml:space="preserve"> page covers how that works in practice.</w:t>
      </w:r>
    </w:p>
    <w:p>
      <w:pPr>
        <w:spacing w:after="50" w:before="150"/>
      </w:pPr>
      <w:r>
        <w:rPr>
          <w:rFonts w:ascii="Georgia" w:cs="Georgia" w:eastAsia="Georgia" w:hAnsi="Georgia"/>
          <w:b/>
          <w:bCs/>
          <w:color w:val="16223C"/>
          <w:sz w:val="25"/>
          <w:szCs w:val="25"/>
        </w:rPr>
        <w:t xml:space="preserve">How I vet a partner now</w:t>
      </w:r>
    </w:p>
    <w:p>
      <w:pPr>
        <w:spacing w:after="110" w:line="278"/>
      </w:pPr>
      <w:r>
        <w:rPr>
          <w:rFonts w:ascii="Calibri" w:cs="Calibri" w:eastAsia="Calibri" w:hAnsi="Calibri"/>
          <w:b w:val="false"/>
          <w:bCs w:val="false"/>
          <w:i w:val="false"/>
          <w:iCs w:val="false"/>
          <w:color w:val="24303F"/>
          <w:sz w:val="20"/>
          <w:szCs w:val="20"/>
        </w:rPr>
        <w:t xml:space="preserve">After a couple of expensive lessons I stopped being swayed by the demo and started working the same list every time. The left column is what I ask. The right column is what makes me walk away.</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2050"/>
        <w:gridCol w:w="4360"/>
        <w:gridCol w:w="2950"/>
      </w:tblGrid>
      <w:tr>
        <w:trPr>
          <w:tblHeader/>
        </w:trPr>
        <w:tc>
          <w:tcPr>
            <w:tcW w:type="dxa" w:w="2050"/>
            <w:tcBorders>
              <w:top w:val="single" w:color="D9DEE8" w:sz="4"/>
              <w:left w:val="single" w:color="D9DEE8" w:sz="4"/>
              <w:bottom w:val="single" w:color="D9DEE8" w:sz="4"/>
              <w:right w:val="single" w:color="D9DEE8" w:sz="4"/>
            </w:tcBorders>
            <w:shd w:fill="16223C" w:color="auto" w:val="clear"/>
            <w:tcMar>
              <w:top w:type="dxa" w:w="60"/>
              <w:left w:type="dxa" w:w="100"/>
              <w:bottom w:type="dxa" w:w="60"/>
              <w:right w:type="dxa" w:w="100"/>
            </w:tcMar>
          </w:tcPr>
          <w:p>
            <w:pPr>
              <w:spacing w:after="0" w:line="250"/>
            </w:pPr>
            <w:r>
              <w:rPr>
                <w:rFonts w:ascii="Calibri" w:cs="Calibri" w:eastAsia="Calibri" w:hAnsi="Calibri"/>
                <w:b/>
                <w:bCs/>
                <w:color w:val="FFFFFF"/>
                <w:sz w:val="15"/>
                <w:szCs w:val="15"/>
              </w:rPr>
              <w:t xml:space="preserve">What I check</w:t>
            </w:r>
          </w:p>
        </w:tc>
        <w:tc>
          <w:tcPr>
            <w:tcW w:type="dxa" w:w="4360"/>
            <w:tcBorders>
              <w:top w:val="single" w:color="D9DEE8" w:sz="4"/>
              <w:left w:val="single" w:color="D9DEE8" w:sz="4"/>
              <w:bottom w:val="single" w:color="D9DEE8" w:sz="4"/>
              <w:right w:val="single" w:color="D9DEE8" w:sz="4"/>
            </w:tcBorders>
            <w:shd w:fill="16223C" w:color="auto" w:val="clear"/>
            <w:tcMar>
              <w:top w:type="dxa" w:w="60"/>
              <w:left w:type="dxa" w:w="100"/>
              <w:bottom w:type="dxa" w:w="60"/>
              <w:right w:type="dxa" w:w="100"/>
            </w:tcMar>
          </w:tcPr>
          <w:p>
            <w:pPr>
              <w:spacing w:after="0" w:line="250"/>
            </w:pPr>
            <w:r>
              <w:rPr>
                <w:rFonts w:ascii="Calibri" w:cs="Calibri" w:eastAsia="Calibri" w:hAnsi="Calibri"/>
                <w:b/>
                <w:bCs/>
                <w:color w:val="FFFFFF"/>
                <w:sz w:val="15"/>
                <w:szCs w:val="15"/>
              </w:rPr>
              <w:t xml:space="preserve">What I want to hear</w:t>
            </w:r>
          </w:p>
        </w:tc>
        <w:tc>
          <w:tcPr>
            <w:tcW w:type="dxa" w:w="2950"/>
            <w:tcBorders>
              <w:top w:val="single" w:color="D9DEE8" w:sz="4"/>
              <w:left w:val="single" w:color="D9DEE8" w:sz="4"/>
              <w:bottom w:val="single" w:color="D9DEE8" w:sz="4"/>
              <w:right w:val="single" w:color="D9DEE8" w:sz="4"/>
            </w:tcBorders>
            <w:shd w:fill="16223C" w:color="auto" w:val="clear"/>
            <w:tcMar>
              <w:top w:type="dxa" w:w="60"/>
              <w:left w:type="dxa" w:w="100"/>
              <w:bottom w:type="dxa" w:w="60"/>
              <w:right w:type="dxa" w:w="100"/>
            </w:tcMar>
          </w:tcPr>
          <w:p>
            <w:pPr>
              <w:spacing w:after="0" w:line="250"/>
            </w:pPr>
            <w:r>
              <w:rPr>
                <w:rFonts w:ascii="Calibri" w:cs="Calibri" w:eastAsia="Calibri" w:hAnsi="Calibri"/>
                <w:b/>
                <w:bCs/>
                <w:color w:val="FFFFFF"/>
                <w:sz w:val="15"/>
                <w:szCs w:val="15"/>
              </w:rPr>
              <w:t xml:space="preserve">What makes me walk</w:t>
            </w:r>
          </w:p>
        </w:tc>
      </w:tr>
      <w:tr>
        <w:tc>
          <w:tcPr>
            <w:tcW w:type="dxa" w:w="20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The real margin</w:t>
            </w:r>
          </w:p>
        </w:tc>
        <w:tc>
          <w:tcPr>
            <w:tcW w:type="dxa" w:w="43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A wholesale rate I can forecast, with room to price sensibly.</w:t>
            </w:r>
          </w:p>
        </w:tc>
        <w:tc>
          <w:tcPr>
            <w:tcW w:type="dxa" w:w="29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Usage pricing that swings in ways I cannot predict.</w:t>
            </w:r>
          </w:p>
        </w:tc>
      </w:tr>
      <w:tr>
        <w:tc>
          <w:tcPr>
            <w:tcW w:type="dxa" w:w="20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How deep the branding goes</w:t>
            </w:r>
          </w:p>
        </w:tc>
        <w:tc>
          <w:tcPr>
            <w:tcW w:type="dxa" w:w="43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My domain, my dashboard, my billing. The client never meets the vendor.</w:t>
            </w:r>
          </w:p>
        </w:tc>
        <w:tc>
          <w:tcPr>
            <w:tcW w:type="dxa" w:w="29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A logo skin with the vendor’s name still showing.</w:t>
            </w:r>
          </w:p>
        </w:tc>
      </w:tr>
      <w:tr>
        <w:tc>
          <w:tcPr>
            <w:tcW w:type="dxa" w:w="20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Who fixes it, and how fast</w:t>
            </w:r>
          </w:p>
        </w:tc>
        <w:tc>
          <w:tcPr>
            <w:tcW w:type="dxa" w:w="43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A named support path faster than my client expects.</w:t>
            </w:r>
          </w:p>
        </w:tc>
        <w:tc>
          <w:tcPr>
            <w:tcW w:type="dxa" w:w="29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‘Submit a ticket’ and a shrug.</w:t>
            </w:r>
          </w:p>
        </w:tc>
      </w:tr>
      <w:tr>
        <w:tc>
          <w:tcPr>
            <w:tcW w:type="dxa" w:w="20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Whether I can see what happened</w:t>
            </w:r>
          </w:p>
        </w:tc>
        <w:tc>
          <w:tcPr>
            <w:tcW w:type="dxa" w:w="43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A full record of every conversation, mine to pull.</w:t>
            </w:r>
          </w:p>
        </w:tc>
        <w:tc>
          <w:tcPr>
            <w:tcW w:type="dxa" w:w="29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No transcript, no audio, no log.</w:t>
            </w:r>
          </w:p>
        </w:tc>
      </w:tr>
      <w:tr>
        <w:tc>
          <w:tcPr>
            <w:tcW w:type="dxa" w:w="20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The contract</w:t>
            </w:r>
          </w:p>
        </w:tc>
        <w:tc>
          <w:tcPr>
            <w:tcW w:type="dxa" w:w="43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Clear term, priced locks, my data stays mine, a clean exit.</w:t>
            </w:r>
          </w:p>
        </w:tc>
        <w:tc>
          <w:tcPr>
            <w:tcW w:type="dxa" w:w="29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Auto lock-ins and the vendor owning the data.</w:t>
            </w:r>
          </w:p>
        </w:tc>
      </w:tr>
      <w:tr>
        <w:tc>
          <w:tcPr>
            <w:tcW w:type="dxa" w:w="20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Compliance</w:t>
            </w:r>
          </w:p>
        </w:tc>
        <w:tc>
          <w:tcPr>
            <w:tcW w:type="dxa" w:w="43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Certified and provable, backed by a real record.</w:t>
            </w:r>
          </w:p>
        </w:tc>
        <w:tc>
          <w:tcPr>
            <w:tcW w:type="dxa" w:w="29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Compliance treated as an upsell, or hand-waving.</w:t>
            </w:r>
          </w:p>
        </w:tc>
      </w:tr>
    </w:tbl>
    <w:p>
      <w:pPr>
        <w:spacing w:after="50" w:before="150"/>
      </w:pPr>
      <w:r>
        <w:rPr>
          <w:rFonts w:ascii="Georgia" w:cs="Georgia" w:eastAsia="Georgia" w:hAnsi="Georgia"/>
          <w:b/>
          <w:bCs/>
          <w:color w:val="16223C"/>
          <w:sz w:val="25"/>
          <w:szCs w:val="25"/>
        </w:rPr>
        <w:t xml:space="preserve">The clauses I won’t sign without</w:t>
      </w:r>
    </w:p>
    <w:p>
      <w:pPr>
        <w:spacing w:after="110" w:line="278"/>
      </w:pPr>
      <w:r>
        <w:rPr>
          <w:rFonts w:ascii="Calibri" w:cs="Calibri" w:eastAsia="Calibri" w:hAnsi="Calibri"/>
          <w:b w:val="false"/>
          <w:bCs w:val="false"/>
          <w:i w:val="false"/>
          <w:iCs w:val="false"/>
          <w:color w:val="24303F"/>
          <w:sz w:val="20"/>
          <w:szCs w:val="20"/>
        </w:rPr>
        <w:t xml:space="preserve">A white-label deal is a multi-year commitment whether the contract admits it or not, because switching vendors later means re-platforming every client you signed. I get these in writing first:</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A pricing lock, or at least a cap. </w:t>
      </w:r>
      <w:r>
        <w:rPr>
          <w:rFonts w:ascii="Calibri" w:cs="Calibri" w:eastAsia="Calibri" w:hAnsi="Calibri"/>
          <w:b w:val="false"/>
          <w:bCs w:val="false"/>
          <w:i w:val="false"/>
          <w:iCs w:val="false"/>
          <w:color w:val="24303F"/>
          <w:sz w:val="20"/>
          <w:szCs w:val="20"/>
        </w:rPr>
        <w:t xml:space="preserve">How far the wholesale rate can move, and how often. I have seen a small top-up fee climb sharply once agencies were already committed.</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My data stays mine. </w:t>
      </w:r>
      <w:r>
        <w:rPr>
          <w:rFonts w:ascii="Calibri" w:cs="Calibri" w:eastAsia="Calibri" w:hAnsi="Calibri"/>
          <w:b w:val="false"/>
          <w:bCs w:val="false"/>
          <w:i w:val="false"/>
          <w:iCs w:val="false"/>
          <w:color w:val="24303F"/>
          <w:sz w:val="20"/>
          <w:szCs w:val="20"/>
        </w:rPr>
        <w:t xml:space="preserve">Exportable, and not the vendor’s to reuse or train on.</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A clean exit. </w:t>
      </w:r>
      <w:r>
        <w:rPr>
          <w:rFonts w:ascii="Calibri" w:cs="Calibri" w:eastAsia="Calibri" w:hAnsi="Calibri"/>
          <w:b w:val="false"/>
          <w:bCs w:val="false"/>
          <w:i w:val="false"/>
          <w:iCs w:val="false"/>
          <w:color w:val="24303F"/>
          <w:sz w:val="20"/>
          <w:szCs w:val="20"/>
        </w:rPr>
        <w:t xml:space="preserve">What happens to live clients the day I leave.</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Deprecation notice. </w:t>
      </w:r>
      <w:r>
        <w:rPr>
          <w:rFonts w:ascii="Calibri" w:cs="Calibri" w:eastAsia="Calibri" w:hAnsi="Calibri"/>
          <w:b w:val="false"/>
          <w:bCs w:val="false"/>
          <w:i w:val="false"/>
          <w:iCs w:val="false"/>
          <w:color w:val="24303F"/>
          <w:sz w:val="20"/>
          <w:szCs w:val="20"/>
        </w:rPr>
        <w:t xml:space="preserve">Fair warning before a feature I sell on gets moved or removed.</w:t>
      </w:r>
    </w:p>
    <w:p>
      <w:pPr>
        <w:spacing w:after="110" w:line="278"/>
      </w:pPr>
      <w:r>
        <w:rPr>
          <w:rFonts w:ascii="Calibri" w:cs="Calibri" w:eastAsia="Calibri" w:hAnsi="Calibri"/>
          <w:b w:val="false"/>
          <w:bCs w:val="false"/>
          <w:i w:val="false"/>
          <w:iCs w:val="false"/>
          <w:color w:val="24303F"/>
          <w:sz w:val="20"/>
          <w:szCs w:val="20"/>
        </w:rPr>
        <w:t xml:space="preserve">None of this is legal advice, and I still have a lawyer read anything before signing. Going in knowing what to protect changes the whole conversation.</w:t>
      </w:r>
    </w:p>
    <w:p>
      <w:pPr>
        <w:spacing w:after="50" w:before="150"/>
      </w:pPr>
      <w:r>
        <w:rPr>
          <w:rFonts w:ascii="Georgia" w:cs="Georgia" w:eastAsia="Georgia" w:hAnsi="Georgia"/>
          <w:b/>
          <w:bCs/>
          <w:color w:val="16223C"/>
          <w:sz w:val="25"/>
          <w:szCs w:val="25"/>
        </w:rPr>
        <w:t xml:space="preserve">Who this actually works for</w:t>
      </w:r>
    </w:p>
    <w:p>
      <w:pPr>
        <w:spacing w:after="110" w:line="278"/>
      </w:pPr>
      <w:r>
        <w:rPr>
          <w:rFonts w:ascii="Calibri" w:cs="Calibri" w:eastAsia="Calibri" w:hAnsi="Calibri"/>
          <w:b w:val="false"/>
          <w:bCs w:val="false"/>
          <w:i w:val="false"/>
          <w:iCs w:val="false"/>
          <w:color w:val="24303F"/>
          <w:sz w:val="20"/>
          <w:szCs w:val="20"/>
        </w:rPr>
        <w:t xml:space="preserve">It does not fit everyone. White-label voice AI works best when your clients live on the phone and lose real money on a missed call: </w:t>
      </w:r>
      <w:r>
        <w:rPr>
          <w:rFonts w:ascii="Calibri" w:cs="Calibri" w:eastAsia="Calibri" w:hAnsi="Calibri"/>
          <w:color w:val="1B5E86"/>
          <w:sz w:val="20"/>
          <w:szCs w:val="20"/>
          <w:u w:val="single"/>
        </w:rPr>
        <w:t xml:space="preserve">legal intake</w:t>
      </w:r>
      <w:r>
        <w:rPr>
          <w:rFonts w:ascii="Consolas" w:cs="Consolas" w:eastAsia="Consolas" w:hAnsi="Consolas"/>
          <w:color w:val="5A6675"/>
          <w:sz w:val="12"/>
          <w:szCs w:val="12"/>
        </w:rPr>
        <w:t xml:space="preserve"> [/blogs/ai-receptionist-for-law-firms-white-label]</w:t>
      </w:r>
      <w:r>
        <w:rPr>
          <w:rFonts w:ascii="Calibri" w:cs="Calibri" w:eastAsia="Calibri" w:hAnsi="Calibri"/>
          <w:b w:val="false"/>
          <w:bCs w:val="false"/>
          <w:i w:val="false"/>
          <w:iCs w:val="false"/>
          <w:color w:val="24303F"/>
          <w:sz w:val="20"/>
          <w:szCs w:val="20"/>
        </w:rPr>
        <w:t xml:space="preserve">, medical reception, home services, real estate. Those are also the clients who care most about compliance and a defensible record, which is where a serious platform pays for itself. If your clients will not pay monthly, or you cannot staff even light support, the model will frustrate you. Where it fits, Trillet’s </w:t>
      </w:r>
      <w:r>
        <w:rPr>
          <w:rFonts w:ascii="Calibri" w:cs="Calibri" w:eastAsia="Calibri" w:hAnsi="Calibri"/>
          <w:color w:val="1B5E86"/>
          <w:sz w:val="20"/>
          <w:szCs w:val="20"/>
          <w:u w:val="single"/>
        </w:rPr>
        <w:t xml:space="preserve">white-label voice AI platform</w:t>
      </w:r>
      <w:r>
        <w:rPr>
          <w:rFonts w:ascii="Consolas" w:cs="Consolas" w:eastAsia="Consolas" w:hAnsi="Consolas"/>
          <w:color w:val="5A6675"/>
          <w:sz w:val="12"/>
          <w:szCs w:val="12"/>
        </w:rPr>
        <w:t xml:space="preserve"> [/whitelabel]</w:t>
      </w:r>
      <w:r>
        <w:rPr>
          <w:rFonts w:ascii="Calibri" w:cs="Calibri" w:eastAsia="Calibri" w:hAnsi="Calibri"/>
          <w:b w:val="false"/>
          <w:bCs w:val="false"/>
          <w:i w:val="false"/>
          <w:iCs w:val="false"/>
          <w:color w:val="24303F"/>
          <w:sz w:val="20"/>
          <w:szCs w:val="20"/>
        </w:rPr>
        <w:t xml:space="preserve"> is built for these resale motions, and the compliance that protects a law firm’s intake is the same compliance protecting your brand when you resell it.</w:t>
      </w:r>
    </w:p>
    <w:p>
      <w:pPr>
        <w:spacing w:after="50" w:before="150"/>
      </w:pPr>
      <w:r>
        <w:rPr>
          <w:rFonts w:ascii="Georgia" w:cs="Georgia" w:eastAsia="Georgia" w:hAnsi="Georgia"/>
          <w:b/>
          <w:bCs/>
          <w:color w:val="16223C"/>
          <w:sz w:val="25"/>
          <w:szCs w:val="25"/>
        </w:rPr>
        <w:t xml:space="preserve">If you’re starting now</w:t>
      </w:r>
    </w:p>
    <w:p>
      <w:pPr>
        <w:spacing w:after="110" w:line="278"/>
      </w:pPr>
      <w:r>
        <w:rPr>
          <w:rFonts w:ascii="Calibri" w:cs="Calibri" w:eastAsia="Calibri" w:hAnsi="Calibri"/>
          <w:b w:val="false"/>
          <w:bCs w:val="false"/>
          <w:i w:val="false"/>
          <w:iCs w:val="false"/>
          <w:color w:val="24303F"/>
          <w:sz w:val="20"/>
          <w:szCs w:val="20"/>
        </w:rPr>
        <w:t xml:space="preserve">Start narrow. Pick one vertical you already understand, sign two or three clients before you touch your pricing page, and price for a margin that survives a jump in usage. Lead with the record-keeping and compliance where your clients are regulated, since that is the part most competitors gloss over. Keep onboarding tight and repeatable.</w:t>
      </w:r>
    </w:p>
    <w:p>
      <w:pPr>
        <w:spacing w:after="110" w:line="278"/>
      </w:pPr>
      <w:r>
        <w:rPr>
          <w:rFonts w:ascii="Calibri" w:cs="Calibri" w:eastAsia="Calibri" w:hAnsi="Calibri"/>
          <w:b w:val="false"/>
          <w:bCs w:val="false"/>
          <w:i w:val="false"/>
          <w:iCs w:val="false"/>
          <w:color w:val="24303F"/>
          <w:sz w:val="20"/>
          <w:szCs w:val="20"/>
        </w:rPr>
        <w:t xml:space="preserve">When you compare platforms, note how Trillet splits the two paths. The white-label platform is self-serve for agencies building under their own brand. The reseller, referral and OEM tracks are formal partnerships with terms set around your volume. Match the path to how hands-on you want to be: the </w:t>
      </w:r>
      <w:r>
        <w:rPr>
          <w:rFonts w:ascii="Calibri" w:cs="Calibri" w:eastAsia="Calibri" w:hAnsi="Calibri"/>
          <w:color w:val="1B5E86"/>
          <w:sz w:val="20"/>
          <w:szCs w:val="20"/>
          <w:u w:val="single"/>
        </w:rPr>
        <w:t xml:space="preserve">partner program</w:t>
      </w:r>
      <w:r>
        <w:rPr>
          <w:rFonts w:ascii="Consolas" w:cs="Consolas" w:eastAsia="Consolas" w:hAnsi="Consolas"/>
          <w:color w:val="5A6675"/>
          <w:sz w:val="12"/>
          <w:szCs w:val="12"/>
        </w:rPr>
        <w:t xml:space="preserve"> [/partners]</w:t>
      </w:r>
      <w:r>
        <w:rPr>
          <w:rFonts w:ascii="Calibri" w:cs="Calibri" w:eastAsia="Calibri" w:hAnsi="Calibri"/>
          <w:b w:val="false"/>
          <w:bCs w:val="false"/>
          <w:i w:val="false"/>
          <w:iCs w:val="false"/>
          <w:color w:val="24303F"/>
          <w:sz w:val="20"/>
          <w:szCs w:val="20"/>
        </w:rPr>
        <w:t xml:space="preserve"> lays out the three tracks, and the </w:t>
      </w:r>
      <w:r>
        <w:rPr>
          <w:rFonts w:ascii="Calibri" w:cs="Calibri" w:eastAsia="Calibri" w:hAnsi="Calibri"/>
          <w:color w:val="1B5E86"/>
          <w:sz w:val="20"/>
          <w:szCs w:val="20"/>
          <w:u w:val="single"/>
        </w:rPr>
        <w:t xml:space="preserve">white-label platform</w:t>
      </w:r>
      <w:r>
        <w:rPr>
          <w:rFonts w:ascii="Consolas" w:cs="Consolas" w:eastAsia="Consolas" w:hAnsi="Consolas"/>
          <w:color w:val="5A6675"/>
          <w:sz w:val="12"/>
          <w:szCs w:val="12"/>
        </w:rPr>
        <w:t xml:space="preserve"> [/whitelabel]</w:t>
      </w:r>
      <w:r>
        <w:rPr>
          <w:rFonts w:ascii="Calibri" w:cs="Calibri" w:eastAsia="Calibri" w:hAnsi="Calibri"/>
          <w:b w:val="false"/>
          <w:bCs w:val="false"/>
          <w:i w:val="false"/>
          <w:iCs w:val="false"/>
          <w:color w:val="24303F"/>
          <w:sz w:val="20"/>
          <w:szCs w:val="20"/>
        </w:rPr>
        <w:t xml:space="preserve"> is the route if you would rather build and brand it yourself.</w:t>
      </w:r>
    </w:p>
    <w:p>
      <w:pPr>
        <w:spacing w:after="50" w:before="150"/>
      </w:pPr>
      <w:r>
        <w:rPr>
          <w:rFonts w:ascii="Georgia" w:cs="Georgia" w:eastAsia="Georgia" w:hAnsi="Georgia"/>
          <w:b/>
          <w:bCs/>
          <w:color w:val="16223C"/>
          <w:sz w:val="25"/>
          <w:szCs w:val="25"/>
        </w:rPr>
        <w:t xml:space="preserve">Questions I get asked most</w:t>
      </w:r>
    </w:p>
    <w:p>
      <w:pPr>
        <w:spacing w:after="16" w:before="90"/>
      </w:pPr>
      <w:r>
        <w:rPr>
          <w:rFonts w:ascii="Calibri" w:cs="Calibri" w:eastAsia="Calibri" w:hAnsi="Calibri"/>
          <w:b/>
          <w:bCs/>
          <w:color w:val="16223C"/>
          <w:sz w:val="20"/>
          <w:szCs w:val="20"/>
        </w:rPr>
        <w:t xml:space="preserve">What actually is a white-label partnership?</w:t>
      </w:r>
    </w:p>
    <w:p>
      <w:pPr>
        <w:spacing w:after="110" w:line="278"/>
      </w:pPr>
      <w:r>
        <w:rPr>
          <w:rFonts w:ascii="Calibri" w:cs="Calibri" w:eastAsia="Calibri" w:hAnsi="Calibri"/>
          <w:b w:val="false"/>
          <w:bCs w:val="false"/>
          <w:i w:val="false"/>
          <w:iCs w:val="false"/>
          <w:color w:val="24303F"/>
          <w:sz w:val="20"/>
          <w:szCs w:val="20"/>
        </w:rPr>
        <w:t xml:space="preserve">You sell another company’s product under your own brand. They build and run it; you rebrand it, set the price, sell it, and keep the client and the margin.</w:t>
      </w:r>
    </w:p>
    <w:p>
      <w:pPr>
        <w:spacing w:after="16" w:before="90"/>
      </w:pPr>
      <w:r>
        <w:rPr>
          <w:rFonts w:ascii="Calibri" w:cs="Calibri" w:eastAsia="Calibri" w:hAnsi="Calibri"/>
          <w:b/>
          <w:bCs/>
          <w:color w:val="16223C"/>
          <w:sz w:val="20"/>
          <w:szCs w:val="20"/>
        </w:rPr>
        <w:t xml:space="preserve">What’s the difference between white-label, reseller and OEM?</w:t>
      </w:r>
    </w:p>
    <w:p>
      <w:pPr>
        <w:spacing w:after="110" w:line="278"/>
      </w:pPr>
      <w:r>
        <w:rPr>
          <w:rFonts w:ascii="Calibri" w:cs="Calibri" w:eastAsia="Calibri" w:hAnsi="Calibri"/>
          <w:b w:val="false"/>
          <w:bCs w:val="false"/>
          <w:i w:val="false"/>
          <w:iCs w:val="false"/>
          <w:color w:val="24303F"/>
          <w:sz w:val="20"/>
          <w:szCs w:val="20"/>
        </w:rPr>
        <w:t xml:space="preserve">White-label is fully your brand. Reselling usually keeps the vendor’s brand showing for a commission. OEM means their technology sits inside your own product. Check the branding depth before you trust the label.</w:t>
      </w:r>
    </w:p>
    <w:p>
      <w:pPr>
        <w:spacing w:after="16" w:before="90"/>
      </w:pPr>
      <w:r>
        <w:rPr>
          <w:rFonts w:ascii="Calibri" w:cs="Calibri" w:eastAsia="Calibri" w:hAnsi="Calibri"/>
          <w:b/>
          <w:bCs/>
          <w:color w:val="16223C"/>
          <w:sz w:val="20"/>
          <w:szCs w:val="20"/>
        </w:rPr>
        <w:t xml:space="preserve">How much margin can I keep?</w:t>
      </w:r>
    </w:p>
    <w:p>
      <w:pPr>
        <w:spacing w:after="110" w:line="278"/>
      </w:pPr>
      <w:r>
        <w:rPr>
          <w:rFonts w:ascii="Calibri" w:cs="Calibri" w:eastAsia="Calibri" w:hAnsi="Calibri"/>
          <w:b w:val="false"/>
          <w:bCs w:val="false"/>
          <w:i w:val="false"/>
          <w:iCs w:val="false"/>
          <w:color w:val="24303F"/>
          <w:sz w:val="20"/>
          <w:szCs w:val="20"/>
        </w:rPr>
        <w:t xml:space="preserve">The gap between wholesale and your retail price, every month a client stays. It is healthy and recurring, but usage-based costs can erode it, so price with a band rather than a flat rate.</w:t>
      </w:r>
    </w:p>
    <w:p>
      <w:pPr>
        <w:spacing w:after="16" w:before="90"/>
      </w:pPr>
      <w:r>
        <w:rPr>
          <w:rFonts w:ascii="Calibri" w:cs="Calibri" w:eastAsia="Calibri" w:hAnsi="Calibri"/>
          <w:b/>
          <w:bCs/>
          <w:color w:val="16223C"/>
          <w:sz w:val="20"/>
          <w:szCs w:val="20"/>
        </w:rPr>
        <w:t xml:space="preserve">What’s the biggest risk people underestimate?</w:t>
      </w:r>
    </w:p>
    <w:p>
      <w:pPr>
        <w:spacing w:after="110" w:line="278"/>
      </w:pPr>
      <w:r>
        <w:rPr>
          <w:rFonts w:ascii="Calibri" w:cs="Calibri" w:eastAsia="Calibri" w:hAnsi="Calibri"/>
          <w:b w:val="false"/>
          <w:bCs w:val="false"/>
          <w:i w:val="false"/>
          <w:iCs w:val="false"/>
          <w:color w:val="24303F"/>
          <w:sz w:val="20"/>
          <w:szCs w:val="20"/>
        </w:rPr>
        <w:t xml:space="preserve">That you own every mistake the AI makes under your brand. If you cannot pull a record of what the agent said, you cannot defend yourself when a client’s customer disputes a call.</w:t>
      </w:r>
    </w:p>
    <w:p>
      <w:pPr>
        <w:spacing w:after="16" w:before="90"/>
      </w:pPr>
      <w:r>
        <w:rPr>
          <w:rFonts w:ascii="Calibri" w:cs="Calibri" w:eastAsia="Calibri" w:hAnsi="Calibri"/>
          <w:b/>
          <w:bCs/>
          <w:color w:val="16223C"/>
          <w:sz w:val="20"/>
          <w:szCs w:val="20"/>
        </w:rPr>
        <w:t xml:space="preserve">What has to be in the agreement?</w:t>
      </w:r>
    </w:p>
    <w:p>
      <w:pPr>
        <w:spacing w:after="110" w:line="278"/>
      </w:pPr>
      <w:r>
        <w:rPr>
          <w:rFonts w:ascii="Calibri" w:cs="Calibri" w:eastAsia="Calibri" w:hAnsi="Calibri"/>
          <w:b w:val="false"/>
          <w:bCs w:val="false"/>
          <w:i w:val="false"/>
          <w:iCs w:val="false"/>
          <w:color w:val="24303F"/>
          <w:sz w:val="20"/>
          <w:szCs w:val="20"/>
        </w:rPr>
        <w:t xml:space="preserve">A pricing lock or cap, clear data ownership, a clean exit for live clients, and notice before features change. Then have a lawyer read it.</w:t>
      </w:r>
    </w:p>
    <w:p>
      <w:pPr>
        <w:spacing w:after="16" w:before="90"/>
      </w:pPr>
      <w:r>
        <w:rPr>
          <w:rFonts w:ascii="Calibri" w:cs="Calibri" w:eastAsia="Calibri" w:hAnsi="Calibri"/>
          <w:b/>
          <w:bCs/>
          <w:color w:val="16223C"/>
          <w:sz w:val="20"/>
          <w:szCs w:val="20"/>
        </w:rPr>
        <w:t xml:space="preserve">Does compliance carry through when I rebrand it?</w:t>
      </w:r>
    </w:p>
    <w:p>
      <w:pPr>
        <w:spacing w:after="110" w:line="278"/>
      </w:pPr>
      <w:r>
        <w:rPr>
          <w:rFonts w:ascii="Calibri" w:cs="Calibri" w:eastAsia="Calibri" w:hAnsi="Calibri"/>
          <w:b w:val="false"/>
          <w:bCs w:val="false"/>
          <w:i w:val="false"/>
          <w:iCs w:val="false"/>
          <w:color w:val="24303F"/>
          <w:sz w:val="20"/>
          <w:szCs w:val="20"/>
        </w:rPr>
        <w:t xml:space="preserve">Only if the platform is genuinely compliant underneath. Trillet is SOC 2 Type II and ISO 27001 certified and operates under HIPAA, GDPR, ACMA and TCPA, with full audit trails on every client workspace, so it holds when you resell under your brand.</w:t>
      </w:r>
    </w:p>
    <w:p>
      <w:pPr>
        <w:pBdr>
          <w:bottom w:val="single" w:color="D9DEE8" w:sz="6"/>
        </w:pBdr>
        <w:spacing w:after="120" w:before="120"/>
      </w:pPr>
      <w:r>
        <w:t xml:space="preserve"/>
      </w:r>
    </w:p>
    <w:p>
      <w:pPr>
        <w:spacing w:after="50" w:before="150"/>
      </w:pPr>
      <w:r>
        <w:rPr>
          <w:rFonts w:ascii="Georgia" w:cs="Georgia" w:eastAsia="Georgia" w:hAnsi="Georgia"/>
          <w:b/>
          <w:bCs/>
          <w:color w:val="16223C"/>
          <w:sz w:val="25"/>
          <w:szCs w:val="25"/>
        </w:rPr>
        <w:t xml:space="preserve">Structured data (JSON-LD)</w:t>
      </w:r>
    </w:p>
    <w:p>
      <w:pPr>
        <w:spacing w:after="110" w:line="278"/>
      </w:pPr>
      <w:r>
        <w:rPr>
          <w:rFonts w:ascii="Calibri" w:cs="Calibri" w:eastAsia="Calibri" w:hAnsi="Calibri"/>
          <w:b w:val="false"/>
          <w:bCs w:val="false"/>
          <w:i w:val="false"/>
          <w:iCs w:val="false"/>
          <w:color w:val="5A6675"/>
          <w:sz w:val="17"/>
          <w:szCs w:val="17"/>
        </w:rPr>
        <w:t xml:space="preserve">Article + FAQPage + BreadcrumbList. FAQ answers must match the on-page FAQ verbatim; author must be a real person.</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9360"/>
      </w:tblGrid>
      <w:tr>
        <w:tc>
          <w:tcPr>
            <w:tcW w:type="dxa" w:w="9360"/>
            <w:tcBorders>
              <w:top w:val="single" w:color="D9DEE8" w:sz="4"/>
              <w:left w:val="single" w:color="D9DEE8" w:sz="4"/>
              <w:bottom w:val="single" w:color="D9DEE8" w:sz="4"/>
              <w:right w:val="single" w:color="D9DEE8" w:sz="4"/>
            </w:tcBorders>
            <w:shd w:fill="F4F5F7" w:color="auto" w:val="clear"/>
            <w:tcMar>
              <w:top w:type="dxa" w:w="90"/>
              <w:left w:type="dxa" w:w="120"/>
              <w:bottom w:type="dxa" w:w="90"/>
              <w:right w:type="dxa" w:w="120"/>
            </w:tcMar>
          </w:tcPr>
          <w:p>
            <w:pPr>
              <w:spacing w:after="0" w:line="230"/>
            </w:pPr>
            <w:r>
              <w:rPr>
                <w:rFonts w:ascii="Consolas" w:cs="Consolas" w:eastAsia="Consolas" w:hAnsi="Consolas"/>
                <w:color w:val="24303F"/>
                <w:sz w:val="13"/>
                <w:szCs w:val="13"/>
              </w:rPr>
              <w:t xml:space="preserve">&lt;script type="application/ld+json"&gt;</w:t>
            </w:r>
          </w:p>
          <w:p>
            <w:pPr>
              <w:spacing w:after="0" w:line="230"/>
            </w:pPr>
            <w:r>
              <w:rPr>
                <w:rFonts w:ascii="Consolas" w:cs="Consolas" w:eastAsia="Consolas" w:hAnsi="Consolas"/>
                <w:color w:val="24303F"/>
                <w:sz w:val="13"/>
                <w:szCs w:val="13"/>
              </w:rPr>
              <w:t xml:space="preserve">{ "@context":"https://schema.org", "@graph":[</w:t>
            </w:r>
          </w:p>
          <w:p>
            <w:pPr>
              <w:spacing w:after="0" w:line="230"/>
            </w:pPr>
            <w:r>
              <w:rPr>
                <w:rFonts w:ascii="Consolas" w:cs="Consolas" w:eastAsia="Consolas" w:hAnsi="Consolas"/>
                <w:color w:val="24303F"/>
                <w:sz w:val="13"/>
                <w:szCs w:val="13"/>
              </w:rPr>
              <w:t xml:space="preserve">  { "@type":"Article",</w:t>
            </w:r>
          </w:p>
          <w:p>
            <w:pPr>
              <w:spacing w:after="0" w:line="230"/>
            </w:pPr>
            <w:r>
              <w:rPr>
                <w:rFonts w:ascii="Consolas" w:cs="Consolas" w:eastAsia="Consolas" w:hAnsi="Consolas"/>
                <w:color w:val="24303F"/>
                <w:sz w:val="13"/>
                <w:szCs w:val="13"/>
              </w:rPr>
              <w:t xml:space="preserve">    "headline":"White-Label Partnerships: What Nobody Tells You",</w:t>
            </w:r>
          </w:p>
          <w:p>
            <w:pPr>
              <w:spacing w:after="0" w:line="230"/>
            </w:pPr>
            <w:r>
              <w:rPr>
                <w:rFonts w:ascii="Consolas" w:cs="Consolas" w:eastAsia="Consolas" w:hAnsi="Consolas"/>
                <w:color w:val="24303F"/>
                <w:sz w:val="13"/>
                <w:szCs w:val="13"/>
              </w:rPr>
              <w:t xml:space="preserve">    "author":{"@type":"Person","name":"&lt;real author&gt;","jobTitle":"&lt;role&gt;"},</w:t>
            </w:r>
          </w:p>
          <w:p>
            <w:pPr>
              <w:spacing w:after="0" w:line="230"/>
            </w:pPr>
            <w:r>
              <w:rPr>
                <w:rFonts w:ascii="Consolas" w:cs="Consolas" w:eastAsia="Consolas" w:hAnsi="Consolas"/>
                <w:color w:val="24303F"/>
                <w:sz w:val="13"/>
                <w:szCs w:val="13"/>
              </w:rPr>
              <w:t xml:space="preserve">    "publisher":{"@id":"https://trillet.ai/#org"},</w:t>
            </w:r>
          </w:p>
          <w:p>
            <w:pPr>
              <w:spacing w:after="0" w:line="230"/>
            </w:pPr>
            <w:r>
              <w:rPr>
                <w:rFonts w:ascii="Consolas" w:cs="Consolas" w:eastAsia="Consolas" w:hAnsi="Consolas"/>
                <w:color w:val="24303F"/>
                <w:sz w:val="13"/>
                <w:szCs w:val="13"/>
              </w:rPr>
              <w:t xml:space="preserve">    "datePublished":"2026-09-14","dateModified":"2026-09-14",</w:t>
            </w:r>
          </w:p>
          <w:p>
            <w:pPr>
              <w:spacing w:after="0" w:line="230"/>
            </w:pPr>
            <w:r>
              <w:rPr>
                <w:rFonts w:ascii="Consolas" w:cs="Consolas" w:eastAsia="Consolas" w:hAnsi="Consolas"/>
                <w:color w:val="24303F"/>
                <w:sz w:val="13"/>
                <w:szCs w:val="13"/>
              </w:rPr>
              <w:t xml:space="preserve">    "mainEntityOfPage":"https://trillet.ai/blogs/white-label-partnerships-guide" },</w:t>
            </w:r>
          </w:p>
          <w:p>
            <w:pPr>
              <w:spacing w:after="0" w:line="230"/>
            </w:pPr>
            <w:r>
              <w:rPr>
                <w:rFonts w:ascii="Consolas" w:cs="Consolas" w:eastAsia="Consolas" w:hAnsi="Consolas"/>
                <w:color w:val="24303F"/>
                <w:sz w:val="13"/>
                <w:szCs w:val="13"/>
              </w:rPr>
              <w:t xml:space="preserve">  { "@type":"FAQPage","mainEntity":[ /* 6 Q&amp;As, text matching page verbatim */ ] },</w:t>
            </w:r>
          </w:p>
          <w:p>
            <w:pPr>
              <w:spacing w:after="0" w:line="230"/>
            </w:pPr>
            <w:r>
              <w:rPr>
                <w:rFonts w:ascii="Consolas" w:cs="Consolas" w:eastAsia="Consolas" w:hAnsi="Consolas"/>
                <w:color w:val="24303F"/>
                <w:sz w:val="13"/>
                <w:szCs w:val="13"/>
              </w:rPr>
              <w:t xml:space="preserve">  { "@type":"BreadcrumbList","itemListElement":[</w:t>
            </w:r>
          </w:p>
          <w:p>
            <w:pPr>
              <w:spacing w:after="0" w:line="230"/>
            </w:pPr>
            <w:r>
              <w:rPr>
                <w:rFonts w:ascii="Consolas" w:cs="Consolas" w:eastAsia="Consolas" w:hAnsi="Consolas"/>
                <w:color w:val="24303F"/>
                <w:sz w:val="13"/>
                <w:szCs w:val="13"/>
              </w:rPr>
              <w:t xml:space="preserve">    {"@type":"ListItem","position":1,"name":"Home","item":"https://trillet.ai/"},</w:t>
            </w:r>
          </w:p>
          <w:p>
            <w:pPr>
              <w:spacing w:after="0" w:line="230"/>
            </w:pPr>
            <w:r>
              <w:rPr>
                <w:rFonts w:ascii="Consolas" w:cs="Consolas" w:eastAsia="Consolas" w:hAnsi="Consolas"/>
                <w:color w:val="24303F"/>
                <w:sz w:val="13"/>
                <w:szCs w:val="13"/>
              </w:rPr>
              <w:t xml:space="preserve">    {"@type":"ListItem","position":2,"name":"Blog","item":"https://trillet.ai/blogs"},</w:t>
            </w:r>
          </w:p>
          <w:p>
            <w:pPr>
              <w:spacing w:after="0" w:line="230"/>
            </w:pPr>
            <w:r>
              <w:rPr>
                <w:rFonts w:ascii="Consolas" w:cs="Consolas" w:eastAsia="Consolas" w:hAnsi="Consolas"/>
                <w:color w:val="24303F"/>
                <w:sz w:val="13"/>
                <w:szCs w:val="13"/>
              </w:rPr>
              <w:t xml:space="preserve">    {"@type":"ListItem","position":3,"name":"White-Label Partnerships"}]}</w:t>
            </w:r>
          </w:p>
          <w:p>
            <w:pPr>
              <w:spacing w:after="0" w:line="230"/>
            </w:pPr>
            <w:r>
              <w:rPr>
                <w:rFonts w:ascii="Consolas" w:cs="Consolas" w:eastAsia="Consolas" w:hAnsi="Consolas"/>
                <w:color w:val="24303F"/>
                <w:sz w:val="13"/>
                <w:szCs w:val="13"/>
              </w:rPr>
              <w:t xml:space="preserve">]}</w:t>
            </w:r>
          </w:p>
          <w:p>
            <w:pPr>
              <w:spacing w:after="0" w:line="230"/>
            </w:pPr>
            <w:r>
              <w:rPr>
                <w:rFonts w:ascii="Consolas" w:cs="Consolas" w:eastAsia="Consolas" w:hAnsi="Consolas"/>
                <w:color w:val="24303F"/>
                <w:sz w:val="13"/>
                <w:szCs w:val="13"/>
              </w:rPr>
              <w:t xml:space="preserve">&lt;/script&gt;</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2026-09-12T14:56:35.367Z</dcterms:created>
  <dcterms:modified xsi:type="dcterms:W3CDTF">2026-09-12T14:56:35.367Z</dcterms:modified>
</cp:coreProperties>
</file>

<file path=docProps/custom.xml><?xml version="1.0" encoding="utf-8"?>
<Properties xmlns="http://schemas.openxmlformats.org/officeDocument/2006/custom-properties" xmlns:vt="http://schemas.openxmlformats.org/officeDocument/2006/docPropsVTypes"/>
</file>