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color w:val="9A6B3F"/>
          <w:spacing w:val="40"/>
          <w:sz w:val="18"/>
          <w:szCs w:val="18"/>
        </w:rPr>
        <w:t xml:space="preserve">TRILLET</w:t>
      </w:r>
    </w:p>
    <w:p>
      <w:pPr>
        <w:spacing w:after="60"/>
      </w:pPr>
      <w:r>
        <w:rPr>
          <w:rFonts w:ascii="Georgia" w:cs="Georgia" w:eastAsia="Georgia" w:hAnsi="Georgia"/>
          <w:b/>
          <w:bCs/>
          <w:color w:val="16223C"/>
          <w:sz w:val="52"/>
          <w:szCs w:val="52"/>
        </w:rPr>
        <w:t xml:space="preserve">Homepage</w:t>
      </w:r>
    </w:p>
    <w:p>
      <w:pPr>
        <w:spacing w:after="200"/>
      </w:pPr>
      <w:r>
        <w:rPr>
          <w:rFonts w:ascii="Calibri" w:cs="Calibri" w:eastAsia="Calibri" w:hAnsi="Calibri"/>
          <w:color w:val="5A6675"/>
          <w:sz w:val="22"/>
          <w:szCs w:val="22"/>
        </w:rPr>
        <w:t xml:space="preserve">Proposed page copy and layout</w:t>
      </w:r>
    </w:p>
    <w:p>
      <w:pPr>
        <w:spacing w:after="40"/>
        <w:jc w:val="center"/>
      </w:pPr>
      <w:r>
        <w:drawing>
          <wp:inline distT="0" distB="0" distL="0" distR="0">
            <wp:extent cx="5715000"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276975"/>
                    </a:xfrm>
                    <a:prstGeom prst="rect">
                      <a:avLst/>
                    </a:prstGeom>
                  </pic:spPr>
                </pic:pic>
              </a:graphicData>
            </a:graphic>
          </wp:inline>
        </w:drawing>
      </w:r>
    </w:p>
    <w:p>
      <w:pPr>
        <w:spacing w:after="0"/>
        <w:jc w:val="center"/>
      </w:pPr>
      <w:r>
        <w:rPr>
          <w:rFonts w:ascii="Calibri" w:cs="Calibri" w:eastAsia="Calibri" w:hAnsi="Calibri"/>
          <w:i/>
          <w:iCs/>
          <w:color w:val="5A6675"/>
          <w:sz w:val="16"/>
          <w:szCs w:val="16"/>
        </w:rPr>
        <w:t xml:space="preserve">Concept mockup of the homepage hero.</w:t>
      </w:r>
    </w:p>
    <w:p>
      <w:r>
        <w:br/>
        <w:t xml:space="preserve"/>
      </w:r>
    </w:p>
    <w:p>
      <w:pPr>
        <w:pageBreakBefore/>
      </w:pPr>
      <w:r>
        <w:t xml:space="preserve"/>
      </w:r>
    </w:p>
    <w:p>
      <w:pPr>
        <w:spacing w:after="60"/>
      </w:pPr>
      <w:r>
        <w:rPr>
          <w:rFonts w:ascii="Consolas" w:cs="Consolas" w:eastAsia="Consolas" w:hAnsi="Consolas"/>
          <w:b/>
          <w:bCs/>
          <w:color w:val="9A6B3F"/>
          <w:spacing w:val="24"/>
          <w:sz w:val="16"/>
          <w:szCs w:val="16"/>
        </w:rPr>
        <w:t xml:space="preserve">VOICE AI PLATFORM</w:t>
      </w:r>
    </w:p>
    <w:p>
      <w:pPr>
        <w:spacing w:after="100"/>
      </w:pPr>
      <w:r>
        <w:rPr>
          <w:rFonts w:ascii="Georgia" w:cs="Georgia" w:eastAsia="Georgia" w:hAnsi="Georgia"/>
          <w:b/>
          <w:bCs/>
          <w:color w:val="16223C"/>
          <w:sz w:val="40"/>
          <w:szCs w:val="40"/>
        </w:rPr>
        <w:t xml:space="preserve">Voice AI agents for high-stakes conversations. Verified, resolved, audited.</w:t>
      </w:r>
    </w:p>
    <w:p>
      <w:pPr>
        <w:spacing w:after="120"/>
      </w:pPr>
      <w:r>
        <w:rPr>
          <w:rFonts w:ascii="Calibri" w:cs="Calibri" w:eastAsia="Calibri" w:hAnsi="Calibri"/>
          <w:color w:val="5A6675"/>
          <w:sz w:val="22"/>
          <w:szCs w:val="22"/>
        </w:rPr>
        <w:t xml:space="preserve">Trillet builds AI phone agents that verify the caller, act in your live systems, and leave an auditable record of exactly what happened. Held to the standard regulated industries demand, across voice, SMS and chat.</w:t>
      </w:r>
    </w:p>
    <w:tbl>
      <w:tblPr>
        <w:tblW w:type="dxa" w:w="5400"/>
        <w:tblBorders>
          <w:top w:val="single" w:color="FFFFFF" w:sz="4"/>
          <w:left w:val="single" w:color="FFFFFF" w:sz="4"/>
          <w:bottom w:val="single" w:color="FFFFFF" w:sz="4"/>
          <w:right w:val="single" w:color="FFFFFF" w:sz="4"/>
          <w:insideH w:val="single" w:color="FFFFFF" w:sz="4"/>
          <w:insideV w:val="single" w:color="FFFFFF" w:sz="4"/>
        </w:tblBorders>
      </w:tblPr>
      <w:tblGrid>
        <w:gridCol w:w="2600"/>
        <w:gridCol w:w="200"/>
        <w:gridCol w:w="2600"/>
      </w:tblGrid>
      <w:tr>
        <w:tc>
          <w:tcPr>
            <w:tcW w:type="dxa" w:w="2600"/>
            <w:tcBorders>
              <w:top w:val="single" w:color="16223C" w:sz="4"/>
              <w:left w:val="single" w:color="16223C" w:sz="4"/>
              <w:bottom w:val="single" w:color="16223C" w:sz="4"/>
              <w:right w:val="single" w:color="16223C" w:sz="4"/>
            </w:tcBorders>
            <w:shd w:fill="16223C" w:color="auto" w:val="clear"/>
            <w:tcMar>
              <w:top w:type="dxa" w:w="90"/>
              <w:left w:type="dxa" w:w="160"/>
              <w:bottom w:type="dxa" w:w="90"/>
              <w:right w:type="dxa" w:w="160"/>
            </w:tcMar>
          </w:tcPr>
          <w:p>
            <w:pPr>
              <w:jc w:val="center"/>
            </w:pPr>
            <w:r>
              <w:rPr>
                <w:rFonts w:ascii="Consolas" w:cs="Consolas" w:eastAsia="Consolas" w:hAnsi="Consolas"/>
                <w:b/>
                <w:bCs/>
                <w:color w:val="FFFFFF"/>
                <w:sz w:val="18"/>
                <w:szCs w:val="18"/>
              </w:rPr>
              <w:t xml:space="preserve">Book a demo →</w:t>
            </w:r>
          </w:p>
        </w:tc>
        <w:tc>
          <w:tcPr>
            <w:tcW w:type="dxa" w:w="200"/>
            <w:tcBorders>
              <w:top w:val="single" w:color="FFFFFF" w:sz="4"/>
              <w:left w:val="single" w:color="FFFFFF" w:sz="4"/>
              <w:bottom w:val="single" w:color="FFFFFF" w:sz="4"/>
              <w:right w:val="single" w:color="FFFFFF" w:sz="4"/>
            </w:tcBorders>
          </w:tcPr>
          <w:p>
            <w:r>
              <w:t xml:space="preserve"/>
            </w:r>
          </w:p>
        </w:tc>
        <w:tc>
          <w:tcPr>
            <w:tcW w:type="dxa" w:w="2600"/>
            <w:tcBorders>
              <w:top w:val="single" w:color="16223C" w:sz="4"/>
              <w:left w:val="single" w:color="16223C" w:sz="4"/>
              <w:bottom w:val="single" w:color="16223C" w:sz="4"/>
              <w:right w:val="single" w:color="16223C" w:sz="4"/>
            </w:tcBorders>
            <w:shd w:fill="FFFFFF" w:color="auto" w:val="clear"/>
            <w:tcMar>
              <w:top w:type="dxa" w:w="90"/>
              <w:left w:type="dxa" w:w="160"/>
              <w:bottom w:type="dxa" w:w="90"/>
              <w:right w:type="dxa" w:w="160"/>
            </w:tcMar>
          </w:tcPr>
          <w:p>
            <w:pPr>
              <w:jc w:val="center"/>
            </w:pPr>
            <w:r>
              <w:rPr>
                <w:rFonts w:ascii="Consolas" w:cs="Consolas" w:eastAsia="Consolas" w:hAnsi="Consolas"/>
                <w:b/>
                <w:bCs/>
                <w:color w:val="16223C"/>
                <w:sz w:val="18"/>
                <w:szCs w:val="18"/>
              </w:rPr>
              <w:t xml:space="preserve">Hear a live call ▶</w:t>
            </w:r>
          </w:p>
        </w:tc>
      </w:tr>
    </w:tbl>
    <w:p>
      <w:pPr>
        <w:spacing w:after="120" w:before="40"/>
      </w:pPr>
      <w:r>
        <w:rPr>
          <w:rFonts w:ascii="Consolas" w:cs="Consolas" w:eastAsia="Consolas" w:hAnsi="Consolas"/>
          <w:b/>
          <w:bCs/>
          <w:color w:val="2E7D5B"/>
          <w:sz w:val="17"/>
          <w:szCs w:val="17"/>
        </w:rPr>
        <w:t xml:space="preserve">✓ HIPAA      ✓ SOC 2 Type II      ✓ APRA CPS 234      ✓ IRAP</w:t>
      </w:r>
    </w:p>
    <w:p>
      <w:pPr>
        <w:pBdr>
          <w:bottom w:val="single" w:color="D9DEE8" w:sz="6"/>
        </w:pBdr>
        <w:spacing w:after="180" w:before="180"/>
      </w:pPr>
      <w:r>
        <w:t xml:space="preserve"/>
      </w:r>
    </w:p>
    <w:p>
      <w:pPr>
        <w:spacing w:after="90" w:before="40"/>
      </w:pPr>
      <w:r>
        <w:rPr>
          <w:rFonts w:ascii="Georgia" w:cs="Georgia" w:eastAsia="Georgia" w:hAnsi="Georgia"/>
          <w:b/>
          <w:bCs/>
          <w:color w:val="16223C"/>
          <w:sz w:val="30"/>
          <w:szCs w:val="30"/>
        </w:rPr>
        <w:t xml:space="preserve">One platform. Held to the same bar for everyone.</w:t>
      </w:r>
    </w:p>
    <w:p>
      <w:pPr>
        <w:spacing w:after="120"/>
      </w:pPr>
      <w:r>
        <w:rPr>
          <w:rFonts w:ascii="Calibri" w:cs="Calibri" w:eastAsia="Calibri" w:hAnsi="Calibri"/>
          <w:color w:val="5A6675"/>
          <w:sz w:val="22"/>
          <w:szCs w:val="22"/>
        </w:rPr>
        <w:t xml:space="preserve">The certification and the audit record don’t change with the price.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120"/>
        <w:gridCol w:w="3120"/>
        <w:gridCol w:w="3120"/>
      </w:tblGrid>
      <w:tr>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40"/>
            </w:pPr>
            <w:r>
              <w:rPr>
                <w:rFonts w:ascii="Consolas" w:cs="Consolas" w:eastAsia="Consolas" w:hAnsi="Consolas"/>
                <w:b/>
                <w:bCs/>
                <w:color w:val="9A6B3F"/>
                <w:spacing w:val="14"/>
                <w:sz w:val="14"/>
                <w:szCs w:val="14"/>
              </w:rPr>
              <w:t xml:space="preserve">SMALL BUSINESS</w:t>
            </w:r>
          </w:p>
          <w:p>
            <w:pPr>
              <w:spacing w:after="50"/>
            </w:pPr>
            <w:r>
              <w:rPr>
                <w:rFonts w:ascii="Georgia" w:cs="Georgia" w:eastAsia="Georgia" w:hAnsi="Georgia"/>
                <w:b/>
                <w:bCs/>
                <w:color w:val="16223C"/>
                <w:sz w:val="20"/>
                <w:szCs w:val="20"/>
              </w:rPr>
              <w:t xml:space="preserve">The AI receptionist for calls you can’t get wrong.</w:t>
            </w:r>
          </w:p>
          <w:p>
            <w:pPr>
              <w:spacing w:after="60"/>
            </w:pPr>
            <w:r>
              <w:rPr>
                <w:rFonts w:ascii="Calibri" w:cs="Calibri" w:eastAsia="Calibri" w:hAnsi="Calibri"/>
                <w:color w:val="5A6675"/>
                <w:sz w:val="18"/>
                <w:szCs w:val="18"/>
              </w:rPr>
              <w:t xml:space="preserve">Answers, books, confirms, and keeps the same record big institutions rely on. Live in 5 minutes, from $49/mo.</w:t>
            </w:r>
          </w:p>
          <w:p>
            <w:r>
              <w:rPr>
                <w:rFonts w:ascii="Consolas" w:cs="Consolas" w:eastAsia="Consolas" w:hAnsi="Consolas"/>
                <w:b/>
                <w:bCs/>
                <w:color w:val="16223C"/>
                <w:sz w:val="15"/>
                <w:szCs w:val="15"/>
              </w:rPr>
              <w:t xml:space="preserve">AI Receptionist →</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40"/>
            </w:pPr>
            <w:r>
              <w:rPr>
                <w:rFonts w:ascii="Consolas" w:cs="Consolas" w:eastAsia="Consolas" w:hAnsi="Consolas"/>
                <w:b/>
                <w:bCs/>
                <w:color w:val="9A6B3F"/>
                <w:spacing w:val="14"/>
                <w:sz w:val="14"/>
                <w:szCs w:val="14"/>
              </w:rPr>
              <w:t xml:space="preserve">AGENCIES</w:t>
            </w:r>
          </w:p>
          <w:p>
            <w:pPr>
              <w:spacing w:after="50"/>
            </w:pPr>
            <w:r>
              <w:rPr>
                <w:rFonts w:ascii="Georgia" w:cs="Georgia" w:eastAsia="Georgia" w:hAnsi="Georgia"/>
                <w:b/>
                <w:bCs/>
                <w:color w:val="16223C"/>
                <w:sz w:val="20"/>
                <w:szCs w:val="20"/>
              </w:rPr>
              <w:t xml:space="preserve">Resell agents that pass your clients’ compliance review.</w:t>
            </w:r>
          </w:p>
          <w:p>
            <w:pPr>
              <w:spacing w:after="60"/>
            </w:pPr>
            <w:r>
              <w:rPr>
                <w:rFonts w:ascii="Calibri" w:cs="Calibri" w:eastAsia="Calibri" w:hAnsi="Calibri"/>
                <w:color w:val="5A6675"/>
                <w:sz w:val="18"/>
                <w:szCs w:val="18"/>
              </w:rPr>
              <w:t xml:space="preserve">White-label the whole platform. Your brand, your margins, enterprise-grade trust underneath.</w:t>
            </w:r>
          </w:p>
          <w:p>
            <w:r>
              <w:rPr>
                <w:rFonts w:ascii="Consolas" w:cs="Consolas" w:eastAsia="Consolas" w:hAnsi="Consolas"/>
                <w:b/>
                <w:bCs/>
                <w:color w:val="16223C"/>
                <w:sz w:val="15"/>
                <w:szCs w:val="15"/>
              </w:rPr>
              <w:t xml:space="preserve">White-Label Platform →</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40"/>
            </w:pPr>
            <w:r>
              <w:rPr>
                <w:rFonts w:ascii="Consolas" w:cs="Consolas" w:eastAsia="Consolas" w:hAnsi="Consolas"/>
                <w:b/>
                <w:bCs/>
                <w:color w:val="9A6B3F"/>
                <w:spacing w:val="14"/>
                <w:sz w:val="14"/>
                <w:szCs w:val="14"/>
              </w:rPr>
              <w:t xml:space="preserve">ENTERPRISE</w:t>
            </w:r>
          </w:p>
          <w:p>
            <w:pPr>
              <w:spacing w:after="50"/>
            </w:pPr>
            <w:r>
              <w:rPr>
                <w:rFonts w:ascii="Georgia" w:cs="Georgia" w:eastAsia="Georgia" w:hAnsi="Georgia"/>
                <w:b/>
                <w:bCs/>
                <w:color w:val="16223C"/>
                <w:sz w:val="20"/>
                <w:szCs w:val="20"/>
              </w:rPr>
              <w:t xml:space="preserve">Agents that verify, act, and pass the audit.</w:t>
            </w:r>
          </w:p>
          <w:p>
            <w:pPr>
              <w:spacing w:after="60"/>
            </w:pPr>
            <w:r>
              <w:rPr>
                <w:rFonts w:ascii="Calibri" w:cs="Calibri" w:eastAsia="Calibri" w:hAnsi="Calibri"/>
                <w:color w:val="5A6675"/>
                <w:sz w:val="18"/>
                <w:szCs w:val="18"/>
              </w:rPr>
              <w:t xml:space="preserve">HIPAA, SOC 2, APRA, IRAP. On-premise deployment with Australian data residency and a 99.99% SLA.</w:t>
            </w:r>
          </w:p>
          <w:p>
            <w:r>
              <w:rPr>
                <w:rFonts w:ascii="Consolas" w:cs="Consolas" w:eastAsia="Consolas" w:hAnsi="Consolas"/>
                <w:b/>
                <w:bCs/>
                <w:color w:val="16223C"/>
                <w:sz w:val="15"/>
                <w:szCs w:val="15"/>
              </w:rPr>
              <w:t xml:space="preserve">Enterprise Voice AI →</w:t>
            </w:r>
          </w:p>
        </w:tc>
      </w:tr>
    </w:tbl>
    <w:p>
      <w:pPr>
        <w:pBdr>
          <w:bottom w:val="single" w:color="D9DEE8" w:sz="6"/>
        </w:pBdr>
        <w:spacing w:after="180" w:before="180"/>
      </w:pPr>
      <w:r>
        <w:t xml:space="preserve"/>
      </w:r>
    </w:p>
    <w:p>
      <w:pPr>
        <w:spacing w:after="60"/>
      </w:pPr>
      <w:r>
        <w:rPr>
          <w:rFonts w:ascii="Consolas" w:cs="Consolas" w:eastAsia="Consolas" w:hAnsi="Consolas"/>
          <w:b/>
          <w:bCs/>
          <w:color w:val="9A6B3F"/>
          <w:spacing w:val="24"/>
          <w:sz w:val="16"/>
          <w:szCs w:val="16"/>
        </w:rPr>
        <w:t xml:space="preserve">PROVEN IN HEALTHCARE, FINANCE AND GOVERNMENT</w:t>
      </w:r>
    </w:p>
    <w:p>
      <w:pPr>
        <w:spacing w:after="90" w:before="40"/>
      </w:pPr>
      <w:r>
        <w:rPr>
          <w:rFonts w:ascii="Georgia" w:cs="Georgia" w:eastAsia="Georgia" w:hAnsi="Georgia"/>
          <w:b/>
          <w:bCs/>
          <w:color w:val="16223C"/>
          <w:sz w:val="30"/>
          <w:szCs w:val="30"/>
        </w:rPr>
        <w:t xml:space="preserve">Measurable results in regulated environments</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tcMar>
              <w:top w:type="dxa" w:w="60"/>
              <w:left w:type="dxa" w:w="60"/>
              <w:bottom w:type="dxa" w:w="60"/>
              <w:right w:type="dxa" w:w="60"/>
            </w:tcMar>
          </w:tcPr>
          <w:p>
            <w:pPr>
              <w:spacing w:after="20"/>
              <w:jc w:val="center"/>
            </w:pPr>
            <w:r>
              <w:rPr>
                <w:rFonts w:ascii="Georgia" w:cs="Georgia" w:eastAsia="Georgia" w:hAnsi="Georgia"/>
                <w:b/>
                <w:bCs/>
                <w:color w:val="16223C"/>
                <w:sz w:val="38"/>
                <w:szCs w:val="38"/>
              </w:rPr>
              <w:t xml:space="preserve">85%</w:t>
            </w:r>
          </w:p>
          <w:p>
            <w:pPr>
              <w:jc w:val="center"/>
            </w:pPr>
            <w:r>
              <w:rPr>
                <w:rFonts w:ascii="Calibri" w:cs="Calibri" w:eastAsia="Calibri" w:hAnsi="Calibri"/>
                <w:color w:val="5A6675"/>
                <w:sz w:val="16"/>
                <w:szCs w:val="16"/>
              </w:rPr>
              <w:t xml:space="preserve">of complex calls resolved</w:t>
            </w:r>
          </w:p>
        </w:tc>
        <w:tc>
          <w:tcPr>
            <w:tcW w:type="dxa" w:w="2340"/>
            <w:tcBorders>
              <w:top w:val="single" w:color="FFFFFF" w:sz="4"/>
              <w:left w:val="single" w:color="FFFFFF" w:sz="4"/>
              <w:bottom w:val="single" w:color="FFFFFF" w:sz="4"/>
              <w:right w:val="single" w:color="FFFFFF" w:sz="4"/>
            </w:tcBorders>
            <w:tcMar>
              <w:top w:type="dxa" w:w="60"/>
              <w:left w:type="dxa" w:w="60"/>
              <w:bottom w:type="dxa" w:w="60"/>
              <w:right w:type="dxa" w:w="60"/>
            </w:tcMar>
          </w:tcPr>
          <w:p>
            <w:pPr>
              <w:spacing w:after="20"/>
              <w:jc w:val="center"/>
            </w:pPr>
            <w:r>
              <w:rPr>
                <w:rFonts w:ascii="Georgia" w:cs="Georgia" w:eastAsia="Georgia" w:hAnsi="Georgia"/>
                <w:b/>
                <w:bCs/>
                <w:color w:val="16223C"/>
                <w:sz w:val="38"/>
                <w:szCs w:val="38"/>
              </w:rPr>
              <w:t xml:space="preserve">80%</w:t>
            </w:r>
          </w:p>
          <w:p>
            <w:pPr>
              <w:jc w:val="center"/>
            </w:pPr>
            <w:r>
              <w:rPr>
                <w:rFonts w:ascii="Calibri" w:cs="Calibri" w:eastAsia="Calibri" w:hAnsi="Calibri"/>
                <w:color w:val="5A6675"/>
                <w:sz w:val="16"/>
                <w:szCs w:val="16"/>
              </w:rPr>
              <w:t xml:space="preserve">reduction in cost to serve</w:t>
            </w:r>
          </w:p>
        </w:tc>
        <w:tc>
          <w:tcPr>
            <w:tcW w:type="dxa" w:w="2340"/>
            <w:tcBorders>
              <w:top w:val="single" w:color="FFFFFF" w:sz="4"/>
              <w:left w:val="single" w:color="FFFFFF" w:sz="4"/>
              <w:bottom w:val="single" w:color="FFFFFF" w:sz="4"/>
              <w:right w:val="single" w:color="FFFFFF" w:sz="4"/>
            </w:tcBorders>
            <w:tcMar>
              <w:top w:type="dxa" w:w="60"/>
              <w:left w:type="dxa" w:w="60"/>
              <w:bottom w:type="dxa" w:w="60"/>
              <w:right w:type="dxa" w:w="60"/>
            </w:tcMar>
          </w:tcPr>
          <w:p>
            <w:pPr>
              <w:spacing w:after="20"/>
              <w:jc w:val="center"/>
            </w:pPr>
            <w:r>
              <w:rPr>
                <w:rFonts w:ascii="Georgia" w:cs="Georgia" w:eastAsia="Georgia" w:hAnsi="Georgia"/>
                <w:b/>
                <w:bCs/>
                <w:color w:val="16223C"/>
                <w:sz w:val="38"/>
                <w:szCs w:val="38"/>
              </w:rPr>
              <w:t xml:space="preserve">10×</w:t>
            </w:r>
          </w:p>
          <w:p>
            <w:pPr>
              <w:jc w:val="center"/>
            </w:pPr>
            <w:r>
              <w:rPr>
                <w:rFonts w:ascii="Calibri" w:cs="Calibri" w:eastAsia="Calibri" w:hAnsi="Calibri"/>
                <w:color w:val="5A6675"/>
                <w:sz w:val="16"/>
                <w:szCs w:val="16"/>
              </w:rPr>
              <w:t xml:space="preserve">lower call abandonment</w:t>
            </w:r>
          </w:p>
        </w:tc>
        <w:tc>
          <w:tcPr>
            <w:tcW w:type="dxa" w:w="2340"/>
            <w:tcBorders>
              <w:top w:val="single" w:color="FFFFFF" w:sz="4"/>
              <w:left w:val="single" w:color="FFFFFF" w:sz="4"/>
              <w:bottom w:val="single" w:color="FFFFFF" w:sz="4"/>
              <w:right w:val="single" w:color="FFFFFF" w:sz="4"/>
            </w:tcBorders>
            <w:tcMar>
              <w:top w:type="dxa" w:w="60"/>
              <w:left w:type="dxa" w:w="60"/>
              <w:bottom w:type="dxa" w:w="60"/>
              <w:right w:type="dxa" w:w="60"/>
            </w:tcMar>
          </w:tcPr>
          <w:p>
            <w:pPr>
              <w:spacing w:after="20"/>
              <w:jc w:val="center"/>
            </w:pPr>
            <w:r>
              <w:rPr>
                <w:rFonts w:ascii="Georgia" w:cs="Georgia" w:eastAsia="Georgia" w:hAnsi="Georgia"/>
                <w:b/>
                <w:bCs/>
                <w:color w:val="16223C"/>
                <w:sz w:val="38"/>
                <w:szCs w:val="38"/>
              </w:rPr>
              <w:t xml:space="preserve">32%</w:t>
            </w:r>
          </w:p>
          <w:p>
            <w:pPr>
              <w:jc w:val="center"/>
            </w:pPr>
            <w:r>
              <w:rPr>
                <w:rFonts w:ascii="Calibri" w:cs="Calibri" w:eastAsia="Calibri" w:hAnsi="Calibri"/>
                <w:color w:val="5A6675"/>
                <w:sz w:val="16"/>
                <w:szCs w:val="16"/>
              </w:rPr>
              <w:t xml:space="preserve">reduction in no-shows</w:t>
            </w:r>
          </w:p>
        </w:tc>
      </w:tr>
    </w:tbl>
    <w:p>
      <w:pPr>
        <w:spacing w:after="120"/>
      </w:pPr>
      <w:r>
        <w:rPr>
          <w:rFonts w:ascii="Calibri" w:cs="Calibri" w:eastAsia="Calibri" w:hAnsi="Calibri"/>
          <w:b w:val="false"/>
          <w:bCs w:val="false"/>
          <w:i w:val="false"/>
          <w:iCs w:val="false"/>
          <w:color w:val="5A6675"/>
          <w:sz w:val="21"/>
          <w:szCs w:val="21"/>
        </w:rPr>
        <w:t xml:space="preserve">In a Google Cloud customer case study, Trillet held error rates under 1% and cut call escalations to under 15%, resolving high-stakes calls end to end in a regulated environment.</w:t>
      </w:r>
    </w:p>
    <w:tbl>
      <w:tblPr>
        <w:tblW w:type="dxa" w:w="2600"/>
        <w:tblBorders>
          <w:top w:val="single" w:color="FFFFFF" w:sz="4"/>
          <w:left w:val="single" w:color="FFFFFF" w:sz="4"/>
          <w:bottom w:val="single" w:color="FFFFFF" w:sz="4"/>
          <w:right w:val="single" w:color="FFFFFF" w:sz="4"/>
          <w:insideH w:val="single" w:color="FFFFFF" w:sz="4"/>
          <w:insideV w:val="single" w:color="FFFFFF" w:sz="4"/>
        </w:tblBorders>
      </w:tblPr>
      <w:tblGrid>
        <w:gridCol w:w="2600"/>
      </w:tblGrid>
      <w:tr>
        <w:tc>
          <w:tcPr>
            <w:tcW w:type="dxa" w:w="2600"/>
            <w:tcBorders>
              <w:top w:val="single" w:color="16223C" w:sz="4"/>
              <w:left w:val="single" w:color="16223C" w:sz="4"/>
              <w:bottom w:val="single" w:color="16223C" w:sz="4"/>
              <w:right w:val="single" w:color="16223C" w:sz="4"/>
            </w:tcBorders>
            <w:shd w:fill="16223C" w:color="auto" w:val="clear"/>
            <w:tcMar>
              <w:top w:type="dxa" w:w="90"/>
              <w:left w:type="dxa" w:w="160"/>
              <w:bottom w:type="dxa" w:w="90"/>
              <w:right w:type="dxa" w:w="160"/>
            </w:tcMar>
          </w:tcPr>
          <w:p>
            <w:pPr>
              <w:jc w:val="center"/>
            </w:pPr>
            <w:r>
              <w:rPr>
                <w:rFonts w:ascii="Consolas" w:cs="Consolas" w:eastAsia="Consolas" w:hAnsi="Consolas"/>
                <w:b/>
                <w:bCs/>
                <w:color w:val="FFFFFF"/>
                <w:sz w:val="18"/>
                <w:szCs w:val="18"/>
              </w:rPr>
              <w:t xml:space="preserve">Read the case study →</w:t>
            </w:r>
          </w:p>
        </w:tc>
      </w:tr>
    </w:tbl>
    <w:p>
      <w:pPr>
        <w:pBdr>
          <w:bottom w:val="single" w:color="D9DEE8" w:sz="6"/>
        </w:pBdr>
        <w:spacing w:after="180" w:before="180"/>
      </w:pPr>
      <w:r>
        <w:t xml:space="preserve"/>
      </w:r>
    </w:p>
    <w:p>
      <w:pPr>
        <w:spacing w:after="60"/>
      </w:pPr>
      <w:r>
        <w:rPr>
          <w:rFonts w:ascii="Consolas" w:cs="Consolas" w:eastAsia="Consolas" w:hAnsi="Consolas"/>
          <w:b/>
          <w:bCs/>
          <w:color w:val="9A6B3F"/>
          <w:spacing w:val="24"/>
          <w:sz w:val="16"/>
          <w:szCs w:val="16"/>
        </w:rPr>
        <w:t xml:space="preserve">MEET THE PRODUCT</w:t>
      </w:r>
    </w:p>
    <w:p>
      <w:pPr>
        <w:spacing w:after="90" w:before="40"/>
      </w:pPr>
      <w:r>
        <w:rPr>
          <w:rFonts w:ascii="Georgia" w:cs="Georgia" w:eastAsia="Georgia" w:hAnsi="Georgia"/>
          <w:b/>
          <w:bCs/>
          <w:color w:val="16223C"/>
          <w:sz w:val="30"/>
          <w:szCs w:val="30"/>
        </w:rPr>
        <w:t xml:space="preserve">What is a Trillet voice AI agent?</w:t>
      </w:r>
    </w:p>
    <w:p>
      <w:pPr>
        <w:spacing w:after="120"/>
      </w:pPr>
      <w:r>
        <w:rPr>
          <w:rFonts w:ascii="Calibri" w:cs="Calibri" w:eastAsia="Calibri" w:hAnsi="Calibri"/>
          <w:b w:val="false"/>
          <w:bCs w:val="false"/>
          <w:i w:val="false"/>
          <w:iCs w:val="false"/>
          <w:color w:val="24303F"/>
          <w:sz w:val="21"/>
          <w:szCs w:val="21"/>
        </w:rPr>
        <w:t xml:space="preserve">A voice AI agent answers the phone and holds a real conversation. It listens, understands what the caller needs, and replies in a natural voice. No menus. No hold music.</w:t>
      </w:r>
    </w:p>
    <w:p>
      <w:pPr>
        <w:spacing w:after="120"/>
      </w:pPr>
      <w:r>
        <w:rPr>
          <w:rFonts w:ascii="Calibri" w:cs="Calibri" w:eastAsia="Calibri" w:hAnsi="Calibri"/>
          <w:b w:val="false"/>
          <w:bCs w:val="false"/>
          <w:i w:val="false"/>
          <w:iCs w:val="false"/>
          <w:color w:val="24303F"/>
          <w:sz w:val="21"/>
          <w:szCs w:val="21"/>
        </w:rPr>
        <w:t xml:space="preserve">A Trillet agent also acts. It connects to your CRM, calendar, phone system and payment tools, confirms who it is speaking to, and completes the task on the call: books the appointment, sets up the payment plan, updates the case, sends the confirmation. It works across voice, SMS and chat, and writes every step to an audit trail.</w:t>
      </w:r>
    </w:p>
    <w:p>
      <w:pPr>
        <w:spacing w:after="120"/>
      </w:pPr>
      <w:r>
        <w:rPr>
          <w:rFonts w:ascii="Calibri" w:cs="Calibri" w:eastAsia="Calibri" w:hAnsi="Calibri"/>
          <w:b w:val="false"/>
          <w:bCs w:val="false"/>
          <w:i w:val="false"/>
          <w:iCs w:val="false"/>
          <w:color w:val="24303F"/>
          <w:sz w:val="21"/>
          <w:szCs w:val="21"/>
        </w:rPr>
        <w:t xml:space="preserve">It is built for calls that can’t go wrong. Verified before it acts. Resolved in your live systems. Audited end to end.</w:t>
      </w:r>
    </w:p>
    <w:tbl>
      <w:tblPr>
        <w:tblW w:type="dxa" w:w="5400"/>
        <w:tblBorders>
          <w:top w:val="single" w:color="FFFFFF" w:sz="4"/>
          <w:left w:val="single" w:color="FFFFFF" w:sz="4"/>
          <w:bottom w:val="single" w:color="FFFFFF" w:sz="4"/>
          <w:right w:val="single" w:color="FFFFFF" w:sz="4"/>
          <w:insideH w:val="single" w:color="FFFFFF" w:sz="4"/>
          <w:insideV w:val="single" w:color="FFFFFF" w:sz="4"/>
        </w:tblBorders>
      </w:tblPr>
      <w:tblGrid>
        <w:gridCol w:w="2600"/>
        <w:gridCol w:w="200"/>
        <w:gridCol w:w="2600"/>
      </w:tblGrid>
      <w:tr>
        <w:tc>
          <w:tcPr>
            <w:tcW w:type="dxa" w:w="2600"/>
            <w:tcBorders>
              <w:top w:val="single" w:color="16223C" w:sz="4"/>
              <w:left w:val="single" w:color="16223C" w:sz="4"/>
              <w:bottom w:val="single" w:color="16223C" w:sz="4"/>
              <w:right w:val="single" w:color="16223C" w:sz="4"/>
            </w:tcBorders>
            <w:shd w:fill="16223C" w:color="auto" w:val="clear"/>
            <w:tcMar>
              <w:top w:type="dxa" w:w="90"/>
              <w:left w:type="dxa" w:w="160"/>
              <w:bottom w:type="dxa" w:w="90"/>
              <w:right w:type="dxa" w:w="160"/>
            </w:tcMar>
          </w:tcPr>
          <w:p>
            <w:pPr>
              <w:jc w:val="center"/>
            </w:pPr>
            <w:r>
              <w:rPr>
                <w:rFonts w:ascii="Consolas" w:cs="Consolas" w:eastAsia="Consolas" w:hAnsi="Consolas"/>
                <w:b/>
                <w:bCs/>
                <w:color w:val="FFFFFF"/>
                <w:sz w:val="18"/>
                <w:szCs w:val="18"/>
              </w:rPr>
              <w:t xml:space="preserve">Book a demo →</w:t>
            </w:r>
          </w:p>
        </w:tc>
        <w:tc>
          <w:tcPr>
            <w:tcW w:type="dxa" w:w="200"/>
            <w:tcBorders>
              <w:top w:val="single" w:color="FFFFFF" w:sz="4"/>
              <w:left w:val="single" w:color="FFFFFF" w:sz="4"/>
              <w:bottom w:val="single" w:color="FFFFFF" w:sz="4"/>
              <w:right w:val="single" w:color="FFFFFF" w:sz="4"/>
            </w:tcBorders>
          </w:tcPr>
          <w:p>
            <w:r>
              <w:t xml:space="preserve"/>
            </w:r>
          </w:p>
        </w:tc>
        <w:tc>
          <w:tcPr>
            <w:tcW w:type="dxa" w:w="2600"/>
            <w:tcBorders>
              <w:top w:val="single" w:color="16223C" w:sz="4"/>
              <w:left w:val="single" w:color="16223C" w:sz="4"/>
              <w:bottom w:val="single" w:color="16223C" w:sz="4"/>
              <w:right w:val="single" w:color="16223C" w:sz="4"/>
            </w:tcBorders>
            <w:shd w:fill="FFFFFF" w:color="auto" w:val="clear"/>
            <w:tcMar>
              <w:top w:type="dxa" w:w="90"/>
              <w:left w:type="dxa" w:w="160"/>
              <w:bottom w:type="dxa" w:w="90"/>
              <w:right w:type="dxa" w:w="160"/>
            </w:tcMar>
          </w:tcPr>
          <w:p>
            <w:pPr>
              <w:jc w:val="center"/>
            </w:pPr>
            <w:r>
              <w:rPr>
                <w:rFonts w:ascii="Consolas" w:cs="Consolas" w:eastAsia="Consolas" w:hAnsi="Consolas"/>
                <w:b/>
                <w:bCs/>
                <w:color w:val="16223C"/>
                <w:sz w:val="18"/>
                <w:szCs w:val="18"/>
              </w:rPr>
              <w:t xml:space="preserve">Hear a live call ▶</w:t>
            </w:r>
          </w:p>
        </w:tc>
      </w:tr>
    </w:tbl>
    <w:p>
      <w:pPr>
        <w:pBdr>
          <w:bottom w:val="single" w:color="D9DEE8" w:sz="6"/>
        </w:pBdr>
        <w:spacing w:after="180" w:before="180"/>
      </w:pPr>
      <w:r>
        <w:t xml:space="preserve"/>
      </w:r>
    </w:p>
    <w:p>
      <w:pPr>
        <w:spacing w:after="60"/>
      </w:pPr>
      <w:r>
        <w:rPr>
          <w:rFonts w:ascii="Consolas" w:cs="Consolas" w:eastAsia="Consolas" w:hAnsi="Consolas"/>
          <w:b/>
          <w:bCs/>
          <w:color w:val="9A6B3F"/>
          <w:spacing w:val="24"/>
          <w:sz w:val="16"/>
          <w:szCs w:val="16"/>
        </w:rPr>
        <w:t xml:space="preserve">HOW TRILLET WORKS</w:t>
      </w:r>
    </w:p>
    <w:p>
      <w:pPr>
        <w:spacing w:after="90" w:before="40"/>
      </w:pPr>
      <w:r>
        <w:rPr>
          <w:rFonts w:ascii="Georgia" w:cs="Georgia" w:eastAsia="Georgia" w:hAnsi="Georgia"/>
          <w:b/>
          <w:bCs/>
          <w:color w:val="16223C"/>
          <w:sz w:val="30"/>
          <w:szCs w:val="30"/>
        </w:rPr>
        <w:t xml:space="preserve">Every call verified, resolved and audited</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120"/>
        <w:gridCol w:w="3120"/>
        <w:gridCol w:w="3120"/>
      </w:tblGrid>
      <w:tr>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Verify</w:t>
            </w:r>
          </w:p>
          <w:p>
            <w:pPr>
              <w:spacing w:after="0"/>
            </w:pPr>
            <w:r>
              <w:rPr>
                <w:rFonts w:ascii="Calibri" w:cs="Calibri" w:eastAsia="Calibri" w:hAnsi="Calibri"/>
                <w:color w:val="5A6675"/>
                <w:sz w:val="18"/>
                <w:szCs w:val="18"/>
              </w:rPr>
              <w:t xml:space="preserve">Identity is confirmed to your compliance standard before any action is taken. Name and date of birth, reference number, callback-number match.</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Resolve</w:t>
            </w:r>
          </w:p>
          <w:p>
            <w:pPr>
              <w:spacing w:after="0"/>
            </w:pPr>
            <w:r>
              <w:rPr>
                <w:rFonts w:ascii="Calibri" w:cs="Calibri" w:eastAsia="Calibri" w:hAnsi="Calibri"/>
                <w:color w:val="5A6675"/>
                <w:sz w:val="18"/>
                <w:szCs w:val="18"/>
              </w:rPr>
              <w:t xml:space="preserve">Bookings, payments, case updates and recovery happen in your live tools during the call. It works with the systems you already run.</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Audit trail</w:t>
            </w:r>
          </w:p>
          <w:p>
            <w:pPr>
              <w:spacing w:after="0"/>
            </w:pPr>
            <w:r>
              <w:rPr>
                <w:rFonts w:ascii="Calibri" w:cs="Calibri" w:eastAsia="Calibri" w:hAnsi="Calibri"/>
                <w:color w:val="5A6675"/>
                <w:sz w:val="18"/>
                <w:szCs w:val="18"/>
              </w:rPr>
              <w:t xml:space="preserve">Every action is timestamped to a complete audit trail. A summary goes out after the call. Recordings and transcripts are held with Australian data residency.</w:t>
            </w:r>
          </w:p>
        </w:tc>
      </w:tr>
    </w:tbl>
    <w:tbl>
      <w:tblPr>
        <w:tblW w:type="dxa" w:w="2600"/>
        <w:tblBorders>
          <w:top w:val="single" w:color="FFFFFF" w:sz="4"/>
          <w:left w:val="single" w:color="FFFFFF" w:sz="4"/>
          <w:bottom w:val="single" w:color="FFFFFF" w:sz="4"/>
          <w:right w:val="single" w:color="FFFFFF" w:sz="4"/>
          <w:insideH w:val="single" w:color="FFFFFF" w:sz="4"/>
          <w:insideV w:val="single" w:color="FFFFFF" w:sz="4"/>
        </w:tblBorders>
      </w:tblPr>
      <w:tblGrid>
        <w:gridCol w:w="2600"/>
      </w:tblGrid>
      <w:tr>
        <w:tc>
          <w:tcPr>
            <w:tcW w:type="dxa" w:w="2600"/>
            <w:tcBorders>
              <w:top w:val="single" w:color="16223C" w:sz="4"/>
              <w:left w:val="single" w:color="16223C" w:sz="4"/>
              <w:bottom w:val="single" w:color="16223C" w:sz="4"/>
              <w:right w:val="single" w:color="16223C" w:sz="4"/>
            </w:tcBorders>
            <w:shd w:fill="16223C" w:color="auto" w:val="clear"/>
            <w:tcMar>
              <w:top w:type="dxa" w:w="90"/>
              <w:left w:type="dxa" w:w="160"/>
              <w:bottom w:type="dxa" w:w="90"/>
              <w:right w:type="dxa" w:w="160"/>
            </w:tcMar>
          </w:tcPr>
          <w:p>
            <w:pPr>
              <w:jc w:val="center"/>
            </w:pPr>
            <w:r>
              <w:rPr>
                <w:rFonts w:ascii="Consolas" w:cs="Consolas" w:eastAsia="Consolas" w:hAnsi="Consolas"/>
                <w:b/>
                <w:bCs/>
                <w:color w:val="FFFFFF"/>
                <w:sz w:val="18"/>
                <w:szCs w:val="18"/>
              </w:rPr>
              <w:t xml:space="preserve">See it on a live call →</w:t>
            </w:r>
          </w:p>
        </w:tc>
      </w:tr>
    </w:tbl>
    <w:p>
      <w:pPr>
        <w:pBdr>
          <w:bottom w:val="single" w:color="D9DEE8" w:sz="6"/>
        </w:pBdr>
        <w:spacing w:after="180" w:before="180"/>
      </w:pPr>
      <w:r>
        <w:t xml:space="preserve"/>
      </w:r>
    </w:p>
    <w:p>
      <w:pPr>
        <w:spacing w:after="60"/>
      </w:pPr>
      <w:r>
        <w:rPr>
          <w:rFonts w:ascii="Consolas" w:cs="Consolas" w:eastAsia="Consolas" w:hAnsi="Consolas"/>
          <w:b/>
          <w:bCs/>
          <w:color w:val="9A6B3F"/>
          <w:spacing w:val="24"/>
          <w:sz w:val="16"/>
          <w:szCs w:val="16"/>
        </w:rPr>
        <w:t xml:space="preserve">WHAT THE AGENT CAN DO</w:t>
      </w:r>
    </w:p>
    <w:p>
      <w:pPr>
        <w:spacing w:after="90" w:before="40"/>
      </w:pPr>
      <w:r>
        <w:rPr>
          <w:rFonts w:ascii="Georgia" w:cs="Georgia" w:eastAsia="Georgia" w:hAnsi="Georgia"/>
          <w:b/>
          <w:bCs/>
          <w:color w:val="16223C"/>
          <w:sz w:val="30"/>
          <w:szCs w:val="30"/>
        </w:rPr>
        <w:t xml:space="preserve">What a Trillet agent handles on the call</w:t>
      </w:r>
    </w:p>
    <w:p>
      <w:pPr>
        <w:spacing w:after="120"/>
      </w:pPr>
      <w:r>
        <w:rPr>
          <w:rFonts w:ascii="Calibri" w:cs="Calibri" w:eastAsia="Calibri" w:hAnsi="Calibri"/>
          <w:color w:val="5A6675"/>
          <w:sz w:val="22"/>
          <w:szCs w:val="22"/>
        </w:rPr>
        <w:t xml:space="preserve">From answering and identity checks to booking, payments and CRM updates. Across voice, SMS, chat and email.</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4680"/>
        <w:gridCol w:w="4680"/>
      </w:tblGrid>
      <w:tr>
        <w:tc>
          <w:tcPr>
            <w:tcW w:type="dxa" w:w="468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Answer and engage</w:t>
            </w:r>
          </w:p>
          <w:p>
            <w:pPr>
              <w:spacing w:after="0"/>
            </w:pPr>
            <w:r>
              <w:rPr>
                <w:rFonts w:ascii="Calibri" w:cs="Calibri" w:eastAsia="Calibri" w:hAnsi="Calibri"/>
                <w:color w:val="5A6675"/>
                <w:sz w:val="18"/>
                <w:szCs w:val="18"/>
              </w:rPr>
              <w:t xml:space="preserve">Inbound answering and outbound campaigns, day and night. Voice, SMS, web chat and email in one thread. Natural voice, with cloning available. Warm transfer to your team, and call forwarding with no number porting.</w:t>
            </w:r>
          </w:p>
        </w:tc>
        <w:tc>
          <w:tcPr>
            <w:tcW w:type="dxa" w:w="468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Verify before it acts</w:t>
            </w:r>
          </w:p>
          <w:p>
            <w:pPr>
              <w:spacing w:after="0"/>
            </w:pPr>
            <w:r>
              <w:rPr>
                <w:rFonts w:ascii="Calibri" w:cs="Calibri" w:eastAsia="Calibri" w:hAnsi="Calibri"/>
                <w:color w:val="5A6675"/>
                <w:sz w:val="18"/>
                <w:szCs w:val="18"/>
              </w:rPr>
              <w:t xml:space="preserve">Confirms identity to your compliance standard before acting. Role-based access on every workspace.</w:t>
            </w:r>
          </w:p>
        </w:tc>
      </w:tr>
      <w:tr>
        <w:tc>
          <w:tcPr>
            <w:tcW w:type="dxa" w:w="468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Resolve in your live systems</w:t>
            </w:r>
          </w:p>
          <w:p>
            <w:pPr>
              <w:spacing w:after="0"/>
            </w:pPr>
            <w:r>
              <w:rPr>
                <w:rFonts w:ascii="Calibri" w:cs="Calibri" w:eastAsia="Calibri" w:hAnsi="Calibri"/>
                <w:color w:val="5A6675"/>
                <w:sz w:val="18"/>
                <w:szCs w:val="18"/>
              </w:rPr>
              <w:t xml:space="preserve">Books and reschedules appointments, sets up payments and plans, captures and qualifies leads, updates cases, runs recovery. Written to your CRM, PMS, telephony, payments and calendars on the call.</w:t>
            </w:r>
          </w:p>
        </w:tc>
        <w:tc>
          <w:tcPr>
            <w:tcW w:type="dxa" w:w="468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Keep the audit trail</w:t>
            </w:r>
          </w:p>
          <w:p>
            <w:pPr>
              <w:spacing w:after="0"/>
            </w:pPr>
            <w:r>
              <w:rPr>
                <w:rFonts w:ascii="Calibri" w:cs="Calibri" w:eastAsia="Calibri" w:hAnsi="Calibri"/>
                <w:color w:val="5A6675"/>
                <w:sz w:val="18"/>
                <w:szCs w:val="18"/>
              </w:rPr>
              <w:t xml:space="preserve">Every action timestamped. Post-call summaries and confirmations by SMS and email. Recordings and transcripts held in-country.</w:t>
            </w:r>
          </w:p>
        </w:tc>
      </w:tr>
      <w:tr>
        <w:tc>
          <w:tcPr>
            <w:tcW w:type="dxa" w:w="468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Build and deploy</w:t>
            </w:r>
          </w:p>
          <w:p>
            <w:pPr>
              <w:spacing w:after="0"/>
            </w:pPr>
            <w:r>
              <w:rPr>
                <w:rFonts w:ascii="Calibri" w:cs="Calibri" w:eastAsia="Calibri" w:hAnsi="Calibri"/>
                <w:color w:val="5A6675"/>
                <w:sz w:val="18"/>
                <w:szCs w:val="18"/>
              </w:rPr>
              <w:t xml:space="preserve">Build an agent by scanning your website and go live in minutes. Start from templates. Orchestrate calls, SMS and email from one trigger. Deploy in cloud, private cloud or on-premise.</w:t>
            </w:r>
          </w:p>
        </w:tc>
        <w:tc>
          <w:tcPr>
            <w:tcW w:type="dxa" w:w="468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r>
              <w:t xml:space="preserve"/>
            </w:r>
          </w:p>
        </w:tc>
      </w:tr>
    </w:tbl>
    <w:tbl>
      <w:tblPr>
        <w:tblW w:type="dxa" w:w="2600"/>
        <w:tblBorders>
          <w:top w:val="single" w:color="FFFFFF" w:sz="4"/>
          <w:left w:val="single" w:color="FFFFFF" w:sz="4"/>
          <w:bottom w:val="single" w:color="FFFFFF" w:sz="4"/>
          <w:right w:val="single" w:color="FFFFFF" w:sz="4"/>
          <w:insideH w:val="single" w:color="FFFFFF" w:sz="4"/>
          <w:insideV w:val="single" w:color="FFFFFF" w:sz="4"/>
        </w:tblBorders>
      </w:tblPr>
      <w:tblGrid>
        <w:gridCol w:w="2600"/>
      </w:tblGrid>
      <w:tr>
        <w:tc>
          <w:tcPr>
            <w:tcW w:type="dxa" w:w="2600"/>
            <w:tcBorders>
              <w:top w:val="single" w:color="16223C" w:sz="4"/>
              <w:left w:val="single" w:color="16223C" w:sz="4"/>
              <w:bottom w:val="single" w:color="16223C" w:sz="4"/>
              <w:right w:val="single" w:color="16223C" w:sz="4"/>
            </w:tcBorders>
            <w:shd w:fill="16223C" w:color="auto" w:val="clear"/>
            <w:tcMar>
              <w:top w:type="dxa" w:w="90"/>
              <w:left w:type="dxa" w:w="160"/>
              <w:bottom w:type="dxa" w:w="90"/>
              <w:right w:type="dxa" w:w="160"/>
            </w:tcMar>
          </w:tcPr>
          <w:p>
            <w:pPr>
              <w:jc w:val="center"/>
            </w:pPr>
            <w:r>
              <w:rPr>
                <w:rFonts w:ascii="Consolas" w:cs="Consolas" w:eastAsia="Consolas" w:hAnsi="Consolas"/>
                <w:b/>
                <w:bCs/>
                <w:color w:val="FFFFFF"/>
                <w:sz w:val="18"/>
                <w:szCs w:val="18"/>
              </w:rPr>
              <w:t xml:space="preserve">Explore the platform →</w:t>
            </w:r>
          </w:p>
        </w:tc>
      </w:tr>
    </w:tbl>
    <w:p>
      <w:pPr>
        <w:pBdr>
          <w:bottom w:val="single" w:color="D9DEE8" w:sz="6"/>
        </w:pBdr>
        <w:spacing w:after="180" w:before="180"/>
      </w:pPr>
      <w:r>
        <w:t xml:space="preserve"/>
      </w:r>
    </w:p>
    <w:p>
      <w:pPr>
        <w:spacing w:after="90" w:before="40"/>
      </w:pPr>
      <w:r>
        <w:rPr>
          <w:rFonts w:ascii="Georgia" w:cs="Georgia" w:eastAsia="Georgia" w:hAnsi="Georgia"/>
          <w:b/>
          <w:bCs/>
          <w:color w:val="16223C"/>
          <w:sz w:val="30"/>
          <w:szCs w:val="30"/>
        </w:rPr>
        <w:t xml:space="preserve">Built for the industries where calls can’t go wrong</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120"/>
        <w:gridCol w:w="3120"/>
        <w:gridCol w:w="3120"/>
      </w:tblGrid>
      <w:tr>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Healthcare</w:t>
            </w:r>
          </w:p>
          <w:p>
            <w:pPr>
              <w:spacing w:after="60"/>
            </w:pPr>
            <w:r>
              <w:rPr>
                <w:rFonts w:ascii="Calibri" w:cs="Calibri" w:eastAsia="Calibri" w:hAnsi="Calibri"/>
                <w:color w:val="5A6675"/>
                <w:sz w:val="18"/>
                <w:szCs w:val="18"/>
              </w:rPr>
              <w:t xml:space="preserve">Intake, booking, insurance verification and follow-ups under full HIPAA control. 32% fewer no-shows.</w:t>
            </w:r>
          </w:p>
          <w:p>
            <w:r>
              <w:rPr>
                <w:rFonts w:ascii="Consolas" w:cs="Consolas" w:eastAsia="Consolas" w:hAnsi="Consolas"/>
                <w:b/>
                <w:bCs/>
                <w:color w:val="16223C"/>
                <w:sz w:val="15"/>
                <w:szCs w:val="15"/>
              </w:rPr>
              <w:t xml:space="preserve">Healthcare →</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Legal</w:t>
            </w:r>
          </w:p>
          <w:p>
            <w:pPr>
              <w:spacing w:after="60"/>
            </w:pPr>
            <w:r>
              <w:rPr>
                <w:rFonts w:ascii="Calibri" w:cs="Calibri" w:eastAsia="Calibri" w:hAnsi="Calibri"/>
                <w:color w:val="5A6675"/>
                <w:sz w:val="18"/>
                <w:szCs w:val="18"/>
              </w:rPr>
              <w:t xml:space="preserve">After-hours enquiries and new-matter intake, qualified and booked to the right lawyer.</w:t>
            </w:r>
          </w:p>
          <w:p>
            <w:r>
              <w:rPr>
                <w:rFonts w:ascii="Consolas" w:cs="Consolas" w:eastAsia="Consolas" w:hAnsi="Consolas"/>
                <w:b/>
                <w:bCs/>
                <w:color w:val="16223C"/>
                <w:sz w:val="15"/>
                <w:szCs w:val="15"/>
              </w:rPr>
              <w:t xml:space="preserve">Legal →</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Finance</w:t>
            </w:r>
          </w:p>
          <w:p>
            <w:pPr>
              <w:spacing w:after="60"/>
            </w:pPr>
            <w:r>
              <w:rPr>
                <w:rFonts w:ascii="Calibri" w:cs="Calibri" w:eastAsia="Calibri" w:hAnsi="Calibri"/>
                <w:color w:val="5A6675"/>
                <w:sz w:val="18"/>
                <w:szCs w:val="18"/>
              </w:rPr>
              <w:t xml:space="preserve">Identity verification, payments and recovery at scale. Every step audited.</w:t>
            </w:r>
          </w:p>
          <w:p>
            <w:r>
              <w:rPr>
                <w:rFonts w:ascii="Consolas" w:cs="Consolas" w:eastAsia="Consolas" w:hAnsi="Consolas"/>
                <w:b/>
                <w:bCs/>
                <w:color w:val="16223C"/>
                <w:sz w:val="15"/>
                <w:szCs w:val="15"/>
              </w:rPr>
              <w:t xml:space="preserve">Finance →</w:t>
            </w:r>
          </w:p>
        </w:tc>
      </w:tr>
      <w:tr>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Government</w:t>
            </w:r>
          </w:p>
          <w:p>
            <w:pPr>
              <w:spacing w:after="60"/>
            </w:pPr>
            <w:r>
              <w:rPr>
                <w:rFonts w:ascii="Calibri" w:cs="Calibri" w:eastAsia="Calibri" w:hAnsi="Calibri"/>
                <w:color w:val="5A6675"/>
                <w:sz w:val="18"/>
                <w:szCs w:val="18"/>
              </w:rPr>
              <w:t xml:space="preserve">Resident enquiries, service requests, rates and payments, resolved on the call.</w:t>
            </w:r>
          </w:p>
          <w:p>
            <w:r>
              <w:rPr>
                <w:rFonts w:ascii="Consolas" w:cs="Consolas" w:eastAsia="Consolas" w:hAnsi="Consolas"/>
                <w:b/>
                <w:bCs/>
                <w:color w:val="16223C"/>
                <w:sz w:val="15"/>
                <w:szCs w:val="15"/>
              </w:rPr>
              <w:t xml:space="preserve">Government →</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Utilities</w:t>
            </w:r>
          </w:p>
          <w:p>
            <w:pPr>
              <w:spacing w:after="60"/>
            </w:pPr>
            <w:r>
              <w:rPr>
                <w:rFonts w:ascii="Calibri" w:cs="Calibri" w:eastAsia="Calibri" w:hAnsi="Calibri"/>
                <w:color w:val="5A6675"/>
                <w:sz w:val="18"/>
                <w:szCs w:val="18"/>
              </w:rPr>
              <w:t xml:space="preserve">Billing, payment plans, outages and service requests, handled at volume.</w:t>
            </w:r>
          </w:p>
          <w:p>
            <w:r>
              <w:rPr>
                <w:rFonts w:ascii="Consolas" w:cs="Consolas" w:eastAsia="Consolas" w:hAnsi="Consolas"/>
                <w:b/>
                <w:bCs/>
                <w:color w:val="16223C"/>
                <w:sz w:val="15"/>
                <w:szCs w:val="15"/>
              </w:rPr>
              <w:t xml:space="preserve">Utilities →</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r>
              <w:t xml:space="preserve"/>
            </w:r>
          </w:p>
        </w:tc>
      </w:tr>
    </w:tbl>
    <w:p>
      <w:pPr>
        <w:pBdr>
          <w:bottom w:val="single" w:color="D9DEE8" w:sz="6"/>
        </w:pBdr>
        <w:spacing w:after="180" w:before="180"/>
      </w:pPr>
      <w:r>
        <w:t xml:space="preserve"/>
      </w:r>
    </w:p>
    <w:p>
      <w:pPr>
        <w:spacing w:after="90" w:before="40"/>
      </w:pPr>
      <w:r>
        <w:rPr>
          <w:rFonts w:ascii="Georgia" w:cs="Georgia" w:eastAsia="Georgia" w:hAnsi="Georgia"/>
          <w:b/>
          <w:bCs/>
          <w:color w:val="16223C"/>
          <w:sz w:val="30"/>
          <w:szCs w:val="30"/>
        </w:rPr>
        <w:t xml:space="preserve">What makes it different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120"/>
        <w:gridCol w:w="3120"/>
        <w:gridCol w:w="3120"/>
      </w:tblGrid>
      <w:tr>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Conversations end in real outcomes</w:t>
            </w:r>
          </w:p>
          <w:p>
            <w:pPr>
              <w:spacing w:after="0"/>
            </w:pPr>
            <w:r>
              <w:rPr>
                <w:rFonts w:ascii="Calibri" w:cs="Calibri" w:eastAsia="Calibri" w:hAnsi="Calibri"/>
                <w:color w:val="5A6675"/>
                <w:sz w:val="18"/>
                <w:szCs w:val="18"/>
              </w:rPr>
              <w:t xml:space="preserve">Reads from and writes to your live tools, so every call ends in a completed action, not a note or a ticket.</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Built for regulated industries</w:t>
            </w:r>
          </w:p>
          <w:p>
            <w:pPr>
              <w:spacing w:after="0"/>
            </w:pPr>
            <w:r>
              <w:rPr>
                <w:rFonts w:ascii="Calibri" w:cs="Calibri" w:eastAsia="Calibri" w:hAnsi="Calibri"/>
                <w:color w:val="5A6675"/>
                <w:sz w:val="18"/>
                <w:szCs w:val="18"/>
              </w:rPr>
              <w:t xml:space="preserve">Designed from the start for the compliance, audit and operational requirements of healthcare, legal and financial services.</w:t>
            </w:r>
          </w:p>
        </w:tc>
        <w:tc>
          <w:tcPr>
            <w:tcW w:type="dxa" w:w="3120"/>
            <w:tcBorders>
              <w:top w:val="single" w:color="D9DEE8" w:sz="4"/>
              <w:left w:val="single" w:color="D9DEE8" w:sz="4"/>
              <w:bottom w:val="single" w:color="D9DEE8" w:sz="4"/>
              <w:right w:val="single" w:color="D9DEE8" w:sz="4"/>
            </w:tcBorders>
            <w:shd w:fill="F7F8FA" w:color="auto" w:val="clear"/>
            <w:tcMar>
              <w:top w:type="dxa" w:w="130"/>
              <w:left w:type="dxa" w:w="150"/>
              <w:bottom w:type="dxa" w:w="130"/>
              <w:right w:type="dxa" w:w="150"/>
            </w:tcMar>
          </w:tcPr>
          <w:p>
            <w:pPr>
              <w:spacing w:after="50"/>
            </w:pPr>
            <w:r>
              <w:rPr>
                <w:rFonts w:ascii="Georgia" w:cs="Georgia" w:eastAsia="Georgia" w:hAnsi="Georgia"/>
                <w:b/>
                <w:bCs/>
                <w:color w:val="16223C"/>
                <w:sz w:val="20"/>
                <w:szCs w:val="20"/>
              </w:rPr>
              <w:t xml:space="preserve">Continuous across channels</w:t>
            </w:r>
          </w:p>
          <w:p>
            <w:pPr>
              <w:spacing w:after="0"/>
            </w:pPr>
            <w:r>
              <w:rPr>
                <w:rFonts w:ascii="Calibri" w:cs="Calibri" w:eastAsia="Calibri" w:hAnsi="Calibri"/>
                <w:color w:val="5A6675"/>
                <w:sz w:val="18"/>
                <w:szCs w:val="18"/>
              </w:rPr>
              <w:t xml:space="preserve">High-stakes calls stay connected across voice, SMS, chat and messaging. Context is never lost.</w:t>
            </w:r>
          </w:p>
        </w:tc>
      </w:tr>
    </w:tbl>
    <w:p>
      <w:pPr>
        <w:pBdr>
          <w:bottom w:val="single" w:color="D9DEE8" w:sz="6"/>
        </w:pBdr>
        <w:spacing w:after="180" w:before="180"/>
      </w:pPr>
      <w:r>
        <w:t xml:space="preserve"/>
      </w:r>
    </w:p>
    <w:p>
      <w:pPr>
        <w:spacing w:after="60"/>
      </w:pPr>
      <w:r>
        <w:rPr>
          <w:rFonts w:ascii="Consolas" w:cs="Consolas" w:eastAsia="Consolas" w:hAnsi="Consolas"/>
          <w:b/>
          <w:bCs/>
          <w:color w:val="9A6B3F"/>
          <w:spacing w:val="24"/>
          <w:sz w:val="16"/>
          <w:szCs w:val="16"/>
        </w:rPr>
        <w:t xml:space="preserve">FITS YOUR STACK</w:t>
      </w:r>
    </w:p>
    <w:p>
      <w:pPr>
        <w:spacing w:after="90" w:before="40"/>
      </w:pPr>
      <w:r>
        <w:rPr>
          <w:rFonts w:ascii="Georgia" w:cs="Georgia" w:eastAsia="Georgia" w:hAnsi="Georgia"/>
          <w:b/>
          <w:bCs/>
          <w:color w:val="16223C"/>
          <w:sz w:val="30"/>
          <w:szCs w:val="30"/>
        </w:rPr>
        <w:t xml:space="preserve">Works with the systems you already run</w:t>
      </w:r>
    </w:p>
    <w:p>
      <w:pPr>
        <w:spacing w:after="120"/>
      </w:pPr>
      <w:r>
        <w:rPr>
          <w:rFonts w:ascii="Calibri" w:cs="Calibri" w:eastAsia="Calibri" w:hAnsi="Calibri"/>
          <w:b w:val="false"/>
          <w:bCs w:val="false"/>
          <w:i w:val="false"/>
          <w:iCs w:val="false"/>
          <w:color w:val="24303F"/>
          <w:sz w:val="21"/>
          <w:szCs w:val="21"/>
        </w:rPr>
        <w:t xml:space="preserve">Trillet connects to your telephony, CRM, practice-management, payment and calendar platforms. It reads and writes on the call. No parallel systems to maintain.</w:t>
      </w:r>
    </w:p>
    <w:p>
      <w:pPr>
        <w:spacing w:after="120" w:before="40"/>
      </w:pPr>
      <w:r>
        <w:rPr>
          <w:rFonts w:ascii="Consolas" w:cs="Consolas" w:eastAsia="Consolas" w:hAnsi="Consolas"/>
          <w:b/>
          <w:bCs/>
          <w:color w:val="2E7D5B"/>
          <w:sz w:val="17"/>
          <w:szCs w:val="17"/>
        </w:rPr>
        <w:t xml:space="preserve">Telephony      CRM      Practice management      Payments      Calendars      Case files</w:t>
      </w:r>
    </w:p>
    <w:tbl>
      <w:tblPr>
        <w:tblW w:type="dxa" w:w="2600"/>
        <w:tblBorders>
          <w:top w:val="single" w:color="FFFFFF" w:sz="4"/>
          <w:left w:val="single" w:color="FFFFFF" w:sz="4"/>
          <w:bottom w:val="single" w:color="FFFFFF" w:sz="4"/>
          <w:right w:val="single" w:color="FFFFFF" w:sz="4"/>
          <w:insideH w:val="single" w:color="FFFFFF" w:sz="4"/>
          <w:insideV w:val="single" w:color="FFFFFF" w:sz="4"/>
        </w:tblBorders>
      </w:tblPr>
      <w:tblGrid>
        <w:gridCol w:w="2600"/>
      </w:tblGrid>
      <w:tr>
        <w:tc>
          <w:tcPr>
            <w:tcW w:type="dxa" w:w="2600"/>
            <w:tcBorders>
              <w:top w:val="single" w:color="16223C" w:sz="4"/>
              <w:left w:val="single" w:color="16223C" w:sz="4"/>
              <w:bottom w:val="single" w:color="16223C" w:sz="4"/>
              <w:right w:val="single" w:color="16223C" w:sz="4"/>
            </w:tcBorders>
            <w:shd w:fill="16223C" w:color="auto" w:val="clear"/>
            <w:tcMar>
              <w:top w:type="dxa" w:w="90"/>
              <w:left w:type="dxa" w:w="160"/>
              <w:bottom w:type="dxa" w:w="90"/>
              <w:right w:type="dxa" w:w="160"/>
            </w:tcMar>
          </w:tcPr>
          <w:p>
            <w:pPr>
              <w:jc w:val="center"/>
            </w:pPr>
            <w:r>
              <w:rPr>
                <w:rFonts w:ascii="Consolas" w:cs="Consolas" w:eastAsia="Consolas" w:hAnsi="Consolas"/>
                <w:b/>
                <w:bCs/>
                <w:color w:val="FFFFFF"/>
                <w:sz w:val="18"/>
                <w:szCs w:val="18"/>
              </w:rPr>
              <w:t xml:space="preserve">See all integrations →</w:t>
            </w:r>
          </w:p>
        </w:tc>
      </w:tr>
    </w:tbl>
    <w:p>
      <w:pPr>
        <w:pBdr>
          <w:bottom w:val="single" w:color="D9DEE8" w:sz="6"/>
        </w:pBdr>
        <w:spacing w:after="180" w:before="180"/>
      </w:pPr>
      <w:r>
        <w:t xml:space="preserve"/>
      </w:r>
    </w:p>
    <w:p>
      <w:pPr>
        <w:spacing w:after="70"/>
      </w:pPr>
      <w:r>
        <w:rPr>
          <w:rFonts w:ascii="Georgia" w:cs="Georgia" w:eastAsia="Georgia" w:hAnsi="Georgia"/>
          <w:b/>
          <w:bCs/>
          <w:i/>
          <w:iCs/>
          <w:color w:val="16223C"/>
          <w:sz w:val="26"/>
          <w:szCs w:val="26"/>
        </w:rPr>
        <w:t xml:space="preserve">“It meets our compliance requirements without a six-month integration. It runs inside our infrastructure — fully.”</w:t>
      </w:r>
    </w:p>
    <w:p>
      <w:pPr>
        <w:spacing w:after="120"/>
      </w:pPr>
      <w:r>
        <w:rPr>
          <w:rFonts w:ascii="Calibri" w:cs="Calibri" w:eastAsia="Calibri" w:hAnsi="Calibri"/>
          <w:b w:val="false"/>
          <w:bCs w:val="false"/>
          <w:i w:val="false"/>
          <w:iCs w:val="false"/>
          <w:color w:val="5A6675"/>
          <w:sz w:val="18"/>
          <w:szCs w:val="18"/>
        </w:rPr>
        <w:t xml:space="preserve">Tim Close · Founder, CommsChannel</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3120"/>
        <w:gridCol w:w="3120"/>
        <w:gridCol w:w="3120"/>
      </w:tblGrid>
      <w:tr>
        <w:tc>
          <w:tcPr>
            <w:tcW w:type="dxa" w:w="3120"/>
            <w:tcBorders>
              <w:top w:val="single" w:color="FFFFFF" w:sz="4"/>
              <w:left w:val="single" w:color="FFFFFF" w:sz="4"/>
              <w:bottom w:val="single" w:color="FFFFFF" w:sz="4"/>
              <w:right w:val="single" w:color="FFFFFF" w:sz="4"/>
            </w:tcBorders>
            <w:tcMar>
              <w:top w:type="dxa" w:w="60"/>
              <w:left w:type="dxa" w:w="60"/>
              <w:bottom w:type="dxa" w:w="60"/>
              <w:right w:type="dxa" w:w="60"/>
            </w:tcMar>
          </w:tcPr>
          <w:p>
            <w:pPr>
              <w:spacing w:after="20"/>
              <w:jc w:val="center"/>
            </w:pPr>
            <w:r>
              <w:rPr>
                <w:rFonts w:ascii="Georgia" w:cs="Georgia" w:eastAsia="Georgia" w:hAnsi="Georgia"/>
                <w:b/>
                <w:bCs/>
                <w:color w:val="16223C"/>
                <w:sz w:val="38"/>
                <w:szCs w:val="38"/>
              </w:rPr>
              <w:t xml:space="preserve">4.6</w:t>
            </w:r>
          </w:p>
          <w:p>
            <w:pPr>
              <w:jc w:val="center"/>
            </w:pPr>
            <w:r>
              <w:rPr>
                <w:rFonts w:ascii="Calibri" w:cs="Calibri" w:eastAsia="Calibri" w:hAnsi="Calibri"/>
                <w:color w:val="5A6675"/>
                <w:sz w:val="16"/>
                <w:szCs w:val="16"/>
              </w:rPr>
              <w:t xml:space="preserve">rated on Trustpilot</w:t>
            </w:r>
          </w:p>
        </w:tc>
        <w:tc>
          <w:tcPr>
            <w:tcW w:type="dxa" w:w="3120"/>
            <w:tcBorders>
              <w:top w:val="single" w:color="FFFFFF" w:sz="4"/>
              <w:left w:val="single" w:color="FFFFFF" w:sz="4"/>
              <w:bottom w:val="single" w:color="FFFFFF" w:sz="4"/>
              <w:right w:val="single" w:color="FFFFFF" w:sz="4"/>
            </w:tcBorders>
            <w:tcMar>
              <w:top w:type="dxa" w:w="60"/>
              <w:left w:type="dxa" w:w="60"/>
              <w:bottom w:type="dxa" w:w="60"/>
              <w:right w:type="dxa" w:w="60"/>
            </w:tcMar>
          </w:tcPr>
          <w:p>
            <w:pPr>
              <w:spacing w:after="20"/>
              <w:jc w:val="center"/>
            </w:pPr>
            <w:r>
              <w:rPr>
                <w:rFonts w:ascii="Georgia" w:cs="Georgia" w:eastAsia="Georgia" w:hAnsi="Georgia"/>
                <w:b/>
                <w:bCs/>
                <w:color w:val="16223C"/>
                <w:sz w:val="38"/>
                <w:szCs w:val="38"/>
              </w:rPr>
              <w:t xml:space="preserve">1,200+</w:t>
            </w:r>
          </w:p>
          <w:p>
            <w:pPr>
              <w:jc w:val="center"/>
            </w:pPr>
            <w:r>
              <w:rPr>
                <w:rFonts w:ascii="Calibri" w:cs="Calibri" w:eastAsia="Calibri" w:hAnsi="Calibri"/>
                <w:color w:val="5A6675"/>
                <w:sz w:val="16"/>
                <w:szCs w:val="16"/>
              </w:rPr>
              <w:t xml:space="preserve">businesses trust Trillet</w:t>
            </w:r>
          </w:p>
        </w:tc>
        <w:tc>
          <w:tcPr>
            <w:tcW w:type="dxa" w:w="3120"/>
            <w:tcBorders>
              <w:top w:val="single" w:color="FFFFFF" w:sz="4"/>
              <w:left w:val="single" w:color="FFFFFF" w:sz="4"/>
              <w:bottom w:val="single" w:color="FFFFFF" w:sz="4"/>
              <w:right w:val="single" w:color="FFFFFF" w:sz="4"/>
            </w:tcBorders>
            <w:tcMar>
              <w:top w:type="dxa" w:w="60"/>
              <w:left w:type="dxa" w:w="60"/>
              <w:bottom w:type="dxa" w:w="60"/>
              <w:right w:type="dxa" w:w="60"/>
            </w:tcMar>
          </w:tcPr>
          <w:p>
            <w:pPr>
              <w:spacing w:after="20"/>
              <w:jc w:val="center"/>
            </w:pPr>
            <w:r>
              <w:rPr>
                <w:rFonts w:ascii="Georgia" w:cs="Georgia" w:eastAsia="Georgia" w:hAnsi="Georgia"/>
                <w:b/>
                <w:bCs/>
                <w:color w:val="16223C"/>
                <w:sz w:val="38"/>
                <w:szCs w:val="38"/>
              </w:rPr>
              <w:t xml:space="preserve">99.97%</w:t>
            </w:r>
          </w:p>
          <w:p>
            <w:pPr>
              <w:jc w:val="center"/>
            </w:pPr>
            <w:r>
              <w:rPr>
                <w:rFonts w:ascii="Calibri" w:cs="Calibri" w:eastAsia="Calibri" w:hAnsi="Calibri"/>
                <w:color w:val="5A6675"/>
                <w:sz w:val="16"/>
                <w:szCs w:val="16"/>
              </w:rPr>
              <w:t xml:space="preserve">uptime SLA</w:t>
            </w:r>
          </w:p>
        </w:tc>
      </w:tr>
    </w:tbl>
    <w:p>
      <w:pPr>
        <w:pBdr>
          <w:bottom w:val="single" w:color="D9DEE8" w:sz="6"/>
        </w:pBdr>
        <w:spacing w:after="180" w:before="180"/>
      </w:pPr>
      <w:r>
        <w:t xml:space="preserve"/>
      </w:r>
    </w:p>
    <w:p>
      <w:pPr>
        <w:spacing w:after="90" w:before="40"/>
      </w:pPr>
      <w:r>
        <w:rPr>
          <w:rFonts w:ascii="Georgia" w:cs="Georgia" w:eastAsia="Georgia" w:hAnsi="Georgia"/>
          <w:b/>
          <w:bCs/>
          <w:color w:val="16223C"/>
          <w:sz w:val="30"/>
          <w:szCs w:val="30"/>
        </w:rPr>
        <w:t xml:space="preserve">Runs where your compliance team needs it to</w:t>
      </w:r>
    </w:p>
    <w:p>
      <w:pPr>
        <w:spacing w:after="120"/>
      </w:pPr>
      <w:r>
        <w:rPr>
          <w:rFonts w:ascii="Calibri" w:cs="Calibri" w:eastAsia="Calibri" w:hAnsi="Calibri"/>
          <w:b w:val="false"/>
          <w:bCs w:val="false"/>
          <w:i w:val="false"/>
          <w:iCs w:val="false"/>
          <w:color w:val="24303F"/>
          <w:sz w:val="21"/>
          <w:szCs w:val="21"/>
        </w:rPr>
        <w:t xml:space="preserve">Enterprise deployment including on-premise and private cloud. Full audit logs and role-based access. HIPAA, GDPR, ACMA and TCPA compliant. SOC 2 Type II and ISO 27001 certified. Australian data residency — recordings, transcripts and backups stored in Australia, with in-country LLM hosting available.</w:t>
      </w:r>
    </w:p>
    <w:p>
      <w:pPr>
        <w:spacing w:after="120" w:before="40"/>
      </w:pPr>
      <w:r>
        <w:rPr>
          <w:rFonts w:ascii="Consolas" w:cs="Consolas" w:eastAsia="Consolas" w:hAnsi="Consolas"/>
          <w:b/>
          <w:bCs/>
          <w:color w:val="2E7D5B"/>
          <w:sz w:val="17"/>
          <w:szCs w:val="17"/>
        </w:rPr>
        <w:t xml:space="preserve">HIPAA      GDPR      ACMA      TCPA      SOC 2 Type II      ISO 27001      AU Data Residency</w:t>
      </w:r>
    </w:p>
    <w:tbl>
      <w:tblPr>
        <w:tblW w:type="dxa" w:w="2600"/>
        <w:tblBorders>
          <w:top w:val="single" w:color="FFFFFF" w:sz="4"/>
          <w:left w:val="single" w:color="FFFFFF" w:sz="4"/>
          <w:bottom w:val="single" w:color="FFFFFF" w:sz="4"/>
          <w:right w:val="single" w:color="FFFFFF" w:sz="4"/>
          <w:insideH w:val="single" w:color="FFFFFF" w:sz="4"/>
          <w:insideV w:val="single" w:color="FFFFFF" w:sz="4"/>
        </w:tblBorders>
      </w:tblPr>
      <w:tblGrid>
        <w:gridCol w:w="2600"/>
      </w:tblGrid>
      <w:tr>
        <w:tc>
          <w:tcPr>
            <w:tcW w:type="dxa" w:w="2600"/>
            <w:tcBorders>
              <w:top w:val="single" w:color="16223C" w:sz="4"/>
              <w:left w:val="single" w:color="16223C" w:sz="4"/>
              <w:bottom w:val="single" w:color="16223C" w:sz="4"/>
              <w:right w:val="single" w:color="16223C" w:sz="4"/>
            </w:tcBorders>
            <w:shd w:fill="16223C" w:color="auto" w:val="clear"/>
            <w:tcMar>
              <w:top w:type="dxa" w:w="90"/>
              <w:left w:type="dxa" w:w="160"/>
              <w:bottom w:type="dxa" w:w="90"/>
              <w:right w:type="dxa" w:w="160"/>
            </w:tcMar>
          </w:tcPr>
          <w:p>
            <w:pPr>
              <w:jc w:val="center"/>
            </w:pPr>
            <w:r>
              <w:rPr>
                <w:rFonts w:ascii="Consolas" w:cs="Consolas" w:eastAsia="Consolas" w:hAnsi="Consolas"/>
                <w:b/>
                <w:bCs/>
                <w:color w:val="FFFFFF"/>
                <w:sz w:val="18"/>
                <w:szCs w:val="18"/>
              </w:rPr>
              <w:t xml:space="preserve">Visit the security &amp; trust center →</w:t>
            </w:r>
          </w:p>
        </w:tc>
      </w:tr>
    </w:tbl>
    <w:p>
      <w:pPr>
        <w:pBdr>
          <w:bottom w:val="single" w:color="D9DEE8" w:sz="6"/>
        </w:pBdr>
        <w:spacing w:after="180" w:before="180"/>
      </w:pPr>
      <w:r>
        <w:t xml:space="preserve"/>
      </w:r>
    </w:p>
    <w:p>
      <w:pPr>
        <w:spacing w:after="90" w:before="40"/>
      </w:pPr>
      <w:r>
        <w:rPr>
          <w:rFonts w:ascii="Georgia" w:cs="Georgia" w:eastAsia="Georgia" w:hAnsi="Georgia"/>
          <w:b/>
          <w:bCs/>
          <w:color w:val="16223C"/>
          <w:sz w:val="30"/>
          <w:szCs w:val="30"/>
        </w:rPr>
        <w:t xml:space="preserve">Frequently asked questions</w:t>
      </w:r>
    </w:p>
    <w:p>
      <w:pPr>
        <w:spacing w:after="20" w:before="80"/>
      </w:pPr>
      <w:r>
        <w:rPr>
          <w:rFonts w:ascii="Georgia" w:cs="Georgia" w:eastAsia="Georgia" w:hAnsi="Georgia"/>
          <w:b/>
          <w:bCs/>
          <w:color w:val="16223C"/>
          <w:sz w:val="20"/>
          <w:szCs w:val="20"/>
        </w:rPr>
        <w:t xml:space="preserve">What is an AI voice agent?</w:t>
      </w:r>
    </w:p>
    <w:p>
      <w:pPr>
        <w:spacing w:after="0"/>
      </w:pPr>
      <w:r>
        <w:rPr>
          <w:rFonts w:ascii="Calibri" w:cs="Calibri" w:eastAsia="Calibri" w:hAnsi="Calibri"/>
          <w:color w:val="5A6675"/>
          <w:sz w:val="19"/>
          <w:szCs w:val="19"/>
        </w:rPr>
        <w:t xml:space="preserve">A voice AI agent answers the phone, understands what the caller needs, and takes action. It books, verifies and resolves calls without menus or scripts.</w:t>
      </w:r>
    </w:p>
    <w:p>
      <w:pPr>
        <w:spacing w:after="20" w:before="80"/>
      </w:pPr>
      <w:r>
        <w:rPr>
          <w:rFonts w:ascii="Georgia" w:cs="Georgia" w:eastAsia="Georgia" w:hAnsi="Georgia"/>
          <w:b/>
          <w:bCs/>
          <w:color w:val="16223C"/>
          <w:sz w:val="20"/>
          <w:szCs w:val="20"/>
        </w:rPr>
        <w:t xml:space="preserve">How do AI voice agents work?</w:t>
      </w:r>
    </w:p>
    <w:p>
      <w:pPr>
        <w:spacing w:after="0"/>
      </w:pPr>
      <w:r>
        <w:rPr>
          <w:rFonts w:ascii="Calibri" w:cs="Calibri" w:eastAsia="Calibri" w:hAnsi="Calibri"/>
          <w:color w:val="5A6675"/>
          <w:sz w:val="19"/>
          <w:szCs w:val="19"/>
        </w:rPr>
        <w:t xml:space="preserve">They combine speech recognition, a language model and text-to-speech to understand and reply in real time, and connect to your systems to complete tasks on the call.</w:t>
      </w:r>
    </w:p>
    <w:p>
      <w:pPr>
        <w:spacing w:after="20" w:before="80"/>
      </w:pPr>
      <w:r>
        <w:rPr>
          <w:rFonts w:ascii="Georgia" w:cs="Georgia" w:eastAsia="Georgia" w:hAnsi="Georgia"/>
          <w:b/>
          <w:bCs/>
          <w:color w:val="16223C"/>
          <w:sz w:val="20"/>
          <w:szCs w:val="20"/>
        </w:rPr>
        <w:t xml:space="preserve">How are they different from a traditional IVR?</w:t>
      </w:r>
    </w:p>
    <w:p>
      <w:pPr>
        <w:spacing w:after="0"/>
      </w:pPr>
      <w:r>
        <w:rPr>
          <w:rFonts w:ascii="Calibri" w:cs="Calibri" w:eastAsia="Calibri" w:hAnsi="Calibri"/>
          <w:color w:val="5A6675"/>
          <w:sz w:val="19"/>
          <w:szCs w:val="19"/>
        </w:rPr>
        <w:t xml:space="preserve">An IVR routes you through a menu. A voice AI agent listens, answers follow-up questions, and completes the request itself.</w:t>
      </w:r>
    </w:p>
    <w:p>
      <w:pPr>
        <w:spacing w:after="20" w:before="80"/>
      </w:pPr>
      <w:r>
        <w:rPr>
          <w:rFonts w:ascii="Georgia" w:cs="Georgia" w:eastAsia="Georgia" w:hAnsi="Georgia"/>
          <w:b/>
          <w:bCs/>
          <w:color w:val="16223C"/>
          <w:sz w:val="20"/>
          <w:szCs w:val="20"/>
        </w:rPr>
        <w:t xml:space="preserve">Is Trillet HIPAA and SOC 2 compliant?</w:t>
      </w:r>
    </w:p>
    <w:p>
      <w:pPr>
        <w:spacing w:after="0"/>
      </w:pPr>
      <w:r>
        <w:rPr>
          <w:rFonts w:ascii="Calibri" w:cs="Calibri" w:eastAsia="Calibri" w:hAnsi="Calibri"/>
          <w:color w:val="5A6675"/>
          <w:sz w:val="19"/>
          <w:szCs w:val="19"/>
        </w:rPr>
        <w:t xml:space="preserve">Yes. HIPAA, SOC 2 Type II, ISO 27001, GDPR, TCPA and ACMA, on every plan, not only enterprise.</w:t>
      </w:r>
    </w:p>
    <w:p>
      <w:pPr>
        <w:spacing w:after="20" w:before="80"/>
      </w:pPr>
      <w:r>
        <w:rPr>
          <w:rFonts w:ascii="Georgia" w:cs="Georgia" w:eastAsia="Georgia" w:hAnsi="Georgia"/>
          <w:b/>
          <w:bCs/>
          <w:color w:val="16223C"/>
          <w:sz w:val="20"/>
          <w:szCs w:val="20"/>
        </w:rPr>
        <w:t xml:space="preserve">Can Trillet book appointments and take payments?</w:t>
      </w:r>
    </w:p>
    <w:p>
      <w:pPr>
        <w:spacing w:after="0"/>
      </w:pPr>
      <w:r>
        <w:rPr>
          <w:rFonts w:ascii="Calibri" w:cs="Calibri" w:eastAsia="Calibri" w:hAnsi="Calibri"/>
          <w:color w:val="5A6675"/>
          <w:sz w:val="19"/>
          <w:szCs w:val="19"/>
        </w:rPr>
        <w:t xml:space="preserve">Yes. Agents book and reschedule appointments and set up payments and payment plans in your live systems during the call.</w:t>
      </w:r>
    </w:p>
    <w:p>
      <w:pPr>
        <w:spacing w:after="20" w:before="80"/>
      </w:pPr>
      <w:r>
        <w:rPr>
          <w:rFonts w:ascii="Georgia" w:cs="Georgia" w:eastAsia="Georgia" w:hAnsi="Georgia"/>
          <w:b/>
          <w:bCs/>
          <w:color w:val="16223C"/>
          <w:sz w:val="20"/>
          <w:szCs w:val="20"/>
        </w:rPr>
        <w:t xml:space="preserve">Does it integrate with my CRM?</w:t>
      </w:r>
    </w:p>
    <w:p>
      <w:pPr>
        <w:spacing w:after="0"/>
      </w:pPr>
      <w:r>
        <w:rPr>
          <w:rFonts w:ascii="Calibri" w:cs="Calibri" w:eastAsia="Calibri" w:hAnsi="Calibri"/>
          <w:color w:val="5A6675"/>
          <w:sz w:val="19"/>
          <w:szCs w:val="19"/>
        </w:rPr>
        <w:t xml:space="preserve">Trillet connects to your telephony, CRM, practice-management, payment and calendar tools, and reads and writes in real time.</w:t>
      </w:r>
    </w:p>
    <w:p>
      <w:pPr>
        <w:spacing w:after="20" w:before="80"/>
      </w:pPr>
      <w:r>
        <w:rPr>
          <w:rFonts w:ascii="Georgia" w:cs="Georgia" w:eastAsia="Georgia" w:hAnsi="Georgia"/>
          <w:b/>
          <w:bCs/>
          <w:color w:val="16223C"/>
          <w:sz w:val="20"/>
          <w:szCs w:val="20"/>
        </w:rPr>
        <w:t xml:space="preserve">Can I keep my existing phone number?</w:t>
      </w:r>
    </w:p>
    <w:p>
      <w:pPr>
        <w:spacing w:after="0"/>
      </w:pPr>
      <w:r>
        <w:rPr>
          <w:rFonts w:ascii="Calibri" w:cs="Calibri" w:eastAsia="Calibri" w:hAnsi="Calibri"/>
          <w:color w:val="5A6675"/>
          <w:sz w:val="19"/>
          <w:szCs w:val="19"/>
        </w:rPr>
        <w:t xml:space="preserve">Yes. Trillet forwards your calls with no number porting, so you keep your existing number.</w:t>
      </w:r>
    </w:p>
    <w:p>
      <w:pPr>
        <w:spacing w:after="20" w:before="80"/>
      </w:pPr>
      <w:r>
        <w:rPr>
          <w:rFonts w:ascii="Georgia" w:cs="Georgia" w:eastAsia="Georgia" w:hAnsi="Georgia"/>
          <w:b/>
          <w:bCs/>
          <w:color w:val="16223C"/>
          <w:sz w:val="20"/>
          <w:szCs w:val="20"/>
        </w:rPr>
        <w:t xml:space="preserve">How fast can I go live?</w:t>
      </w:r>
    </w:p>
    <w:p>
      <w:pPr>
        <w:spacing w:after="0"/>
      </w:pPr>
      <w:r>
        <w:rPr>
          <w:rFonts w:ascii="Calibri" w:cs="Calibri" w:eastAsia="Calibri" w:hAnsi="Calibri"/>
          <w:color w:val="5A6675"/>
          <w:sz w:val="19"/>
          <w:szCs w:val="19"/>
        </w:rPr>
        <w:t xml:space="preserve">Build an agent by scanning your website and go live in minutes. Small-business plans start from $49/mo.</w:t>
      </w:r>
    </w:p>
    <w:p>
      <w:pPr>
        <w:spacing w:after="20" w:before="80"/>
      </w:pPr>
      <w:r>
        <w:rPr>
          <w:rFonts w:ascii="Georgia" w:cs="Georgia" w:eastAsia="Georgia" w:hAnsi="Georgia"/>
          <w:b/>
          <w:bCs/>
          <w:color w:val="16223C"/>
          <w:sz w:val="20"/>
          <w:szCs w:val="20"/>
        </w:rPr>
        <w:t xml:space="preserve">Can I white-label and resell Trillet?</w:t>
      </w:r>
    </w:p>
    <w:p>
      <w:pPr>
        <w:spacing w:after="0"/>
      </w:pPr>
      <w:r>
        <w:rPr>
          <w:rFonts w:ascii="Calibri" w:cs="Calibri" w:eastAsia="Calibri" w:hAnsi="Calibri"/>
          <w:color w:val="5A6675"/>
          <w:sz w:val="19"/>
          <w:szCs w:val="19"/>
        </w:rPr>
        <w:t xml:space="preserve">Yes. Agencies run Trillet under their own brand in isolated workspaces, and keep the margin.</w:t>
      </w:r>
    </w:p>
    <w:p>
      <w:pPr>
        <w:spacing w:after="20" w:before="80"/>
      </w:pPr>
      <w:r>
        <w:rPr>
          <w:rFonts w:ascii="Georgia" w:cs="Georgia" w:eastAsia="Georgia" w:hAnsi="Georgia"/>
          <w:b/>
          <w:bCs/>
          <w:color w:val="16223C"/>
          <w:sz w:val="20"/>
          <w:szCs w:val="20"/>
        </w:rPr>
        <w:t xml:space="preserve">Where is my data stored?</w:t>
      </w:r>
    </w:p>
    <w:p>
      <w:pPr>
        <w:spacing w:after="0"/>
      </w:pPr>
      <w:r>
        <w:rPr>
          <w:rFonts w:ascii="Calibri" w:cs="Calibri" w:eastAsia="Calibri" w:hAnsi="Calibri"/>
          <w:color w:val="5A6675"/>
          <w:sz w:val="19"/>
          <w:szCs w:val="19"/>
        </w:rPr>
        <w:t xml:space="preserve">Recordings, transcripts and backups can be held in Australia, with in-country LLM hosting and on-premise or private-cloud deployment available.</w:t>
      </w:r>
    </w:p>
    <w:p>
      <w:pPr>
        <w:spacing w:before="40"/>
      </w:pPr>
    </w:p>
    <w:tbl>
      <w:tblPr>
        <w:tblW w:type="dxa" w:w="2600"/>
        <w:tblBorders>
          <w:top w:val="single" w:color="FFFFFF" w:sz="4"/>
          <w:left w:val="single" w:color="FFFFFF" w:sz="4"/>
          <w:bottom w:val="single" w:color="FFFFFF" w:sz="4"/>
          <w:right w:val="single" w:color="FFFFFF" w:sz="4"/>
          <w:insideH w:val="single" w:color="FFFFFF" w:sz="4"/>
          <w:insideV w:val="single" w:color="FFFFFF" w:sz="4"/>
        </w:tblBorders>
      </w:tblPr>
      <w:tblGrid>
        <w:gridCol w:w="2600"/>
      </w:tblGrid>
      <w:tr>
        <w:tc>
          <w:tcPr>
            <w:tcW w:type="dxa" w:w="2600"/>
            <w:tcBorders>
              <w:top w:val="single" w:color="16223C" w:sz="4"/>
              <w:left w:val="single" w:color="16223C" w:sz="4"/>
              <w:bottom w:val="single" w:color="16223C" w:sz="4"/>
              <w:right w:val="single" w:color="16223C" w:sz="4"/>
            </w:tcBorders>
            <w:shd w:fill="16223C" w:color="auto" w:val="clear"/>
            <w:tcMar>
              <w:top w:type="dxa" w:w="90"/>
              <w:left w:type="dxa" w:w="160"/>
              <w:bottom w:type="dxa" w:w="90"/>
              <w:right w:type="dxa" w:w="160"/>
            </w:tcMar>
          </w:tcPr>
          <w:p>
            <w:pPr>
              <w:jc w:val="center"/>
            </w:pPr>
            <w:r>
              <w:rPr>
                <w:rFonts w:ascii="Consolas" w:cs="Consolas" w:eastAsia="Consolas" w:hAnsi="Consolas"/>
                <w:b/>
                <w:bCs/>
                <w:color w:val="FFFFFF"/>
                <w:sz w:val="18"/>
                <w:szCs w:val="18"/>
              </w:rPr>
              <w:t xml:space="preserve">Still have questions? Speak to sales →</w:t>
            </w:r>
          </w:p>
        </w:tc>
      </w:tr>
    </w:tbl>
    <w:p>
      <w:pPr>
        <w:pBdr>
          <w:bottom w:val="single" w:color="D9DEE8" w:sz="6"/>
        </w:pBdr>
        <w:spacing w:after="180" w:before="180"/>
      </w:pPr>
      <w:r>
        <w:t xml:space="preserve"/>
      </w:r>
    </w:p>
    <w:p>
      <w:pPr>
        <w:spacing w:after="90" w:before="40"/>
      </w:pPr>
      <w:r>
        <w:rPr>
          <w:rFonts w:ascii="Georgia" w:cs="Georgia" w:eastAsia="Georgia" w:hAnsi="Georgia"/>
          <w:b/>
          <w:bCs/>
          <w:color w:val="16223C"/>
          <w:sz w:val="30"/>
          <w:szCs w:val="30"/>
        </w:rPr>
        <w:t xml:space="preserve">Ready to resolve high-stakes conversations inside your environment?</w:t>
      </w:r>
    </w:p>
    <w:p>
      <w:pPr>
        <w:spacing w:after="120"/>
      </w:pPr>
      <w:r>
        <w:rPr>
          <w:rFonts w:ascii="Calibri" w:cs="Calibri" w:eastAsia="Calibri" w:hAnsi="Calibri"/>
          <w:color w:val="5A6675"/>
          <w:sz w:val="22"/>
          <w:szCs w:val="22"/>
        </w:rPr>
        <w:t xml:space="preserve">Speak to sales to review how Trillet integrates with your systems and meets your compliance requirements.</w:t>
      </w:r>
    </w:p>
    <w:tbl>
      <w:tblPr>
        <w:tblW w:type="dxa" w:w="5400"/>
        <w:tblBorders>
          <w:top w:val="single" w:color="FFFFFF" w:sz="4"/>
          <w:left w:val="single" w:color="FFFFFF" w:sz="4"/>
          <w:bottom w:val="single" w:color="FFFFFF" w:sz="4"/>
          <w:right w:val="single" w:color="FFFFFF" w:sz="4"/>
          <w:insideH w:val="single" w:color="FFFFFF" w:sz="4"/>
          <w:insideV w:val="single" w:color="FFFFFF" w:sz="4"/>
        </w:tblBorders>
      </w:tblPr>
      <w:tblGrid>
        <w:gridCol w:w="2600"/>
        <w:gridCol w:w="200"/>
        <w:gridCol w:w="2600"/>
      </w:tblGrid>
      <w:tr>
        <w:tc>
          <w:tcPr>
            <w:tcW w:type="dxa" w:w="2600"/>
            <w:tcBorders>
              <w:top w:val="single" w:color="16223C" w:sz="4"/>
              <w:left w:val="single" w:color="16223C" w:sz="4"/>
              <w:bottom w:val="single" w:color="16223C" w:sz="4"/>
              <w:right w:val="single" w:color="16223C" w:sz="4"/>
            </w:tcBorders>
            <w:shd w:fill="16223C" w:color="auto" w:val="clear"/>
            <w:tcMar>
              <w:top w:type="dxa" w:w="90"/>
              <w:left w:type="dxa" w:w="160"/>
              <w:bottom w:type="dxa" w:w="90"/>
              <w:right w:type="dxa" w:w="160"/>
            </w:tcMar>
          </w:tcPr>
          <w:p>
            <w:pPr>
              <w:jc w:val="center"/>
            </w:pPr>
            <w:r>
              <w:rPr>
                <w:rFonts w:ascii="Consolas" w:cs="Consolas" w:eastAsia="Consolas" w:hAnsi="Consolas"/>
                <w:b/>
                <w:bCs/>
                <w:color w:val="FFFFFF"/>
                <w:sz w:val="18"/>
                <w:szCs w:val="18"/>
              </w:rPr>
              <w:t xml:space="preserve">Book a demo →</w:t>
            </w:r>
          </w:p>
        </w:tc>
        <w:tc>
          <w:tcPr>
            <w:tcW w:type="dxa" w:w="200"/>
            <w:tcBorders>
              <w:top w:val="single" w:color="FFFFFF" w:sz="4"/>
              <w:left w:val="single" w:color="FFFFFF" w:sz="4"/>
              <w:bottom w:val="single" w:color="FFFFFF" w:sz="4"/>
              <w:right w:val="single" w:color="FFFFFF" w:sz="4"/>
            </w:tcBorders>
          </w:tcPr>
          <w:p>
            <w:r>
              <w:t xml:space="preserve"/>
            </w:r>
          </w:p>
        </w:tc>
        <w:tc>
          <w:tcPr>
            <w:tcW w:type="dxa" w:w="2600"/>
            <w:tcBorders>
              <w:top w:val="single" w:color="16223C" w:sz="4"/>
              <w:left w:val="single" w:color="16223C" w:sz="4"/>
              <w:bottom w:val="single" w:color="16223C" w:sz="4"/>
              <w:right w:val="single" w:color="16223C" w:sz="4"/>
            </w:tcBorders>
            <w:shd w:fill="FFFFFF" w:color="auto" w:val="clear"/>
            <w:tcMar>
              <w:top w:type="dxa" w:w="90"/>
              <w:left w:type="dxa" w:w="160"/>
              <w:bottom w:type="dxa" w:w="90"/>
              <w:right w:type="dxa" w:w="160"/>
            </w:tcMar>
          </w:tcPr>
          <w:p>
            <w:pPr>
              <w:jc w:val="center"/>
            </w:pPr>
            <w:r>
              <w:rPr>
                <w:rFonts w:ascii="Consolas" w:cs="Consolas" w:eastAsia="Consolas" w:hAnsi="Consolas"/>
                <w:b/>
                <w:bCs/>
                <w:color w:val="16223C"/>
                <w:sz w:val="18"/>
                <w:szCs w:val="18"/>
              </w:rPr>
              <w:t xml:space="preserve">Hear a live call ▶</w:t>
            </w:r>
          </w:p>
        </w:tc>
      </w:tr>
    </w:tbl>
    <w:p>
      <w:pPr>
        <w:spacing w:after="0"/>
      </w:pPr>
      <w:r>
        <w:rPr>
          <w:rFonts w:ascii="Calibri" w:cs="Calibri" w:eastAsia="Calibri" w:hAnsi="Calibri"/>
          <w:b w:val="false"/>
          <w:bCs w:val="false"/>
          <w:i w:val="false"/>
          <w:iCs w:val="false"/>
          <w:color w:val="5A6675"/>
          <w:sz w:val="17"/>
          <w:szCs w:val="17"/>
        </w:rPr>
        <w:t xml:space="preserve">A working session with the team that builds the platform, not a scripted demo.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fb8615afe6d827b974ffceda62f3ab96988e2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2026-09-04T07:14:11.763Z</dcterms:created>
  <dcterms:modified xsi:type="dcterms:W3CDTF">2026-09-04T07:14:11.774Z</dcterms:modified>
</cp:coreProperties>
</file>

<file path=docProps/custom.xml><?xml version="1.0" encoding="utf-8"?>
<Properties xmlns="http://schemas.openxmlformats.org/officeDocument/2006/custom-properties" xmlns:vt="http://schemas.openxmlformats.org/officeDocument/2006/docPropsVTypes"/>
</file>