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0C8577"/>
          <w:sz w:val="26"/>
          <w:szCs w:val="26"/>
        </w:rPr>
        <w:t xml:space="preserve">TRILLET</w:t>
      </w:r>
      <w:r>
        <w:rPr>
          <w:color w:val="52646A"/>
          <w:sz w:val="22"/>
          <w:szCs w:val="22"/>
        </w:rPr>
        <w:t xml:space="preserve">  ·  Off-Page SEO</w:t>
      </w:r>
    </w:p>
    <w:p>
      <w:pPr>
        <w:pStyle w:val="Title"/>
        <w:spacing w:after="60"/>
      </w:pPr>
      <w:r>
        <w:rPr>
          <w:color w:val="0E1B22"/>
        </w:rPr>
        <w:t xml:space="preserve">Directory &amp; Marketplace Submission Kit</w:t>
      </w:r>
    </w:p>
    <w:p>
      <w:pPr>
        <w:spacing w:after="120" w:line="276"/>
      </w:pPr>
      <w:r>
        <w:rPr>
          <w:color w:val="52646A"/>
        </w:rPr>
        <w:t xml:space="preserve">A canonical set of company details and ready-to-paste descriptions at the character limits directories impose, plus categories, assets, and submission best-practices. Use it to keep every marketplace and directory listing consistent.</w:t>
      </w:r>
    </w:p>
    <w:p>
      <w:pPr>
        <w:spacing w:after="120" w:line="276"/>
      </w:pPr>
      <w:r>
        <w:rPr>
          <w:b/>
          <w:bCs/>
        </w:rPr>
        <w:t xml:space="preserve">Prepared for: </w:t>
      </w:r>
      <w:r>
        <w:t xml:space="preserve">Trillet marketing / growth  ·  </w:t>
      </w:r>
      <w:r>
        <w:rPr>
          <w:b/>
          <w:bCs/>
        </w:rPr>
        <w:t xml:space="preserve">Owner email: </w:t>
      </w:r>
      <w:r>
        <w:t xml:space="preserve">agrawalnisha.096@gmail.com</w:t>
      </w:r>
    </w:p>
    <w:p>
      <w:pPr>
        <w:pBdr>
          <w:left w:val="single" w:color="0C8577" w:sz="18" w:space="8"/>
        </w:pBdr>
        <w:shd w:fill="F2F5F5" w:color="auto" w:val="clear"/>
        <w:spacing w:after="140" w:before="60" w:line="264"/>
      </w:pPr>
      <w:r>
        <w:rPr>
          <w:b/>
          <w:bCs/>
          <w:color w:val="0C8577"/>
        </w:rPr>
        <w:t xml:space="preserve">WHY THIS MATTERS  </w:t>
      </w:r>
      <w:r>
        <w:t xml:space="preserve">The earlier SEO audit found little or no presence on G2, Capterra, TrustRadius, Product Hunt, or Crunchbase, and thin third-party citations overall. Consistent directory and marketplace listings build backlinks, trust signals, and the third-party sources AI answer engines cite. Consistency of the details below (identical name, address, and descriptions everywhere) is what makes them count.</w:t>
      </w:r>
    </w:p>
    <w:p>
      <w:pPr>
        <w:pBdr>
          <w:left w:val="single" w:color="0C8577" w:sz="18" w:space="8"/>
        </w:pBdr>
        <w:shd w:fill="D6ECE7" w:color="auto" w:val="clear"/>
        <w:spacing w:after="140" w:before="60" w:line="264"/>
      </w:pPr>
      <w:r>
        <w:rPr>
          <w:b/>
          <w:bCs/>
          <w:color w:val="0C8577"/>
        </w:rPr>
        <w:t xml:space="preserve">LEGEND  </w:t>
      </w:r>
      <w:r>
        <w:t xml:space="preserve">CONFIRM = a detail Trillet must supply or verify before submitting.  ASSET = a file to attach.</w:t>
      </w:r>
    </w:p>
    <w:p>
      <w:pPr>
        <w:pStyle w:val="Heading1"/>
        <w:spacing w:after="140" w:before="320"/>
      </w:pPr>
      <w:r>
        <w:rPr>
          <w:color w:val="0E1B22"/>
        </w:rPr>
        <w:t xml:space="preserve">1 · Canonical company profile (single source of truth)</w:t>
      </w:r>
    </w:p>
    <w:p>
      <w:pPr>
        <w:spacing w:after="120" w:line="276"/>
      </w:pPr>
      <w:r>
        <w:t xml:space="preserve">Use these exact values on every listing. Directory SEO rewards consistency: the same legal name, address, and URL across sites is read as one trusted entity. Copy from here, do not re-type.</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600"/>
        <w:gridCol w:w="6600"/>
      </w:tblGrid>
      <w:tr>
        <w:trPr>
          <w:tblHeader/>
        </w:trPr>
        <w:tc>
          <w:tcPr>
            <w:tcW w:type="dxa" w:w="2600"/>
            <w:shd w:fill="0E1B22" w:color="auto" w:val="clear"/>
            <w:tcMar>
              <w:top w:type="dxa" w:w="60"/>
              <w:left w:type="dxa" w:w="100"/>
              <w:bottom w:type="dxa" w:w="60"/>
              <w:right w:type="dxa" w:w="100"/>
            </w:tcMar>
          </w:tcPr>
          <w:p>
            <w:r>
              <w:rPr>
                <w:b/>
                <w:bCs/>
                <w:color w:val="FFFFFF"/>
                <w:sz w:val="17"/>
                <w:szCs w:val="17"/>
              </w:rPr>
              <w:t xml:space="preserve">Field</w:t>
            </w:r>
          </w:p>
        </w:tc>
        <w:tc>
          <w:tcPr>
            <w:tcW w:type="dxa" w:w="6600"/>
            <w:shd w:fill="0E1B22" w:color="auto" w:val="clear"/>
            <w:tcMar>
              <w:top w:type="dxa" w:w="60"/>
              <w:left w:type="dxa" w:w="100"/>
              <w:bottom w:type="dxa" w:w="60"/>
              <w:right w:type="dxa" w:w="100"/>
            </w:tcMar>
          </w:tcPr>
          <w:p>
            <w:r>
              <w:rPr>
                <w:b/>
                <w:bCs/>
                <w:color w:val="FFFFFF"/>
                <w:sz w:val="17"/>
                <w:szCs w:val="17"/>
              </w:rPr>
              <w:t xml:space="preserve">Value</w:t>
            </w:r>
          </w:p>
        </w:tc>
      </w:tr>
      <w:tr>
        <w:tc>
          <w:tcPr>
            <w:tcW w:type="dxa" w:w="2600"/>
            <w:tcMar>
              <w:top w:type="dxa" w:w="50"/>
              <w:left w:type="dxa" w:w="100"/>
              <w:bottom w:type="dxa" w:w="50"/>
              <w:right w:type="dxa" w:w="100"/>
            </w:tcMar>
          </w:tcPr>
          <w:p>
            <w:pPr>
              <w:spacing w:line="250"/>
            </w:pPr>
            <w:r>
              <w:rPr>
                <w:sz w:val="18"/>
                <w:szCs w:val="18"/>
              </w:rPr>
              <w:t xml:space="preserve">Brand name</w:t>
            </w:r>
          </w:p>
        </w:tc>
        <w:tc>
          <w:tcPr>
            <w:tcW w:type="dxa" w:w="6600"/>
            <w:tcMar>
              <w:top w:type="dxa" w:w="50"/>
              <w:left w:type="dxa" w:w="100"/>
              <w:bottom w:type="dxa" w:w="50"/>
              <w:right w:type="dxa" w:w="100"/>
            </w:tcMar>
          </w:tcPr>
          <w:p>
            <w:pPr>
              <w:spacing w:line="250"/>
            </w:pPr>
            <w:r>
              <w:rPr>
                <w:sz w:val="18"/>
                <w:szCs w:val="18"/>
              </w:rPr>
              <w:t xml:space="preserve">Trillet</w:t>
            </w:r>
          </w:p>
        </w:tc>
      </w:tr>
      <w:tr>
        <w:tc>
          <w:tcPr>
            <w:tcW w:type="dxa" w:w="2600"/>
            <w:tcMar>
              <w:top w:type="dxa" w:w="50"/>
              <w:left w:type="dxa" w:w="100"/>
              <w:bottom w:type="dxa" w:w="50"/>
              <w:right w:type="dxa" w:w="100"/>
            </w:tcMar>
          </w:tcPr>
          <w:p>
            <w:pPr>
              <w:spacing w:line="250"/>
            </w:pPr>
            <w:r>
              <w:rPr>
                <w:sz w:val="18"/>
                <w:szCs w:val="18"/>
              </w:rPr>
              <w:t xml:space="preserve">Also known as</w:t>
            </w:r>
          </w:p>
        </w:tc>
        <w:tc>
          <w:tcPr>
            <w:tcW w:type="dxa" w:w="6600"/>
            <w:tcMar>
              <w:top w:type="dxa" w:w="50"/>
              <w:left w:type="dxa" w:w="100"/>
              <w:bottom w:type="dxa" w:w="50"/>
              <w:right w:type="dxa" w:w="100"/>
            </w:tcMar>
          </w:tcPr>
          <w:p>
            <w:pPr>
              <w:spacing w:line="250"/>
            </w:pPr>
            <w:r>
              <w:rPr>
                <w:sz w:val="18"/>
                <w:szCs w:val="18"/>
              </w:rPr>
              <w:t xml:space="preserve">Trillet AI</w:t>
            </w:r>
          </w:p>
        </w:tc>
      </w:tr>
      <w:tr>
        <w:tc>
          <w:tcPr>
            <w:tcW w:type="dxa" w:w="2600"/>
            <w:tcMar>
              <w:top w:type="dxa" w:w="50"/>
              <w:left w:type="dxa" w:w="100"/>
              <w:bottom w:type="dxa" w:w="50"/>
              <w:right w:type="dxa" w:w="100"/>
            </w:tcMar>
          </w:tcPr>
          <w:p>
            <w:pPr>
              <w:spacing w:line="250"/>
            </w:pPr>
            <w:r>
              <w:rPr>
                <w:sz w:val="18"/>
                <w:szCs w:val="18"/>
              </w:rPr>
              <w:t xml:space="preserve">Website (canonical)</w:t>
            </w:r>
          </w:p>
        </w:tc>
        <w:tc>
          <w:tcPr>
            <w:tcW w:type="dxa" w:w="6600"/>
            <w:tcMar>
              <w:top w:type="dxa" w:w="50"/>
              <w:left w:type="dxa" w:w="100"/>
              <w:bottom w:type="dxa" w:w="50"/>
              <w:right w:type="dxa" w:w="100"/>
            </w:tcMar>
          </w:tcPr>
          <w:p>
            <w:pPr>
              <w:spacing w:line="250"/>
            </w:pPr>
            <w:r>
              <w:rPr>
                <w:sz w:val="18"/>
                <w:szCs w:val="18"/>
              </w:rPr>
              <w:t xml:space="preserve">https://www.trillet.ai</w:t>
            </w:r>
          </w:p>
        </w:tc>
      </w:tr>
      <w:tr>
        <w:tc>
          <w:tcPr>
            <w:tcW w:type="dxa" w:w="2600"/>
            <w:tcMar>
              <w:top w:type="dxa" w:w="50"/>
              <w:left w:type="dxa" w:w="100"/>
              <w:bottom w:type="dxa" w:w="50"/>
              <w:right w:type="dxa" w:w="100"/>
            </w:tcMar>
          </w:tcPr>
          <w:p>
            <w:pPr>
              <w:spacing w:line="250"/>
            </w:pPr>
            <w:r>
              <w:rPr>
                <w:sz w:val="18"/>
                <w:szCs w:val="18"/>
              </w:rPr>
              <w:t xml:space="preserve">Tagline (primary)</w:t>
            </w:r>
          </w:p>
        </w:tc>
        <w:tc>
          <w:tcPr>
            <w:tcW w:type="dxa" w:w="6600"/>
            <w:tcMar>
              <w:top w:type="dxa" w:w="50"/>
              <w:left w:type="dxa" w:w="100"/>
              <w:bottom w:type="dxa" w:w="50"/>
              <w:right w:type="dxa" w:w="100"/>
            </w:tcMar>
          </w:tcPr>
          <w:p>
            <w:pPr>
              <w:spacing w:line="250"/>
            </w:pPr>
            <w:r>
              <w:rPr>
                <w:sz w:val="18"/>
                <w:szCs w:val="18"/>
              </w:rPr>
              <w:t xml:space="preserve">Enterprise voice AI agents for high-stakes conversations</w:t>
            </w:r>
          </w:p>
        </w:tc>
      </w:tr>
      <w:tr>
        <w:tc>
          <w:tcPr>
            <w:tcW w:type="dxa" w:w="2600"/>
            <w:tcMar>
              <w:top w:type="dxa" w:w="50"/>
              <w:left w:type="dxa" w:w="100"/>
              <w:bottom w:type="dxa" w:w="50"/>
              <w:right w:type="dxa" w:w="100"/>
            </w:tcMar>
          </w:tcPr>
          <w:p>
            <w:pPr>
              <w:spacing w:line="250"/>
            </w:pPr>
            <w:r>
              <w:rPr>
                <w:sz w:val="18"/>
                <w:szCs w:val="18"/>
              </w:rPr>
              <w:t xml:space="preserve">Founded</w:t>
            </w:r>
          </w:p>
        </w:tc>
        <w:tc>
          <w:tcPr>
            <w:tcW w:type="dxa" w:w="6600"/>
            <w:tcMar>
              <w:top w:type="dxa" w:w="50"/>
              <w:left w:type="dxa" w:w="100"/>
              <w:bottom w:type="dxa" w:w="50"/>
              <w:right w:type="dxa" w:w="100"/>
            </w:tcMar>
          </w:tcPr>
          <w:p>
            <w:pPr>
              <w:spacing w:line="250"/>
            </w:pPr>
            <w:r>
              <w:rPr>
                <w:sz w:val="18"/>
                <w:szCs w:val="18"/>
              </w:rPr>
              <w:t xml:space="preserve">2024</w:t>
            </w:r>
          </w:p>
        </w:tc>
      </w:tr>
      <w:tr>
        <w:tc>
          <w:tcPr>
            <w:tcW w:type="dxa" w:w="2600"/>
            <w:tcMar>
              <w:top w:type="dxa" w:w="50"/>
              <w:left w:type="dxa" w:w="100"/>
              <w:bottom w:type="dxa" w:w="50"/>
              <w:right w:type="dxa" w:w="100"/>
            </w:tcMar>
          </w:tcPr>
          <w:p>
            <w:pPr>
              <w:spacing w:line="250"/>
            </w:pPr>
            <w:r>
              <w:rPr>
                <w:sz w:val="18"/>
                <w:szCs w:val="18"/>
              </w:rPr>
              <w:t xml:space="preserve">Headquarters</w:t>
            </w:r>
          </w:p>
        </w:tc>
        <w:tc>
          <w:tcPr>
            <w:tcW w:type="dxa" w:w="6600"/>
            <w:tcMar>
              <w:top w:type="dxa" w:w="50"/>
              <w:left w:type="dxa" w:w="100"/>
              <w:bottom w:type="dxa" w:w="50"/>
              <w:right w:type="dxa" w:w="100"/>
            </w:tcMar>
          </w:tcPr>
          <w:p>
            <w:pPr>
              <w:spacing w:line="250"/>
            </w:pPr>
            <w:r>
              <w:rPr>
                <w:sz w:val="18"/>
                <w:szCs w:val="18"/>
              </w:rPr>
              <w:t xml:space="preserve">The Commons Cremorne, 10-20 Gwynne St, Cremorne VIC 3121, Australia</w:t>
            </w:r>
          </w:p>
        </w:tc>
      </w:tr>
      <w:tr>
        <w:tc>
          <w:tcPr>
            <w:tcW w:type="dxa" w:w="2600"/>
            <w:tcMar>
              <w:top w:type="dxa" w:w="50"/>
              <w:left w:type="dxa" w:w="100"/>
              <w:bottom w:type="dxa" w:w="50"/>
              <w:right w:type="dxa" w:w="100"/>
            </w:tcMar>
          </w:tcPr>
          <w:p>
            <w:pPr>
              <w:spacing w:line="250"/>
            </w:pPr>
            <w:r>
              <w:rPr>
                <w:sz w:val="18"/>
                <w:szCs w:val="18"/>
              </w:rPr>
              <w:t xml:space="preserve">Country / region</w:t>
            </w:r>
          </w:p>
        </w:tc>
        <w:tc>
          <w:tcPr>
            <w:tcW w:type="dxa" w:w="6600"/>
            <w:tcMar>
              <w:top w:type="dxa" w:w="50"/>
              <w:left w:type="dxa" w:w="100"/>
              <w:bottom w:type="dxa" w:w="50"/>
              <w:right w:type="dxa" w:w="100"/>
            </w:tcMar>
          </w:tcPr>
          <w:p>
            <w:pPr>
              <w:spacing w:line="250"/>
            </w:pPr>
            <w:r>
              <w:rPr>
                <w:sz w:val="18"/>
                <w:szCs w:val="18"/>
              </w:rPr>
              <w:t xml:space="preserve">Australia (globally operated)</w:t>
            </w:r>
          </w:p>
        </w:tc>
      </w:tr>
      <w:tr>
        <w:tc>
          <w:tcPr>
            <w:tcW w:type="dxa" w:w="2600"/>
            <w:tcMar>
              <w:top w:type="dxa" w:w="50"/>
              <w:left w:type="dxa" w:w="100"/>
              <w:bottom w:type="dxa" w:w="50"/>
              <w:right w:type="dxa" w:w="100"/>
            </w:tcMar>
          </w:tcPr>
          <w:p>
            <w:pPr>
              <w:spacing w:line="250"/>
            </w:pPr>
            <w:r>
              <w:rPr>
                <w:sz w:val="18"/>
                <w:szCs w:val="18"/>
              </w:rPr>
              <w:t xml:space="preserve">Company size</w:t>
            </w:r>
          </w:p>
        </w:tc>
        <w:tc>
          <w:tcPr>
            <w:tcW w:type="dxa" w:w="6600"/>
            <w:tcMar>
              <w:top w:type="dxa" w:w="50"/>
              <w:left w:type="dxa" w:w="100"/>
              <w:bottom w:type="dxa" w:w="50"/>
              <w:right w:type="dxa" w:w="100"/>
            </w:tcMar>
          </w:tcPr>
          <w:p>
            <w:pPr>
              <w:spacing w:line="250"/>
            </w:pPr>
            <w:r>
              <w:t xml:space="preserve">11-50 employees  </w:t>
            </w:r>
            <w:r>
              <w:rPr>
                <w:b/>
                <w:bCs/>
                <w:color w:val="0C8577"/>
                <w:sz w:val="16"/>
                <w:szCs w:val="16"/>
              </w:rPr>
              <w:t xml:space="preserve">CONFIRM exact band</w:t>
            </w:r>
          </w:p>
        </w:tc>
      </w:tr>
      <w:tr>
        <w:tc>
          <w:tcPr>
            <w:tcW w:type="dxa" w:w="2600"/>
            <w:tcMar>
              <w:top w:type="dxa" w:w="50"/>
              <w:left w:type="dxa" w:w="100"/>
              <w:bottom w:type="dxa" w:w="50"/>
              <w:right w:type="dxa" w:w="100"/>
            </w:tcMar>
          </w:tcPr>
          <w:p>
            <w:pPr>
              <w:spacing w:line="250"/>
            </w:pPr>
            <w:r>
              <w:rPr>
                <w:sz w:val="18"/>
                <w:szCs w:val="18"/>
              </w:rPr>
              <w:t xml:space="preserve">Primary category</w:t>
            </w:r>
          </w:p>
        </w:tc>
        <w:tc>
          <w:tcPr>
            <w:tcW w:type="dxa" w:w="6600"/>
            <w:tcMar>
              <w:top w:type="dxa" w:w="50"/>
              <w:left w:type="dxa" w:w="100"/>
              <w:bottom w:type="dxa" w:w="50"/>
              <w:right w:type="dxa" w:w="100"/>
            </w:tcMar>
          </w:tcPr>
          <w:p>
            <w:pPr>
              <w:spacing w:line="250"/>
            </w:pPr>
            <w:r>
              <w:rPr>
                <w:sz w:val="18"/>
                <w:szCs w:val="18"/>
              </w:rPr>
              <w:t xml:space="preserve">Conversational AI / Voice AI</w:t>
            </w:r>
          </w:p>
        </w:tc>
      </w:tr>
      <w:tr>
        <w:tc>
          <w:tcPr>
            <w:tcW w:type="dxa" w:w="2600"/>
            <w:tcMar>
              <w:top w:type="dxa" w:w="50"/>
              <w:left w:type="dxa" w:w="100"/>
              <w:bottom w:type="dxa" w:w="50"/>
              <w:right w:type="dxa" w:w="100"/>
            </w:tcMar>
          </w:tcPr>
          <w:p>
            <w:pPr>
              <w:spacing w:line="250"/>
            </w:pPr>
            <w:r>
              <w:rPr>
                <w:sz w:val="18"/>
                <w:szCs w:val="18"/>
              </w:rPr>
              <w:t xml:space="preserve">Pricing model</w:t>
            </w:r>
          </w:p>
        </w:tc>
        <w:tc>
          <w:tcPr>
            <w:tcW w:type="dxa" w:w="6600"/>
            <w:tcMar>
              <w:top w:type="dxa" w:w="50"/>
              <w:left w:type="dxa" w:w="100"/>
              <w:bottom w:type="dxa" w:w="50"/>
              <w:right w:type="dxa" w:w="100"/>
            </w:tcMar>
          </w:tcPr>
          <w:p>
            <w:pPr>
              <w:spacing w:line="250"/>
            </w:pPr>
            <w:r>
              <w:t xml:space="preserve">Subscription (SaaS); plans plus enterprise.  </w:t>
            </w:r>
            <w:r>
              <w:rPr>
                <w:b/>
                <w:bCs/>
                <w:color w:val="0C8577"/>
                <w:sz w:val="16"/>
                <w:szCs w:val="16"/>
              </w:rPr>
              <w:t xml:space="preserve">CONFIRM tiers &amp; entry price</w:t>
            </w:r>
          </w:p>
        </w:tc>
      </w:tr>
      <w:tr>
        <w:tc>
          <w:tcPr>
            <w:tcW w:type="dxa" w:w="2600"/>
            <w:tcMar>
              <w:top w:type="dxa" w:w="50"/>
              <w:left w:type="dxa" w:w="100"/>
              <w:bottom w:type="dxa" w:w="50"/>
              <w:right w:type="dxa" w:w="100"/>
            </w:tcMar>
          </w:tcPr>
          <w:p>
            <w:pPr>
              <w:spacing w:line="250"/>
            </w:pPr>
            <w:r>
              <w:rPr>
                <w:sz w:val="18"/>
                <w:szCs w:val="18"/>
              </w:rPr>
              <w:t xml:space="preserve">Free trial / demo</w:t>
            </w:r>
          </w:p>
        </w:tc>
        <w:tc>
          <w:tcPr>
            <w:tcW w:type="dxa" w:w="6600"/>
            <w:tcMar>
              <w:top w:type="dxa" w:w="50"/>
              <w:left w:type="dxa" w:w="100"/>
              <w:bottom w:type="dxa" w:w="50"/>
              <w:right w:type="dxa" w:w="100"/>
            </w:tcMar>
          </w:tcPr>
          <w:p>
            <w:pPr>
              <w:spacing w:line="250"/>
            </w:pPr>
            <w:r>
              <w:t xml:space="preserve">Book-a-demo.  </w:t>
            </w:r>
            <w:r>
              <w:rPr>
                <w:b/>
                <w:bCs/>
                <w:color w:val="0C8577"/>
                <w:sz w:val="16"/>
                <w:szCs w:val="16"/>
              </w:rPr>
              <w:t xml:space="preserve">CONFIRM free trial availability</w:t>
            </w:r>
          </w:p>
        </w:tc>
      </w:tr>
      <w:tr>
        <w:tc>
          <w:tcPr>
            <w:tcW w:type="dxa" w:w="2600"/>
            <w:tcMar>
              <w:top w:type="dxa" w:w="50"/>
              <w:left w:type="dxa" w:w="100"/>
              <w:bottom w:type="dxa" w:w="50"/>
              <w:right w:type="dxa" w:w="100"/>
            </w:tcMar>
          </w:tcPr>
          <w:p>
            <w:pPr>
              <w:spacing w:line="250"/>
            </w:pPr>
            <w:r>
              <w:rPr>
                <w:sz w:val="18"/>
                <w:szCs w:val="18"/>
              </w:rPr>
              <w:t xml:space="preserve">Listing contact email</w:t>
            </w:r>
          </w:p>
        </w:tc>
        <w:tc>
          <w:tcPr>
            <w:tcW w:type="dxa" w:w="6600"/>
            <w:tcMar>
              <w:top w:type="dxa" w:w="50"/>
              <w:left w:type="dxa" w:w="100"/>
              <w:bottom w:type="dxa" w:w="50"/>
              <w:right w:type="dxa" w:w="100"/>
            </w:tcMar>
          </w:tcPr>
          <w:p>
            <w:pPr>
              <w:spacing w:line="250"/>
            </w:pPr>
            <w:r>
              <w:rPr>
                <w:b/>
                <w:bCs/>
                <w:color w:val="0C8577"/>
                <w:sz w:val="16"/>
                <w:szCs w:val="16"/>
              </w:rPr>
              <w:t xml:space="preserve">CONFIRM</w:t>
            </w:r>
            <w:r>
              <w:t xml:space="preserve">  (e.g. hello@trillet.ai or marketing@trillet.ai)</w:t>
            </w:r>
          </w:p>
        </w:tc>
      </w:tr>
      <w:tr>
        <w:tc>
          <w:tcPr>
            <w:tcW w:type="dxa" w:w="2600"/>
            <w:tcMar>
              <w:top w:type="dxa" w:w="50"/>
              <w:left w:type="dxa" w:w="100"/>
              <w:bottom w:type="dxa" w:w="50"/>
              <w:right w:type="dxa" w:w="100"/>
            </w:tcMar>
          </w:tcPr>
          <w:p>
            <w:pPr>
              <w:spacing w:line="250"/>
            </w:pPr>
            <w:r>
              <w:rPr>
                <w:sz w:val="18"/>
                <w:szCs w:val="18"/>
              </w:rPr>
              <w:t xml:space="preserve">Phone (for local citations)</w:t>
            </w:r>
          </w:p>
        </w:tc>
        <w:tc>
          <w:tcPr>
            <w:tcW w:type="dxa" w:w="6600"/>
            <w:tcMar>
              <w:top w:type="dxa" w:w="50"/>
              <w:left w:type="dxa" w:w="100"/>
              <w:bottom w:type="dxa" w:w="50"/>
              <w:right w:type="dxa" w:w="100"/>
            </w:tcMar>
          </w:tcPr>
          <w:p>
            <w:pPr>
              <w:spacing w:line="250"/>
            </w:pPr>
            <w:r>
              <w:rPr>
                <w:b/>
                <w:bCs/>
                <w:color w:val="0C8577"/>
                <w:sz w:val="16"/>
                <w:szCs w:val="16"/>
              </w:rPr>
              <w:t xml:space="preserve">CONFIRM</w:t>
            </w:r>
          </w:p>
        </w:tc>
      </w:tr>
      <w:tr>
        <w:tc>
          <w:tcPr>
            <w:tcW w:type="dxa" w:w="2600"/>
            <w:tcMar>
              <w:top w:type="dxa" w:w="50"/>
              <w:left w:type="dxa" w:w="100"/>
              <w:bottom w:type="dxa" w:w="50"/>
              <w:right w:type="dxa" w:w="100"/>
            </w:tcMar>
          </w:tcPr>
          <w:p>
            <w:pPr>
              <w:spacing w:line="250"/>
            </w:pPr>
            <w:r>
              <w:rPr>
                <w:sz w:val="18"/>
                <w:szCs w:val="18"/>
              </w:rPr>
              <w:t xml:space="preserve">Year / HQ for Crunchbase</w:t>
            </w:r>
          </w:p>
        </w:tc>
        <w:tc>
          <w:tcPr>
            <w:tcW w:type="dxa" w:w="6600"/>
            <w:tcMar>
              <w:top w:type="dxa" w:w="50"/>
              <w:left w:type="dxa" w:w="100"/>
              <w:bottom w:type="dxa" w:w="50"/>
              <w:right w:type="dxa" w:w="100"/>
            </w:tcMar>
          </w:tcPr>
          <w:p>
            <w:pPr>
              <w:spacing w:line="250"/>
            </w:pPr>
            <w:r>
              <w:rPr>
                <w:sz w:val="18"/>
                <w:szCs w:val="18"/>
              </w:rPr>
              <w:t xml:space="preserve">2024 · Melbourne, Victoria, Australia</w:t>
            </w:r>
          </w:p>
        </w:tc>
      </w:tr>
    </w:tbl>
    <w:p>
      <w:pPr>
        <w:pStyle w:val="Heading3"/>
        <w:spacing w:after="70" w:before="170"/>
      </w:pPr>
      <w:r>
        <w:rPr>
          <w:color w:val="0C8577"/>
        </w:rPr>
        <w:t xml:space="preserve">Leadership (for people fields on Crunchbase, PitchBook, etc.)</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3000"/>
        <w:gridCol w:w="6200"/>
      </w:tblGrid>
      <w:tr>
        <w:trPr>
          <w:tblHeader/>
        </w:trPr>
        <w:tc>
          <w:tcPr>
            <w:tcW w:type="dxa" w:w="3000"/>
            <w:shd w:fill="0E1B22" w:color="auto" w:val="clear"/>
            <w:tcMar>
              <w:top w:type="dxa" w:w="60"/>
              <w:left w:type="dxa" w:w="100"/>
              <w:bottom w:type="dxa" w:w="60"/>
              <w:right w:type="dxa" w:w="100"/>
            </w:tcMar>
          </w:tcPr>
          <w:p>
            <w:r>
              <w:rPr>
                <w:b/>
                <w:bCs/>
                <w:color w:val="FFFFFF"/>
                <w:sz w:val="17"/>
                <w:szCs w:val="17"/>
              </w:rPr>
              <w:t xml:space="preserve">Person</w:t>
            </w:r>
          </w:p>
        </w:tc>
        <w:tc>
          <w:tcPr>
            <w:tcW w:type="dxa" w:w="6200"/>
            <w:shd w:fill="0E1B22" w:color="auto" w:val="clear"/>
            <w:tcMar>
              <w:top w:type="dxa" w:w="60"/>
              <w:left w:type="dxa" w:w="100"/>
              <w:bottom w:type="dxa" w:w="60"/>
              <w:right w:type="dxa" w:w="100"/>
            </w:tcMar>
          </w:tcPr>
          <w:p>
            <w:r>
              <w:rPr>
                <w:b/>
                <w:bCs/>
                <w:color w:val="FFFFFF"/>
                <w:sz w:val="17"/>
                <w:szCs w:val="17"/>
              </w:rPr>
              <w:t xml:space="preserve">Role</w:t>
            </w:r>
          </w:p>
        </w:tc>
      </w:tr>
      <w:tr>
        <w:tc>
          <w:tcPr>
            <w:tcW w:type="dxa" w:w="3000"/>
            <w:tcMar>
              <w:top w:type="dxa" w:w="50"/>
              <w:left w:type="dxa" w:w="100"/>
              <w:bottom w:type="dxa" w:w="50"/>
              <w:right w:type="dxa" w:w="100"/>
            </w:tcMar>
          </w:tcPr>
          <w:p>
            <w:pPr>
              <w:spacing w:line="250"/>
            </w:pPr>
            <w:r>
              <w:rPr>
                <w:sz w:val="18"/>
                <w:szCs w:val="18"/>
              </w:rPr>
              <w:t xml:space="preserve">Rob Petreski</w:t>
            </w:r>
          </w:p>
        </w:tc>
        <w:tc>
          <w:tcPr>
            <w:tcW w:type="dxa" w:w="6200"/>
            <w:tcMar>
              <w:top w:type="dxa" w:w="50"/>
              <w:left w:type="dxa" w:w="100"/>
              <w:bottom w:type="dxa" w:w="50"/>
              <w:right w:type="dxa" w:w="100"/>
            </w:tcMar>
          </w:tcPr>
          <w:p>
            <w:pPr>
              <w:spacing w:line="250"/>
            </w:pPr>
            <w:r>
              <w:rPr>
                <w:sz w:val="18"/>
                <w:szCs w:val="18"/>
              </w:rPr>
              <w:t xml:space="preserve">Chief Executive Officer</w:t>
            </w:r>
          </w:p>
        </w:tc>
      </w:tr>
      <w:tr>
        <w:tc>
          <w:tcPr>
            <w:tcW w:type="dxa" w:w="3000"/>
            <w:tcMar>
              <w:top w:type="dxa" w:w="50"/>
              <w:left w:type="dxa" w:w="100"/>
              <w:bottom w:type="dxa" w:w="50"/>
              <w:right w:type="dxa" w:w="100"/>
            </w:tcMar>
          </w:tcPr>
          <w:p>
            <w:pPr>
              <w:spacing w:line="250"/>
            </w:pPr>
            <w:r>
              <w:rPr>
                <w:sz w:val="18"/>
                <w:szCs w:val="18"/>
              </w:rPr>
              <w:t xml:space="preserve">Laurence Latin</w:t>
            </w:r>
          </w:p>
        </w:tc>
        <w:tc>
          <w:tcPr>
            <w:tcW w:type="dxa" w:w="6200"/>
            <w:tcMar>
              <w:top w:type="dxa" w:w="50"/>
              <w:left w:type="dxa" w:w="100"/>
              <w:bottom w:type="dxa" w:w="50"/>
              <w:right w:type="dxa" w:w="100"/>
            </w:tcMar>
          </w:tcPr>
          <w:p>
            <w:pPr>
              <w:spacing w:line="250"/>
            </w:pPr>
            <w:r>
              <w:rPr>
                <w:sz w:val="18"/>
                <w:szCs w:val="18"/>
              </w:rPr>
              <w:t xml:space="preserve">Co-Founder &amp; CTO</w:t>
            </w:r>
          </w:p>
        </w:tc>
      </w:tr>
      <w:tr>
        <w:tc>
          <w:tcPr>
            <w:tcW w:type="dxa" w:w="3000"/>
            <w:tcMar>
              <w:top w:type="dxa" w:w="50"/>
              <w:left w:type="dxa" w:w="100"/>
              <w:bottom w:type="dxa" w:w="50"/>
              <w:right w:type="dxa" w:w="100"/>
            </w:tcMar>
          </w:tcPr>
          <w:p>
            <w:pPr>
              <w:spacing w:line="250"/>
            </w:pPr>
            <w:r>
              <w:rPr>
                <w:sz w:val="18"/>
                <w:szCs w:val="18"/>
              </w:rPr>
              <w:t xml:space="preserve">Ming Xu</w:t>
            </w:r>
          </w:p>
        </w:tc>
        <w:tc>
          <w:tcPr>
            <w:tcW w:type="dxa" w:w="6200"/>
            <w:tcMar>
              <w:top w:type="dxa" w:w="50"/>
              <w:left w:type="dxa" w:w="100"/>
              <w:bottom w:type="dxa" w:w="50"/>
              <w:right w:type="dxa" w:w="100"/>
            </w:tcMar>
          </w:tcPr>
          <w:p>
            <w:pPr>
              <w:spacing w:line="250"/>
            </w:pPr>
            <w:r>
              <w:rPr>
                <w:sz w:val="18"/>
                <w:szCs w:val="18"/>
              </w:rPr>
              <w:t xml:space="preserve">Co-Founder &amp; COO</w:t>
            </w:r>
          </w:p>
        </w:tc>
      </w:tr>
    </w:tbl>
    <w:p>
      <w:pPr>
        <w:pStyle w:val="Heading3"/>
        <w:spacing w:after="70" w:before="170"/>
      </w:pPr>
      <w:r>
        <w:rPr>
          <w:color w:val="0C8577"/>
        </w:rPr>
        <w:t xml:space="preserve">Profiles &amp; links (add wherever a listing allows)</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600"/>
        <w:gridCol w:w="6600"/>
      </w:tblGrid>
      <w:tr>
        <w:trPr>
          <w:tblHeader/>
        </w:trPr>
        <w:tc>
          <w:tcPr>
            <w:tcW w:type="dxa" w:w="2600"/>
            <w:shd w:fill="0E1B22" w:color="auto" w:val="clear"/>
            <w:tcMar>
              <w:top w:type="dxa" w:w="60"/>
              <w:left w:type="dxa" w:w="100"/>
              <w:bottom w:type="dxa" w:w="60"/>
              <w:right w:type="dxa" w:w="100"/>
            </w:tcMar>
          </w:tcPr>
          <w:p>
            <w:r>
              <w:rPr>
                <w:b/>
                <w:bCs/>
                <w:color w:val="FFFFFF"/>
                <w:sz w:val="17"/>
                <w:szCs w:val="17"/>
              </w:rPr>
              <w:t xml:space="preserve">Channel</w:t>
            </w:r>
          </w:p>
        </w:tc>
        <w:tc>
          <w:tcPr>
            <w:tcW w:type="dxa" w:w="6600"/>
            <w:shd w:fill="0E1B22" w:color="auto" w:val="clear"/>
            <w:tcMar>
              <w:top w:type="dxa" w:w="60"/>
              <w:left w:type="dxa" w:w="100"/>
              <w:bottom w:type="dxa" w:w="60"/>
              <w:right w:type="dxa" w:w="100"/>
            </w:tcMar>
          </w:tcPr>
          <w:p>
            <w:r>
              <w:rPr>
                <w:b/>
                <w:bCs/>
                <w:color w:val="FFFFFF"/>
                <w:sz w:val="17"/>
                <w:szCs w:val="17"/>
              </w:rPr>
              <w:t xml:space="preserve">URL / handle</w:t>
            </w:r>
          </w:p>
        </w:tc>
      </w:tr>
      <w:tr>
        <w:tc>
          <w:tcPr>
            <w:tcW w:type="dxa" w:w="2600"/>
            <w:tcMar>
              <w:top w:type="dxa" w:w="50"/>
              <w:left w:type="dxa" w:w="100"/>
              <w:bottom w:type="dxa" w:w="50"/>
              <w:right w:type="dxa" w:w="100"/>
            </w:tcMar>
          </w:tcPr>
          <w:p>
            <w:pPr>
              <w:spacing w:line="250"/>
            </w:pPr>
            <w:r>
              <w:rPr>
                <w:sz w:val="18"/>
                <w:szCs w:val="18"/>
              </w:rPr>
              <w:t xml:space="preserve">Website</w:t>
            </w:r>
          </w:p>
        </w:tc>
        <w:tc>
          <w:tcPr>
            <w:tcW w:type="dxa" w:w="6600"/>
            <w:tcMar>
              <w:top w:type="dxa" w:w="50"/>
              <w:left w:type="dxa" w:w="100"/>
              <w:bottom w:type="dxa" w:w="50"/>
              <w:right w:type="dxa" w:w="100"/>
            </w:tcMar>
          </w:tcPr>
          <w:p>
            <w:pPr>
              <w:spacing w:line="250"/>
            </w:pPr>
            <w:r>
              <w:rPr>
                <w:sz w:val="18"/>
                <w:szCs w:val="18"/>
              </w:rPr>
              <w:t xml:space="preserve">https://www.trillet.ai</w:t>
            </w:r>
          </w:p>
        </w:tc>
      </w:tr>
      <w:tr>
        <w:tc>
          <w:tcPr>
            <w:tcW w:type="dxa" w:w="2600"/>
            <w:tcMar>
              <w:top w:type="dxa" w:w="50"/>
              <w:left w:type="dxa" w:w="100"/>
              <w:bottom w:type="dxa" w:w="50"/>
              <w:right w:type="dxa" w:w="100"/>
            </w:tcMar>
          </w:tcPr>
          <w:p>
            <w:pPr>
              <w:spacing w:line="250"/>
            </w:pPr>
            <w:r>
              <w:rPr>
                <w:sz w:val="18"/>
                <w:szCs w:val="18"/>
              </w:rPr>
              <w:t xml:space="preserve">Docs</w:t>
            </w:r>
          </w:p>
        </w:tc>
        <w:tc>
          <w:tcPr>
            <w:tcW w:type="dxa" w:w="6600"/>
            <w:tcMar>
              <w:top w:type="dxa" w:w="50"/>
              <w:left w:type="dxa" w:w="100"/>
              <w:bottom w:type="dxa" w:w="50"/>
              <w:right w:type="dxa" w:w="100"/>
            </w:tcMar>
          </w:tcPr>
          <w:p>
            <w:pPr>
              <w:spacing w:line="250"/>
            </w:pPr>
            <w:r>
              <w:rPr>
                <w:sz w:val="18"/>
                <w:szCs w:val="18"/>
              </w:rPr>
              <w:t xml:space="preserve">https://docs.trillet.ai</w:t>
            </w:r>
          </w:p>
        </w:tc>
      </w:tr>
      <w:tr>
        <w:tc>
          <w:tcPr>
            <w:tcW w:type="dxa" w:w="2600"/>
            <w:tcMar>
              <w:top w:type="dxa" w:w="50"/>
              <w:left w:type="dxa" w:w="100"/>
              <w:bottom w:type="dxa" w:w="50"/>
              <w:right w:type="dxa" w:w="100"/>
            </w:tcMar>
          </w:tcPr>
          <w:p>
            <w:pPr>
              <w:spacing w:line="250"/>
            </w:pPr>
            <w:r>
              <w:rPr>
                <w:sz w:val="18"/>
                <w:szCs w:val="18"/>
              </w:rPr>
              <w:t xml:space="preserve">LinkedIn</w:t>
            </w:r>
          </w:p>
        </w:tc>
        <w:tc>
          <w:tcPr>
            <w:tcW w:type="dxa" w:w="6600"/>
            <w:tcMar>
              <w:top w:type="dxa" w:w="50"/>
              <w:left w:type="dxa" w:w="100"/>
              <w:bottom w:type="dxa" w:w="50"/>
              <w:right w:type="dxa" w:w="100"/>
            </w:tcMar>
          </w:tcPr>
          <w:p>
            <w:pPr>
              <w:spacing w:line="250"/>
            </w:pPr>
            <w:r>
              <w:rPr>
                <w:sz w:val="18"/>
                <w:szCs w:val="18"/>
              </w:rPr>
              <w:t xml:space="preserve">https://www.linkedin.com/company/trillet-ai/</w:t>
            </w:r>
          </w:p>
        </w:tc>
      </w:tr>
      <w:tr>
        <w:tc>
          <w:tcPr>
            <w:tcW w:type="dxa" w:w="2600"/>
            <w:tcMar>
              <w:top w:type="dxa" w:w="50"/>
              <w:left w:type="dxa" w:w="100"/>
              <w:bottom w:type="dxa" w:w="50"/>
              <w:right w:type="dxa" w:w="100"/>
            </w:tcMar>
          </w:tcPr>
          <w:p>
            <w:pPr>
              <w:spacing w:line="250"/>
            </w:pPr>
            <w:r>
              <w:rPr>
                <w:sz w:val="18"/>
                <w:szCs w:val="18"/>
              </w:rPr>
              <w:t xml:space="preserve">Trustpilot</w:t>
            </w:r>
          </w:p>
        </w:tc>
        <w:tc>
          <w:tcPr>
            <w:tcW w:type="dxa" w:w="6600"/>
            <w:tcMar>
              <w:top w:type="dxa" w:w="50"/>
              <w:left w:type="dxa" w:w="100"/>
              <w:bottom w:type="dxa" w:w="50"/>
              <w:right w:type="dxa" w:w="100"/>
            </w:tcMar>
          </w:tcPr>
          <w:p>
            <w:pPr>
              <w:spacing w:line="250"/>
            </w:pPr>
            <w:r>
              <w:rPr>
                <w:sz w:val="18"/>
                <w:szCs w:val="18"/>
              </w:rPr>
              <w:t xml:space="preserve">https://www.trustpilot.com/review/trillet.ai</w:t>
            </w:r>
          </w:p>
        </w:tc>
      </w:tr>
      <w:tr>
        <w:tc>
          <w:tcPr>
            <w:tcW w:type="dxa" w:w="2600"/>
            <w:tcMar>
              <w:top w:type="dxa" w:w="50"/>
              <w:left w:type="dxa" w:w="100"/>
              <w:bottom w:type="dxa" w:w="50"/>
              <w:right w:type="dxa" w:w="100"/>
            </w:tcMar>
          </w:tcPr>
          <w:p>
            <w:pPr>
              <w:spacing w:line="250"/>
            </w:pPr>
            <w:r>
              <w:rPr>
                <w:sz w:val="18"/>
                <w:szCs w:val="18"/>
              </w:rPr>
              <w:t xml:space="preserve">GitHub</w:t>
            </w:r>
          </w:p>
        </w:tc>
        <w:tc>
          <w:tcPr>
            <w:tcW w:type="dxa" w:w="6600"/>
            <w:tcMar>
              <w:top w:type="dxa" w:w="50"/>
              <w:left w:type="dxa" w:w="100"/>
              <w:bottom w:type="dxa" w:w="50"/>
              <w:right w:type="dxa" w:w="100"/>
            </w:tcMar>
          </w:tcPr>
          <w:p>
            <w:pPr>
              <w:spacing w:line="250"/>
            </w:pPr>
            <w:r>
              <w:t xml:space="preserve">https://github.com/TrilletAI  </w:t>
            </w:r>
            <w:r>
              <w:rPr>
                <w:b/>
                <w:bCs/>
                <w:color w:val="0C8577"/>
                <w:sz w:val="16"/>
                <w:szCs w:val="16"/>
              </w:rPr>
              <w:t xml:space="preserve">CONFIRM</w:t>
            </w:r>
          </w:p>
        </w:tc>
      </w:tr>
      <w:tr>
        <w:tc>
          <w:tcPr>
            <w:tcW w:type="dxa" w:w="2600"/>
            <w:tcMar>
              <w:top w:type="dxa" w:w="50"/>
              <w:left w:type="dxa" w:w="100"/>
              <w:bottom w:type="dxa" w:w="50"/>
              <w:right w:type="dxa" w:w="100"/>
            </w:tcMar>
          </w:tcPr>
          <w:p>
            <w:pPr>
              <w:spacing w:line="250"/>
            </w:pPr>
            <w:r>
              <w:rPr>
                <w:sz w:val="18"/>
                <w:szCs w:val="18"/>
              </w:rPr>
              <w:t xml:space="preserve">X / Twitter</w:t>
            </w:r>
          </w:p>
        </w:tc>
        <w:tc>
          <w:tcPr>
            <w:tcW w:type="dxa" w:w="6600"/>
            <w:tcMar>
              <w:top w:type="dxa" w:w="50"/>
              <w:left w:type="dxa" w:w="100"/>
              <w:bottom w:type="dxa" w:w="50"/>
              <w:right w:type="dxa" w:w="100"/>
            </w:tcMar>
          </w:tcPr>
          <w:p>
            <w:pPr>
              <w:spacing w:line="250"/>
            </w:pPr>
            <w:r>
              <w:rPr>
                <w:b/>
                <w:bCs/>
                <w:color w:val="0C8577"/>
                <w:sz w:val="16"/>
                <w:szCs w:val="16"/>
              </w:rPr>
              <w:t xml:space="preserve">CONFIRM handle</w:t>
            </w:r>
          </w:p>
        </w:tc>
      </w:tr>
      <w:tr>
        <w:tc>
          <w:tcPr>
            <w:tcW w:type="dxa" w:w="2600"/>
            <w:tcMar>
              <w:top w:type="dxa" w:w="50"/>
              <w:left w:type="dxa" w:w="100"/>
              <w:bottom w:type="dxa" w:w="50"/>
              <w:right w:type="dxa" w:w="100"/>
            </w:tcMar>
          </w:tcPr>
          <w:p>
            <w:pPr>
              <w:spacing w:line="250"/>
            </w:pPr>
            <w:r>
              <w:rPr>
                <w:sz w:val="18"/>
                <w:szCs w:val="18"/>
              </w:rPr>
              <w:t xml:space="preserve">YouTube</w:t>
            </w:r>
          </w:p>
        </w:tc>
        <w:tc>
          <w:tcPr>
            <w:tcW w:type="dxa" w:w="6600"/>
            <w:tcMar>
              <w:top w:type="dxa" w:w="50"/>
              <w:left w:type="dxa" w:w="100"/>
              <w:bottom w:type="dxa" w:w="50"/>
              <w:right w:type="dxa" w:w="100"/>
            </w:tcMar>
          </w:tcPr>
          <w:p>
            <w:pPr>
              <w:spacing w:line="250"/>
            </w:pPr>
            <w:r>
              <w:rPr>
                <w:b/>
                <w:bCs/>
                <w:color w:val="0C8577"/>
                <w:sz w:val="16"/>
                <w:szCs w:val="16"/>
              </w:rPr>
              <w:t xml:space="preserve">CONFIRM channel</w:t>
            </w:r>
          </w:p>
        </w:tc>
      </w:tr>
      <w:tr>
        <w:tc>
          <w:tcPr>
            <w:tcW w:type="dxa" w:w="2600"/>
            <w:tcMar>
              <w:top w:type="dxa" w:w="50"/>
              <w:left w:type="dxa" w:w="100"/>
              <w:bottom w:type="dxa" w:w="50"/>
              <w:right w:type="dxa" w:w="100"/>
            </w:tcMar>
          </w:tcPr>
          <w:p>
            <w:pPr>
              <w:spacing w:line="250"/>
            </w:pPr>
            <w:r>
              <w:rPr>
                <w:sz w:val="18"/>
                <w:szCs w:val="18"/>
              </w:rPr>
              <w:t xml:space="preserve">Facebook / Instagram</w:t>
            </w:r>
          </w:p>
        </w:tc>
        <w:tc>
          <w:tcPr>
            <w:tcW w:type="dxa" w:w="6600"/>
            <w:tcMar>
              <w:top w:type="dxa" w:w="50"/>
              <w:left w:type="dxa" w:w="100"/>
              <w:bottom w:type="dxa" w:w="50"/>
              <w:right w:type="dxa" w:w="100"/>
            </w:tcMar>
          </w:tcPr>
          <w:p>
            <w:pPr>
              <w:spacing w:line="250"/>
            </w:pPr>
            <w:r>
              <w:rPr>
                <w:b/>
                <w:bCs/>
                <w:color w:val="0C8577"/>
                <w:sz w:val="16"/>
                <w:szCs w:val="16"/>
              </w:rPr>
              <w:t xml:space="preserve">CONFIRM</w:t>
            </w:r>
          </w:p>
        </w:tc>
      </w:tr>
    </w:tbl>
    <w:p>
      <w:r>
        <w:br w:type="page"/>
      </w:r>
    </w:p>
    <w:p>
      <w:pPr>
        <w:pStyle w:val="Heading1"/>
        <w:spacing w:after="140" w:before="320"/>
      </w:pPr>
      <w:r>
        <w:rPr>
          <w:color w:val="0E1B22"/>
        </w:rPr>
        <w:t xml:space="preserve">2 · Description library (paste-ready, by length)</w:t>
      </w:r>
    </w:p>
    <w:p>
      <w:pPr>
        <w:spacing w:after="120" w:line="276"/>
      </w:pPr>
      <w:r>
        <w:t xml:space="preserve">Directories cap descriptions at different lengths. Pick the variant that fits each field. Character counts are approximate; trim to the exact limit if a form rejects it.</w:t>
      </w:r>
    </w:p>
    <w:p>
      <w:pPr>
        <w:pStyle w:val="Heading3"/>
        <w:spacing w:after="70" w:before="170"/>
      </w:pPr>
      <w:r>
        <w:rPr>
          <w:color w:val="0C8577"/>
        </w:rPr>
        <w:t xml:space="preserve">Tagline options (≤ 60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Voice AI agents for high-stakes conversations.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Voice AI that resolves, not just responds.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Voice AI agents that finish the call.</w:t>
      </w:r>
    </w:p>
    <w:p>
      <w:pPr>
        <w:spacing w:after="40"/>
      </w:pPr>
      <w:r>
        <w:t xml:space="preserve"/>
      </w:r>
    </w:p>
    <w:p>
      <w:pPr>
        <w:pStyle w:val="Heading3"/>
        <w:spacing w:after="70" w:before="170"/>
      </w:pPr>
      <w:r>
        <w:rPr>
          <w:color w:val="0C8577"/>
        </w:rPr>
        <w:t xml:space="preserve">One-liner (≤ 90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Enterprise voice AI agents that resolve complex, regulated calls end to end.</w:t>
      </w:r>
    </w:p>
    <w:p>
      <w:pPr>
        <w:spacing w:after="120"/>
      </w:pPr>
      <w:r>
        <w:rPr>
          <w:b/>
          <w:bCs/>
          <w:color w:val="0C8577"/>
          <w:sz w:val="16"/>
          <w:szCs w:val="16"/>
        </w:rPr>
        <w:t xml:space="preserve">One-liner  </w:t>
      </w:r>
      <w:r>
        <w:rPr>
          <w:i/>
          <w:iCs/>
          <w:color w:val="52646A"/>
          <w:sz w:val="16"/>
          <w:szCs w:val="16"/>
        </w:rPr>
        <w:t xml:space="preserve">(≈ 76 chars)</w:t>
      </w:r>
    </w:p>
    <w:p>
      <w:pPr>
        <w:pStyle w:val="Heading3"/>
        <w:spacing w:after="70" w:before="170"/>
      </w:pPr>
      <w:r>
        <w:rPr>
          <w:color w:val="0C8577"/>
        </w:rPr>
        <w:t xml:space="preserve">Meta / short description (≈ 150/160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Trillet's voice AI agents resolve high-stakes, regulated conversations end to end: they verify identity, act in your systems of record, and close the loop.</w:t>
      </w:r>
    </w:p>
    <w:p>
      <w:pPr>
        <w:spacing w:after="120"/>
      </w:pPr>
      <w:r>
        <w:rPr>
          <w:b/>
          <w:bCs/>
          <w:color w:val="0C8577"/>
          <w:sz w:val="16"/>
          <w:szCs w:val="16"/>
        </w:rPr>
        <w:t xml:space="preserve">Meta  </w:t>
      </w:r>
      <w:r>
        <w:rPr>
          <w:i/>
          <w:iCs/>
          <w:color w:val="52646A"/>
          <w:sz w:val="16"/>
          <w:szCs w:val="16"/>
        </w:rPr>
        <w:t xml:space="preserve">(≈ 155 chars)</w:t>
      </w:r>
    </w:p>
    <w:p>
      <w:pPr>
        <w:pStyle w:val="Heading3"/>
        <w:spacing w:after="70" w:before="170"/>
      </w:pPr>
      <w:r>
        <w:rPr>
          <w:color w:val="0C8577"/>
        </w:rPr>
        <w:t xml:space="preserve">Medium description (≈ 250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an enterprise voice AI platform for high-stakes, regulated conversations. Its voice AI agents verify a caller's identity, act inside your systems of record, take payments and bookings, and follow through across voice, SMS, chat and email, with a full audit trail.</w:t>
      </w:r>
    </w:p>
    <w:p>
      <w:pPr>
        <w:spacing w:after="120"/>
      </w:pPr>
      <w:r>
        <w:rPr>
          <w:b/>
          <w:bCs/>
          <w:color w:val="0C8577"/>
          <w:sz w:val="16"/>
          <w:szCs w:val="16"/>
        </w:rPr>
        <w:t xml:space="preserve">Medium  </w:t>
      </w:r>
      <w:r>
        <w:rPr>
          <w:i/>
          <w:iCs/>
          <w:color w:val="52646A"/>
          <w:sz w:val="16"/>
          <w:szCs w:val="16"/>
        </w:rPr>
        <w:t xml:space="preserve">(≈ 274 chars)</w:t>
      </w:r>
    </w:p>
    <w:p>
      <w:pPr>
        <w:pStyle w:val="Heading3"/>
        <w:spacing w:after="70" w:before="170"/>
      </w:pPr>
      <w:r>
        <w:rPr>
          <w:color w:val="0C8577"/>
        </w:rPr>
        <w:t xml:space="preserve">Standard description (≈ 500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an enterprise voice AI platform that resolves high-stakes, regulated conversations from start to finish. Instead of only holding a conversation, Trillet's voice AI agents verify a caller's identity to a compliance standard, act inside your systems of record (CRM, payments, scheduling), and follow through across voice, SMS, chat and email, writing a full audit trail on every interaction. Built for financial services, healthcare, legal, government and utilities, and trusted by 1,200+ businesses. Melbourne-based, globally operated.</w:t>
      </w:r>
    </w:p>
    <w:p>
      <w:pPr>
        <w:spacing w:after="120"/>
      </w:pPr>
      <w:r>
        <w:rPr>
          <w:b/>
          <w:bCs/>
          <w:color w:val="0C8577"/>
          <w:sz w:val="16"/>
          <w:szCs w:val="16"/>
        </w:rPr>
        <w:t xml:space="preserve">Standard  </w:t>
      </w:r>
      <w:r>
        <w:rPr>
          <w:i/>
          <w:iCs/>
          <w:color w:val="52646A"/>
          <w:sz w:val="16"/>
          <w:szCs w:val="16"/>
        </w:rPr>
        <w:t xml:space="preserve">(≈ 545 chars)</w:t>
      </w:r>
    </w:p>
    <w:p>
      <w:pPr>
        <w:pStyle w:val="Heading3"/>
        <w:spacing w:after="70" w:before="170"/>
      </w:pPr>
      <w:r>
        <w:rPr>
          <w:color w:val="0C8577"/>
        </w:rPr>
        <w:t xml:space="preserve">Long description / About (≈ 1,000/1,300 chars, for Crunchbase, G2, TrustRadius)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an enterprise voice AI platform built for the conversations that carry the most risk. Where conventional voice automation can hold a conversation, Trillet is built to complete one: its voice AI agents authenticate the caller to a compliance standard, act inside the customer's live systems of record such as CRM, practice management, payments and scheduling, take real actions like bookings and payments, and follow through across voice, SMS, chat and email. Every interaction leaves a full audit trail, so authentications and actions can be reviewed afterwards. Trillet is designed for regulated, high-consequence industries including financial services and collections, healthcare, legal, government and utilities, and can be deployed on-premise, in a private cloud, or fully managed, with Australian data residency available. The platform supports SOC 2 Type II, ISO 27001, HIPAA, GDPR, TCPA and ACMA requirements. Founded in 2024 and based in Melbourne, Australia, Trillet is trusted by more than 1,200 businesses and holds a 4.6 rating on Trustpilot. It is led by CEO Rob Petreski and co-founders Laurence Latin (CTO) and Ming Xu (COO).</w:t>
      </w:r>
    </w:p>
    <w:p>
      <w:pPr>
        <w:spacing w:after="120"/>
      </w:pPr>
      <w:r>
        <w:rPr>
          <w:b/>
          <w:bCs/>
          <w:color w:val="0C8577"/>
          <w:sz w:val="16"/>
          <w:szCs w:val="16"/>
        </w:rPr>
        <w:t xml:space="preserve">Long / About  </w:t>
      </w:r>
      <w:r>
        <w:rPr>
          <w:i/>
          <w:iCs/>
          <w:color w:val="52646A"/>
          <w:sz w:val="16"/>
          <w:szCs w:val="16"/>
        </w:rPr>
        <w:t xml:space="preserve">(≈ 1152 chars)</w:t>
      </w:r>
    </w:p>
    <w:p>
      <w:pPr>
        <w:pStyle w:val="Heading3"/>
        <w:spacing w:after="70" w:before="170"/>
      </w:pPr>
      <w:r>
        <w:rPr>
          <w:color w:val="0C8577"/>
        </w:rPr>
        <w:t xml:space="preserve">Press boilerplate (“About Trillet” for releases and media listings)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 Melbourne-based enterprise voice AI company. Its voice AI agents resolve high-stakes, regulated conversations end to end across voice, SMS, chat and email, verifying identity, acting inside customers' systems of record, and producing a full audit trail. Trillet serves regulated industries including financial services, healthcare, legal, government and utilities, and is trusted by more than 1,200 businesses. Founded in 2024, Trillet is proudly Australian and globally operated.</w:t>
      </w:r>
    </w:p>
    <w:p>
      <w:pPr>
        <w:spacing w:after="120"/>
      </w:pPr>
      <w:r>
        <w:rPr>
          <w:b/>
          <w:bCs/>
          <w:color w:val="0C8577"/>
          <w:sz w:val="16"/>
          <w:szCs w:val="16"/>
        </w:rPr>
        <w:t xml:space="preserve">Boilerplate  </w:t>
      </w:r>
      <w:r>
        <w:rPr>
          <w:i/>
          <w:iCs/>
          <w:color w:val="52646A"/>
          <w:sz w:val="16"/>
          <w:szCs w:val="16"/>
        </w:rPr>
        <w:t xml:space="preserve">(≈ 493 chars)</w:t>
      </w:r>
    </w:p>
    <w:p>
      <w:pPr>
        <w:pBdr>
          <w:left w:val="single" w:color="0C8577" w:sz="18" w:space="8"/>
        </w:pBdr>
        <w:shd w:fill="FBEEDB" w:color="auto" w:val="clear"/>
        <w:spacing w:after="140" w:before="60" w:line="264"/>
      </w:pPr>
      <w:r>
        <w:rPr>
          <w:b/>
          <w:bCs/>
          <w:color w:val="0C8577"/>
        </w:rPr>
        <w:t xml:space="preserve">CONFIRM  </w:t>
      </w:r>
      <w:r>
        <w:t xml:space="preserve">The metrics used above (1,200+ businesses, 7M+ calls, 4.6 Trustpilot) and the compliance list are taken from Trillet's own site. Verify each is current and which certifications are held vs in progress before publishing to third parties. Directory listings are public and hard to retract.</w:t>
      </w:r>
    </w:p>
    <w:p>
      <w:r>
        <w:br w:type="page"/>
      </w:r>
    </w:p>
    <w:p>
      <w:pPr>
        <w:pStyle w:val="Heading1"/>
        <w:spacing w:after="140" w:before="320"/>
      </w:pPr>
      <w:r>
        <w:rPr>
          <w:color w:val="0E1B22"/>
        </w:rPr>
        <w:t xml:space="preserve">3 · Categories, tags &amp; keywords</w:t>
      </w:r>
    </w:p>
    <w:p>
      <w:pPr>
        <w:spacing w:after="120" w:line="276"/>
      </w:pPr>
      <w:r>
        <w:t xml:space="preserve">Most directories ask you to pick one primary category, a few secondary categories, and free-form tags. Use these consistently.</w:t>
      </w:r>
    </w:p>
    <w:p>
      <w:pPr>
        <w:pStyle w:val="Heading3"/>
        <w:spacing w:after="70" w:before="170"/>
      </w:pPr>
      <w:r>
        <w:rPr>
          <w:color w:val="0C8577"/>
        </w:rPr>
        <w:t xml:space="preserve">Primary category</w:t>
      </w:r>
    </w:p>
    <w:p>
      <w:pPr>
        <w:pStyle w:val="ListParagraph"/>
        <w:numPr>
          <w:ilvl w:val="0"/>
          <w:numId w:val="1"/>
        </w:numPr>
        <w:spacing w:after="60" w:line="264"/>
      </w:pPr>
      <w:r>
        <w:t xml:space="preserve">Conversational AI / Voice AI</w:t>
      </w:r>
    </w:p>
    <w:p>
      <w:pPr>
        <w:pStyle w:val="Heading3"/>
        <w:spacing w:after="70" w:before="170"/>
      </w:pPr>
      <w:r>
        <w:rPr>
          <w:color w:val="0C8577"/>
        </w:rPr>
        <w:t xml:space="preserve">Secondary categories (pick those a directory offers)</w:t>
      </w:r>
    </w:p>
    <w:p>
      <w:pPr>
        <w:pStyle w:val="ListParagraph"/>
        <w:numPr>
          <w:ilvl w:val="0"/>
          <w:numId w:val="1"/>
        </w:numPr>
        <w:spacing w:after="60" w:line="264"/>
      </w:pPr>
      <w:r>
        <w:t xml:space="preserve">Contact Center / Call Center Software</w:t>
      </w:r>
    </w:p>
    <w:p>
      <w:pPr>
        <w:pStyle w:val="ListParagraph"/>
        <w:numPr>
          <w:ilvl w:val="0"/>
          <w:numId w:val="1"/>
        </w:numPr>
        <w:spacing w:after="60" w:line="264"/>
      </w:pPr>
      <w:r>
        <w:t xml:space="preserve">Call Center Automation</w:t>
      </w:r>
    </w:p>
    <w:p>
      <w:pPr>
        <w:pStyle w:val="ListParagraph"/>
        <w:numPr>
          <w:ilvl w:val="0"/>
          <w:numId w:val="1"/>
        </w:numPr>
        <w:spacing w:after="60" w:line="264"/>
      </w:pPr>
      <w:r>
        <w:t xml:space="preserve">AI Agents / Autonomous Agents</w:t>
      </w:r>
    </w:p>
    <w:p>
      <w:pPr>
        <w:pStyle w:val="ListParagraph"/>
        <w:numPr>
          <w:ilvl w:val="0"/>
          <w:numId w:val="1"/>
        </w:numPr>
        <w:spacing w:after="60" w:line="264"/>
      </w:pPr>
      <w:r>
        <w:t xml:space="preserve">Customer Service &amp; Support Software</w:t>
      </w:r>
    </w:p>
    <w:p>
      <w:pPr>
        <w:pStyle w:val="ListParagraph"/>
        <w:numPr>
          <w:ilvl w:val="0"/>
          <w:numId w:val="1"/>
        </w:numPr>
        <w:spacing w:after="60" w:line="264"/>
      </w:pPr>
      <w:r>
        <w:t xml:space="preserve">Speech Recognition / Text-to-Speech</w:t>
      </w:r>
    </w:p>
    <w:p>
      <w:pPr>
        <w:pStyle w:val="ListParagraph"/>
        <w:numPr>
          <w:ilvl w:val="0"/>
          <w:numId w:val="1"/>
        </w:numPr>
        <w:spacing w:after="60" w:line="264"/>
      </w:pPr>
      <w:r>
        <w:t xml:space="preserve">Sales Engagement / Outbound Calling</w:t>
      </w:r>
    </w:p>
    <w:p>
      <w:pPr>
        <w:pStyle w:val="ListParagraph"/>
        <w:numPr>
          <w:ilvl w:val="0"/>
          <w:numId w:val="1"/>
        </w:numPr>
        <w:spacing w:after="60" w:line="264"/>
      </w:pPr>
      <w:r>
        <w:t xml:space="preserve">Appointment Scheduling</w:t>
      </w:r>
    </w:p>
    <w:p>
      <w:pPr>
        <w:pStyle w:val="Heading3"/>
        <w:spacing w:after="70" w:before="170"/>
      </w:pPr>
      <w:r>
        <w:rPr>
          <w:color w:val="0C8577"/>
        </w:rPr>
        <w:t xml:space="preserve">Tags / keywords (free-form fields, tag pickers)</w:t>
      </w:r>
    </w:p>
    <w:p>
      <w:pPr>
        <w:spacing w:after="120" w:line="276"/>
      </w:pPr>
      <w:r>
        <w:t xml:space="preserve">voice AI agents, voice AI, AI voice agent, AI phone agent, AI receptionist, conversational AI, call center automation, outbound calling, inbound call automation, identity verification, appointment booking AI, payment collection, debt collection automation, HIPAA voice AI, compliance, audit trail, CRM integration, multi-channel (voice, SMS, chat, email), enterprise AI, regulated industries.</w:t>
      </w:r>
    </w:p>
    <w:p>
      <w:pPr>
        <w:pStyle w:val="Heading1"/>
        <w:spacing w:after="140" w:before="320"/>
      </w:pPr>
      <w:r>
        <w:rPr>
          <w:color w:val="0E1B22"/>
        </w:rPr>
        <w:t xml:space="preserve">4 · Feature bullets &amp; integrations</w:t>
      </w:r>
    </w:p>
    <w:p>
      <w:pPr>
        <w:pStyle w:val="Heading3"/>
        <w:spacing w:after="70" w:before="170"/>
      </w:pPr>
      <w:r>
        <w:rPr>
          <w:color w:val="0C8577"/>
        </w:rPr>
        <w:t xml:space="preserve">Key features (for “features” fields and comparison rows)</w:t>
      </w:r>
    </w:p>
    <w:p>
      <w:pPr>
        <w:pStyle w:val="ListParagraph"/>
        <w:numPr>
          <w:ilvl w:val="0"/>
          <w:numId w:val="1"/>
        </w:numPr>
        <w:spacing w:after="60" w:line="264"/>
      </w:pPr>
      <w:r>
        <w:t xml:space="preserve">Identity verification to a compliance standard before any action</w:t>
      </w:r>
    </w:p>
    <w:p>
      <w:pPr>
        <w:pStyle w:val="ListParagraph"/>
        <w:numPr>
          <w:ilvl w:val="0"/>
          <w:numId w:val="1"/>
        </w:numPr>
        <w:spacing w:after="60" w:line="264"/>
      </w:pPr>
      <w:r>
        <w:t xml:space="preserve">Acts inside systems of record: CRM, practice management, payments, scheduling</w:t>
      </w:r>
    </w:p>
    <w:p>
      <w:pPr>
        <w:pStyle w:val="ListParagraph"/>
        <w:numPr>
          <w:ilvl w:val="0"/>
          <w:numId w:val="1"/>
        </w:numPr>
        <w:spacing w:after="60" w:line="264"/>
      </w:pPr>
      <w:r>
        <w:t xml:space="preserve">Real actions in real time: bookings, payments, case and account updates</w:t>
      </w:r>
    </w:p>
    <w:p>
      <w:pPr>
        <w:pStyle w:val="ListParagraph"/>
        <w:numPr>
          <w:ilvl w:val="0"/>
          <w:numId w:val="1"/>
        </w:numPr>
        <w:spacing w:after="60" w:line="264"/>
      </w:pPr>
      <w:r>
        <w:t xml:space="preserve">Multi-channel: voice, SMS, WhatsApp, Messenger and email from one trigger</w:t>
      </w:r>
    </w:p>
    <w:p>
      <w:pPr>
        <w:pStyle w:val="ListParagraph"/>
        <w:numPr>
          <w:ilvl w:val="0"/>
          <w:numId w:val="1"/>
        </w:numPr>
        <w:spacing w:after="60" w:line="264"/>
      </w:pPr>
      <w:r>
        <w:t xml:space="preserve">Human-quality voice with sub-two-second response on live calls</w:t>
      </w:r>
    </w:p>
    <w:p>
      <w:pPr>
        <w:pStyle w:val="ListParagraph"/>
        <w:numPr>
          <w:ilvl w:val="0"/>
          <w:numId w:val="1"/>
        </w:numPr>
        <w:spacing w:after="60" w:line="264"/>
      </w:pPr>
      <w:r>
        <w:t xml:space="preserve">Full audit trail and compliance controls on every interaction</w:t>
      </w:r>
    </w:p>
    <w:p>
      <w:pPr>
        <w:pStyle w:val="ListParagraph"/>
        <w:numPr>
          <w:ilvl w:val="0"/>
          <w:numId w:val="1"/>
        </w:numPr>
        <w:spacing w:after="60" w:line="264"/>
      </w:pPr>
      <w:r>
        <w:t xml:space="preserve">Deploy on-premise, private cloud, or fully managed; Australian data residency</w:t>
      </w:r>
    </w:p>
    <w:p>
      <w:pPr>
        <w:pStyle w:val="ListParagraph"/>
        <w:numPr>
          <w:ilvl w:val="0"/>
          <w:numId w:val="1"/>
        </w:numPr>
        <w:spacing w:after="60" w:line="264"/>
      </w:pPr>
      <w:r>
        <w:t xml:space="preserve">Callback orchestration: schedules callbacks and retries at sensible intervals</w:t>
      </w:r>
    </w:p>
    <w:p>
      <w:pPr>
        <w:pStyle w:val="ListParagraph"/>
        <w:numPr>
          <w:ilvl w:val="0"/>
          <w:numId w:val="1"/>
        </w:numPr>
        <w:spacing w:after="60" w:line="264"/>
      </w:pPr>
      <w:r>
        <w:t xml:space="preserve">White-label, multi-tenant platform; standalone AI receptionist option</w:t>
      </w:r>
    </w:p>
    <w:p>
      <w:pPr>
        <w:pStyle w:val="Heading3"/>
        <w:spacing w:after="70" w:before="170"/>
      </w:pPr>
      <w:r>
        <w:rPr>
          <w:color w:val="0C8577"/>
        </w:rPr>
        <w:t xml:space="preserve">Integrations (for app-marketplace and “works with” fields)</w:t>
      </w:r>
    </w:p>
    <w:p>
      <w:pPr>
        <w:spacing w:after="120" w:line="276"/>
      </w:pPr>
      <w:r>
        <w:t xml:space="preserve">Channels: voice, SMS, WhatsApp, Messenger, email. Connects to CRM, practice-management, payment and scheduling systems. </w:t>
      </w:r>
      <w:r>
        <w:rPr>
          <w:b/>
          <w:bCs/>
          <w:color w:val="0C8577"/>
          <w:sz w:val="16"/>
          <w:szCs w:val="16"/>
        </w:rPr>
        <w:t xml:space="preserve">CONFIRM the named integrations and any partner marketplaces (for example GoHighLevel, HubSpot, Salesforce, Zapier, Twilio) so the kit lists only real ones.</w:t>
      </w:r>
    </w:p>
    <w:p>
      <w:pPr>
        <w:pStyle w:val="Heading1"/>
        <w:spacing w:after="140" w:before="320"/>
      </w:pPr>
      <w:r>
        <w:rPr>
          <w:color w:val="0E1B22"/>
        </w:rPr>
        <w:t xml:space="preserve">5 · Assets to attach</w:t>
      </w:r>
    </w:p>
    <w:p>
      <w:pPr>
        <w:spacing w:after="120" w:line="276"/>
      </w:pPr>
      <w:r>
        <w:t xml:space="preserve">Directories ask for images and sometimes a video. Prepare these once and reuse them.</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3400"/>
        <w:gridCol w:w="4200"/>
        <w:gridCol w:w="1600"/>
      </w:tblGrid>
      <w:tr>
        <w:trPr>
          <w:tblHeader/>
        </w:trPr>
        <w:tc>
          <w:tcPr>
            <w:tcW w:type="dxa" w:w="3400"/>
            <w:shd w:fill="0E1B22" w:color="auto" w:val="clear"/>
            <w:tcMar>
              <w:top w:type="dxa" w:w="60"/>
              <w:left w:type="dxa" w:w="100"/>
              <w:bottom w:type="dxa" w:w="60"/>
              <w:right w:type="dxa" w:w="100"/>
            </w:tcMar>
          </w:tcPr>
          <w:p>
            <w:r>
              <w:rPr>
                <w:b/>
                <w:bCs/>
                <w:color w:val="FFFFFF"/>
                <w:sz w:val="17"/>
                <w:szCs w:val="17"/>
              </w:rPr>
              <w:t xml:space="preserve">Asset</w:t>
            </w:r>
          </w:p>
        </w:tc>
        <w:tc>
          <w:tcPr>
            <w:tcW w:type="dxa" w:w="4200"/>
            <w:shd w:fill="0E1B22" w:color="auto" w:val="clear"/>
            <w:tcMar>
              <w:top w:type="dxa" w:w="60"/>
              <w:left w:type="dxa" w:w="100"/>
              <w:bottom w:type="dxa" w:w="60"/>
              <w:right w:type="dxa" w:w="100"/>
            </w:tcMar>
          </w:tcPr>
          <w:p>
            <w:r>
              <w:rPr>
                <w:b/>
                <w:bCs/>
                <w:color w:val="FFFFFF"/>
                <w:sz w:val="17"/>
                <w:szCs w:val="17"/>
              </w:rPr>
              <w:t xml:space="preserve">Spec</w:t>
            </w:r>
          </w:p>
        </w:tc>
        <w:tc>
          <w:tcPr>
            <w:tcW w:type="dxa" w:w="1600"/>
            <w:shd w:fill="0E1B22" w:color="auto" w:val="clear"/>
            <w:tcMar>
              <w:top w:type="dxa" w:w="60"/>
              <w:left w:type="dxa" w:w="100"/>
              <w:bottom w:type="dxa" w:w="60"/>
              <w:right w:type="dxa" w:w="100"/>
            </w:tcMar>
          </w:tcPr>
          <w:p>
            <w:r>
              <w:rPr>
                <w:b/>
                <w:bCs/>
                <w:color w:val="FFFFFF"/>
                <w:sz w:val="17"/>
                <w:szCs w:val="17"/>
              </w:rPr>
              <w:t xml:space="preserve">Status</w:t>
            </w:r>
          </w:p>
        </w:tc>
      </w:tr>
      <w:tr>
        <w:tc>
          <w:tcPr>
            <w:tcW w:type="dxa" w:w="3400"/>
            <w:tcMar>
              <w:top w:type="dxa" w:w="50"/>
              <w:left w:type="dxa" w:w="100"/>
              <w:bottom w:type="dxa" w:w="50"/>
              <w:right w:type="dxa" w:w="100"/>
            </w:tcMar>
          </w:tcPr>
          <w:p>
            <w:pPr>
              <w:spacing w:line="250"/>
            </w:pPr>
            <w:r>
              <w:rPr>
                <w:sz w:val="18"/>
                <w:szCs w:val="18"/>
              </w:rPr>
              <w:t xml:space="preserve">Logo (square)</w:t>
            </w:r>
          </w:p>
        </w:tc>
        <w:tc>
          <w:tcPr>
            <w:tcW w:type="dxa" w:w="4200"/>
            <w:tcMar>
              <w:top w:type="dxa" w:w="50"/>
              <w:left w:type="dxa" w:w="100"/>
              <w:bottom w:type="dxa" w:w="50"/>
              <w:right w:type="dxa" w:w="100"/>
            </w:tcMar>
          </w:tcPr>
          <w:p>
            <w:pPr>
              <w:spacing w:line="250"/>
            </w:pPr>
            <w:r>
              <w:rPr>
                <w:sz w:val="18"/>
                <w:szCs w:val="18"/>
              </w:rPr>
              <w:t xml:space="preserve">512×512 PNG, transparent</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Logo (horizontal)</w:t>
            </w:r>
          </w:p>
        </w:tc>
        <w:tc>
          <w:tcPr>
            <w:tcW w:type="dxa" w:w="4200"/>
            <w:tcMar>
              <w:top w:type="dxa" w:w="50"/>
              <w:left w:type="dxa" w:w="100"/>
              <w:bottom w:type="dxa" w:w="50"/>
              <w:right w:type="dxa" w:w="100"/>
            </w:tcMar>
          </w:tcPr>
          <w:p>
            <w:pPr>
              <w:spacing w:line="250"/>
            </w:pPr>
            <w:r>
              <w:rPr>
                <w:sz w:val="18"/>
                <w:szCs w:val="18"/>
              </w:rPr>
              <w:t xml:space="preserve">SVG + PNG, transparent</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Icon / favicon</w:t>
            </w:r>
          </w:p>
        </w:tc>
        <w:tc>
          <w:tcPr>
            <w:tcW w:type="dxa" w:w="4200"/>
            <w:tcMar>
              <w:top w:type="dxa" w:w="50"/>
              <w:left w:type="dxa" w:w="100"/>
              <w:bottom w:type="dxa" w:w="50"/>
              <w:right w:type="dxa" w:w="100"/>
            </w:tcMar>
          </w:tcPr>
          <w:p>
            <w:pPr>
              <w:spacing w:line="250"/>
            </w:pPr>
            <w:r>
              <w:rPr>
                <w:sz w:val="18"/>
                <w:szCs w:val="18"/>
              </w:rPr>
              <w:t xml:space="preserve">256×256 PNG</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Screenshots</w:t>
            </w:r>
          </w:p>
        </w:tc>
        <w:tc>
          <w:tcPr>
            <w:tcW w:type="dxa" w:w="4200"/>
            <w:tcMar>
              <w:top w:type="dxa" w:w="50"/>
              <w:left w:type="dxa" w:w="100"/>
              <w:bottom w:type="dxa" w:w="50"/>
              <w:right w:type="dxa" w:w="100"/>
            </w:tcMar>
          </w:tcPr>
          <w:p>
            <w:pPr>
              <w:spacing w:line="250"/>
            </w:pPr>
            <w:r>
              <w:rPr>
                <w:sz w:val="18"/>
                <w:szCs w:val="18"/>
              </w:rPr>
              <w:t xml:space="preserve">3/5, 1280×800 PNG</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Social / OG image</w:t>
            </w:r>
          </w:p>
        </w:tc>
        <w:tc>
          <w:tcPr>
            <w:tcW w:type="dxa" w:w="4200"/>
            <w:tcMar>
              <w:top w:type="dxa" w:w="50"/>
              <w:left w:type="dxa" w:w="100"/>
              <w:bottom w:type="dxa" w:w="50"/>
              <w:right w:type="dxa" w:w="100"/>
            </w:tcMar>
          </w:tcPr>
          <w:p>
            <w:pPr>
              <w:spacing w:line="250"/>
            </w:pPr>
            <w:r>
              <w:rPr>
                <w:sz w:val="18"/>
                <w:szCs w:val="18"/>
              </w:rPr>
              <w:t xml:space="preserve">1200×630 PNG</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Demo video</w:t>
            </w:r>
          </w:p>
        </w:tc>
        <w:tc>
          <w:tcPr>
            <w:tcW w:type="dxa" w:w="4200"/>
            <w:tcMar>
              <w:top w:type="dxa" w:w="50"/>
              <w:left w:type="dxa" w:w="100"/>
              <w:bottom w:type="dxa" w:w="50"/>
              <w:right w:type="dxa" w:w="100"/>
            </w:tcMar>
          </w:tcPr>
          <w:p>
            <w:pPr>
              <w:spacing w:line="250"/>
            </w:pPr>
            <w:r>
              <w:rPr>
                <w:sz w:val="18"/>
                <w:szCs w:val="18"/>
              </w:rPr>
              <w:t xml:space="preserve">60/90s, YouTube link</w:t>
            </w:r>
          </w:p>
        </w:tc>
        <w:tc>
          <w:tcPr>
            <w:tcW w:type="dxa" w:w="1600"/>
            <w:tcMar>
              <w:top w:type="dxa" w:w="50"/>
              <w:left w:type="dxa" w:w="100"/>
              <w:bottom w:type="dxa" w:w="50"/>
              <w:right w:type="dxa" w:w="100"/>
            </w:tcMar>
          </w:tcPr>
          <w:p>
            <w:pPr>
              <w:spacing w:line="250"/>
            </w:pPr>
            <w:r>
              <w:rPr>
                <w:b/>
                <w:bCs/>
                <w:color w:val="0C8577"/>
                <w:sz w:val="16"/>
                <w:szCs w:val="16"/>
              </w:rPr>
              <w:t xml:space="preserve">ASSET / CONFIRM</w:t>
            </w:r>
          </w:p>
        </w:tc>
      </w:tr>
      <w:tr>
        <w:tc>
          <w:tcPr>
            <w:tcW w:type="dxa" w:w="3400"/>
            <w:tcMar>
              <w:top w:type="dxa" w:w="50"/>
              <w:left w:type="dxa" w:w="100"/>
              <w:bottom w:type="dxa" w:w="50"/>
              <w:right w:type="dxa" w:w="100"/>
            </w:tcMar>
          </w:tcPr>
          <w:p>
            <w:pPr>
              <w:spacing w:line="250"/>
            </w:pPr>
            <w:r>
              <w:rPr>
                <w:sz w:val="18"/>
                <w:szCs w:val="18"/>
              </w:rPr>
              <w:t xml:space="preserve">Founder headshots</w:t>
            </w:r>
          </w:p>
        </w:tc>
        <w:tc>
          <w:tcPr>
            <w:tcW w:type="dxa" w:w="4200"/>
            <w:tcMar>
              <w:top w:type="dxa" w:w="50"/>
              <w:left w:type="dxa" w:w="100"/>
              <w:bottom w:type="dxa" w:w="50"/>
              <w:right w:type="dxa" w:w="100"/>
            </w:tcMar>
          </w:tcPr>
          <w:p>
            <w:pPr>
              <w:spacing w:line="250"/>
            </w:pPr>
            <w:r>
              <w:rPr>
                <w:sz w:val="18"/>
                <w:szCs w:val="18"/>
              </w:rPr>
              <w:t xml:space="preserve">square, ≥600×600</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bl>
    <w:p>
      <w:r>
        <w:br w:type="page"/>
      </w:r>
    </w:p>
    <w:p>
      <w:pPr>
        <w:pStyle w:val="Heading1"/>
        <w:spacing w:after="140" w:before="320"/>
      </w:pPr>
      <w:r>
        <w:rPr>
          <w:color w:val="0E1B22"/>
        </w:rPr>
        <w:t xml:space="preserve">6 · Consistency &amp; best-practice rules</w:t>
      </w:r>
    </w:p>
    <w:p>
      <w:pPr>
        <w:pStyle w:val="ListParagraph"/>
        <w:numPr>
          <w:ilvl w:val="0"/>
          <w:numId w:val="1"/>
        </w:numPr>
        <w:spacing w:after="60" w:line="264"/>
      </w:pPr>
      <w:r>
        <w:rPr>
          <w:b/>
          <w:bCs/>
        </w:rPr>
        <w:t xml:space="preserve">Identical NAP everywhere. </w:t>
      </w:r>
      <w:r>
        <w:t xml:space="preserve">Name, address and phone must match §1 character-for-character across every listing; inconsistency dilutes the trust signal.</w:t>
      </w:r>
    </w:p>
    <w:p>
      <w:pPr>
        <w:pStyle w:val="ListParagraph"/>
        <w:numPr>
          <w:ilvl w:val="0"/>
          <w:numId w:val="1"/>
        </w:numPr>
        <w:spacing w:after="60" w:line="264"/>
      </w:pPr>
      <w:r>
        <w:rPr>
          <w:b/>
          <w:bCs/>
        </w:rPr>
        <w:t xml:space="preserve">One canonical URL. </w:t>
      </w:r>
      <w:r>
        <w:t xml:space="preserve">Always link to https://www.trillet.ai (the chosen host). Add UTM tags only where a directory allows tracked links.</w:t>
      </w:r>
    </w:p>
    <w:p>
      <w:pPr>
        <w:pStyle w:val="ListParagraph"/>
        <w:numPr>
          <w:ilvl w:val="0"/>
          <w:numId w:val="1"/>
        </w:numPr>
        <w:spacing w:after="60" w:line="264"/>
      </w:pPr>
      <w:r>
        <w:rPr>
          <w:b/>
          <w:bCs/>
        </w:rPr>
        <w:t xml:space="preserve">Claim before you create. </w:t>
      </w:r>
      <w:r>
        <w:t xml:space="preserve">Search each platform first; claim an existing auto-generated profile rather than creating a duplicate.</w:t>
      </w:r>
    </w:p>
    <w:p>
      <w:pPr>
        <w:pStyle w:val="ListParagraph"/>
        <w:numPr>
          <w:ilvl w:val="0"/>
          <w:numId w:val="1"/>
        </w:numPr>
        <w:spacing w:after="60" w:line="264"/>
      </w:pPr>
      <w:r>
        <w:rPr>
          <w:b/>
          <w:bCs/>
        </w:rPr>
        <w:t xml:space="preserve">Watch the name collision. </w:t>
      </w:r>
      <w:r>
        <w:t xml:space="preserve">Correct any aggregator that conflates Trillet with “Rillet” or “Triller”, and never repeat the false $50M/$130M funding figures.</w:t>
      </w:r>
    </w:p>
    <w:p>
      <w:pPr>
        <w:pStyle w:val="ListParagraph"/>
        <w:numPr>
          <w:ilvl w:val="0"/>
          <w:numId w:val="1"/>
        </w:numPr>
        <w:spacing w:after="60" w:line="264"/>
      </w:pPr>
      <w:r>
        <w:rPr>
          <w:b/>
          <w:bCs/>
        </w:rPr>
        <w:t xml:space="preserve">Reuse the same copy. </w:t>
      </w:r>
      <w:r>
        <w:t xml:space="preserve">Paste from §2 so the description, category and tags stay consistent; this reinforces one clear entity for search and AI answer engines.</w:t>
      </w:r>
    </w:p>
    <w:p>
      <w:pPr>
        <w:pStyle w:val="ListParagraph"/>
        <w:numPr>
          <w:ilvl w:val="0"/>
          <w:numId w:val="1"/>
        </w:numPr>
        <w:spacing w:after="60" w:line="264"/>
      </w:pPr>
      <w:r>
        <w:rPr>
          <w:b/>
          <w:bCs/>
        </w:rPr>
        <w:t xml:space="preserve">Prefer do-follow, but take both. </w:t>
      </w:r>
      <w:r>
        <w:t xml:space="preserve">Do-follow links pass more authority, but reputable no-follow listings (Crunchbase, G2) still build trust and citations.</w:t>
      </w:r>
    </w:p>
    <w:p>
      <w:pPr>
        <w:pStyle w:val="Heading1"/>
        <w:spacing w:after="140" w:before="320"/>
      </w:pPr>
      <w:r>
        <w:rPr>
          <w:color w:val="0E1B22"/>
        </w:rPr>
        <w:t xml:space="preserve">7 · Review-generation plan (for G2, Capterra, Trustpilot)</w:t>
      </w:r>
    </w:p>
    <w:p>
      <w:pPr>
        <w:spacing w:after="120" w:line="276"/>
      </w:pPr>
      <w:r>
        <w:t xml:space="preserve">Review sites rank and convert on review volume and recency. A short, steady flow beats a one-time push.</w:t>
      </w:r>
    </w:p>
    <w:p>
      <w:pPr>
        <w:pStyle w:val="ListParagraph"/>
        <w:numPr>
          <w:ilvl w:val="0"/>
          <w:numId w:val="1"/>
        </w:numPr>
        <w:spacing w:after="60" w:line="264"/>
      </w:pPr>
      <w:r>
        <w:t xml:space="preserve">Identify 15/20 happy customers (the Trustpilot reviewers are a starting point).</w:t>
      </w:r>
    </w:p>
    <w:p>
      <w:pPr>
        <w:pStyle w:val="ListParagraph"/>
        <w:numPr>
          <w:ilvl w:val="0"/>
          <w:numId w:val="1"/>
        </w:numPr>
        <w:spacing w:after="60" w:line="264"/>
      </w:pPr>
      <w:r>
        <w:t xml:space="preserve">Send a short, personal request with a direct review link; ask for a specific outcome, not a generic rating.</w:t>
      </w:r>
    </w:p>
    <w:p>
      <w:pPr>
        <w:pStyle w:val="ListParagraph"/>
        <w:numPr>
          <w:ilvl w:val="0"/>
          <w:numId w:val="1"/>
        </w:numPr>
        <w:spacing w:after="60" w:line="264"/>
      </w:pPr>
      <w:r>
        <w:t xml:space="preserve">Add a post-onboarding and post-support review prompt so requests are steady, not one-off.</w:t>
      </w:r>
    </w:p>
    <w:p>
      <w:pPr>
        <w:pStyle w:val="ListParagraph"/>
        <w:numPr>
          <w:ilvl w:val="0"/>
          <w:numId w:val="1"/>
        </w:numPr>
        <w:spacing w:after="60" w:line="264"/>
      </w:pPr>
      <w:r>
        <w:t xml:space="preserve">Never incentivise or script reviews; most platforms prohibit it and it reads as fake.</w:t>
      </w:r>
    </w:p>
    <w:p>
      <w:pPr>
        <w:pStyle w:val="ListParagraph"/>
        <w:numPr>
          <w:ilvl w:val="0"/>
          <w:numId w:val="1"/>
        </w:numPr>
        <w:spacing w:after="60" w:line="264"/>
      </w:pPr>
      <w:r>
        <w:t xml:space="preserve">Respond to every review, positive or negative; responsiveness is itself a ranking and trust signal.</w:t>
      </w:r>
    </w:p>
    <w:p>
      <w:pPr>
        <w:pStyle w:val="Heading1"/>
        <w:spacing w:after="140" w:before="320"/>
      </w:pPr>
      <w:r>
        <w:rPr>
          <w:color w:val="0E1B22"/>
        </w:rPr>
        <w:t xml:space="preserve">8 · Confirm before submitting</w:t>
      </w:r>
    </w:p>
    <w:p>
      <w:pPr>
        <w:pStyle w:val="ListParagraph"/>
        <w:numPr>
          <w:ilvl w:val="0"/>
          <w:numId w:val="1"/>
        </w:numPr>
        <w:spacing w:after="70"/>
      </w:pPr>
      <w:r>
        <w:t xml:space="preserve">☐  Listing contact email and phone number for public directories.</w:t>
      </w:r>
    </w:p>
    <w:p>
      <w:pPr>
        <w:pStyle w:val="ListParagraph"/>
        <w:numPr>
          <w:ilvl w:val="0"/>
          <w:numId w:val="1"/>
        </w:numPr>
        <w:spacing w:after="70"/>
      </w:pPr>
      <w:r>
        <w:t xml:space="preserve">☐  Company size band and pricing tiers (entry price, free trial y/n).</w:t>
      </w:r>
    </w:p>
    <w:p>
      <w:pPr>
        <w:pStyle w:val="ListParagraph"/>
        <w:numPr>
          <w:ilvl w:val="0"/>
          <w:numId w:val="1"/>
        </w:numPr>
        <w:spacing w:after="70"/>
      </w:pPr>
      <w:r>
        <w:t xml:space="preserve">☐  Which certifications are held vs in progress (SOC 2, ISO 27001, HIPAA, GDPR, TCPA, ACMA).</w:t>
      </w:r>
    </w:p>
    <w:p>
      <w:pPr>
        <w:pStyle w:val="ListParagraph"/>
        <w:numPr>
          <w:ilvl w:val="0"/>
          <w:numId w:val="1"/>
        </w:numPr>
        <w:spacing w:after="70"/>
      </w:pPr>
      <w:r>
        <w:t xml:space="preserve">☐  Metrics are current and public (1,200+ businesses, 7M+ calls, 4.6 Trustpilot).</w:t>
      </w:r>
    </w:p>
    <w:p>
      <w:pPr>
        <w:pStyle w:val="ListParagraph"/>
        <w:numPr>
          <w:ilvl w:val="0"/>
          <w:numId w:val="1"/>
        </w:numPr>
        <w:spacing w:after="70"/>
      </w:pPr>
      <w:r>
        <w:t xml:space="preserve">☐  Real integrations and any partner marketplaces to list on.</w:t>
      </w:r>
    </w:p>
    <w:p>
      <w:pPr>
        <w:pStyle w:val="ListParagraph"/>
        <w:numPr>
          <w:ilvl w:val="0"/>
          <w:numId w:val="1"/>
        </w:numPr>
        <w:spacing w:after="70"/>
      </w:pPr>
      <w:r>
        <w:t xml:space="preserve">☐  Social handles (X, YouTube, Facebook, Instagram) and GitHub URL.</w:t>
      </w:r>
    </w:p>
    <w:p>
      <w:pPr>
        <w:pStyle w:val="ListParagraph"/>
        <w:numPr>
          <w:ilvl w:val="0"/>
          <w:numId w:val="1"/>
        </w:numPr>
        <w:spacing w:after="70"/>
      </w:pPr>
      <w:r>
        <w:t xml:space="preserve">☐  Logo, screenshots, OG image and (optionally) a demo video.</w:t>
      </w:r>
    </w:p>
    <w:p>
      <w:pPr>
        <w:pStyle w:val="ListParagraph"/>
        <w:numPr>
          <w:ilvl w:val="0"/>
          <w:numId w:val="1"/>
        </w:numPr>
        <w:spacing w:after="70"/>
      </w:pPr>
      <w:r>
        <w:t xml:space="preserve">☐  Customer names are cleared for public display where a listing shows logos.</w:t>
      </w:r>
    </w:p>
    <w:p>
      <w:pPr>
        <w:spacing w:after="120"/>
      </w:pPr>
      <w:r>
        <w:t xml:space="preserve"/>
      </w:r>
    </w:p>
    <w:p>
      <w:pPr>
        <w:spacing w:after="120" w:line="276"/>
      </w:pPr>
      <w:r>
        <w:rPr>
          <w:i/>
          <w:iCs/>
          <w:color w:val="52646A"/>
          <w:sz w:val="18"/>
          <w:szCs w:val="18"/>
        </w:rPr>
        <w:t xml:space="preserve">Provenance: company details drawn from trillet.ai (home, /enterprise, /ai-info), the September 2025 press release, the Trustpilot profile, and the founders' LinkedIn profiles. Directory list reflects standard off-page SEO practice for B2B/AI SaaS. No funding or valuation figures are included, as aggregator data is unreliable due to name collisions.</w:t>
      </w:r>
    </w:p>
    <w:sectPr>
      <w:pgSz w:w="12240" w:h="15840" w:orient="portrait"/>
      <w:pgMar w:top="1080" w:right="1160" w:bottom="1080" w:left="1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B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Bricolage Grotesque" w:cs="Bricolage Grotesque" w:eastAsia="Bricolage Grotesque" w:hAnsi="Bricolage Grotesque"/>
      <w:b/>
      <w:bCs/>
      <w:color w:val="0E1B22"/>
      <w:sz w:val="40"/>
      <w:szCs w:val="40"/>
    </w:rPr>
  </w:style>
  <w:style w:type="paragraph" w:styleId="Heading1">
    <w:name w:val="Heading 1"/>
    <w:basedOn w:val="Normal"/>
    <w:next w:val="Normal"/>
    <w:qFormat/>
    <w:rPr>
      <w:rFonts w:ascii="Bricolage Grotesque" w:cs="Bricolage Grotesque" w:eastAsia="Bricolage Grotesque" w:hAnsi="Bricolage Grotesque"/>
      <w:b/>
      <w:bCs/>
      <w:color w:val="0E1B22"/>
      <w:sz w:val="27"/>
      <w:szCs w:val="27"/>
    </w:rPr>
  </w:style>
  <w:style w:type="paragraph" w:styleId="Heading2">
    <w:name w:val="Heading 2"/>
    <w:basedOn w:val="Normal"/>
    <w:next w:val="Normal"/>
    <w:qFormat/>
    <w:rPr>
      <w:rFonts w:ascii="Bricolage Grotesque" w:cs="Bricolage Grotesque" w:eastAsia="Bricolage Grotesque" w:hAnsi="Bricolage Grotesque"/>
      <w:b/>
      <w:bCs/>
      <w:color w:val="0E1B22"/>
      <w:sz w:val="22"/>
      <w:szCs w:val="22"/>
    </w:rPr>
  </w:style>
  <w:style w:type="paragraph" w:styleId="Heading3">
    <w:name w:val="Heading 3"/>
    <w:basedOn w:val="Normal"/>
    <w:next w:val="Normal"/>
    <w:qFormat/>
    <w:rPr>
      <w:rFonts w:ascii="Bricolage Grotesque" w:cs="Bricolage Grotesque" w:eastAsia="Bricolage Grotesque" w:hAnsi="Bricolage Grotesque"/>
      <w:b/>
      <w:bCs/>
      <w:color w:val="0C857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Trillet Off-Page &amp; Directory Submission Kit</dc:title>
  <dc:creator>Trillet</dc:creator>
  <cp:lastModifiedBy>Un-named</cp:lastModifiedBy>
  <cp:revision>1</cp:revision>
  <dcterms:created xsi:type="dcterms:W3CDTF">2026-09-16T05:04:04.307Z</dcterms:created>
  <dcterms:modified xsi:type="dcterms:W3CDTF">2026-09-16T05:04:04.317Z</dcterms:modified>
</cp:coreProperties>
</file>

<file path=docProps/custom.xml><?xml version="1.0" encoding="utf-8"?>
<Properties xmlns="http://schemas.openxmlformats.org/officeDocument/2006/custom-properties" xmlns:vt="http://schemas.openxmlformats.org/officeDocument/2006/docPropsVTypes"/>
</file>