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Attached are all the documents for 7520-2a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I have added additional fields for 'OtherViolations' and 'OtherEnforcementActions', one for each well class.  We will have to merge that data to a sheet attached to the form.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