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286AC" w14:textId="77777777" w:rsidR="009A6B77" w:rsidRPr="00115798" w:rsidRDefault="009A6B77">
      <w:pPr>
        <w:rPr>
          <w:sz w:val="24"/>
          <w:szCs w:val="24"/>
        </w:rPr>
      </w:pPr>
    </w:p>
    <w:p w14:paraId="3D453586" w14:textId="12F8E1F8" w:rsidR="00115798" w:rsidRPr="007842DC" w:rsidRDefault="00115798" w:rsidP="00115798">
      <w:pPr>
        <w:rPr>
          <w:rFonts w:cs="OpenSans"/>
          <w:color w:val="262626"/>
          <w:sz w:val="24"/>
          <w:szCs w:val="24"/>
        </w:rPr>
      </w:pPr>
      <w:r w:rsidRPr="00115798">
        <w:rPr>
          <w:sz w:val="24"/>
          <w:szCs w:val="24"/>
        </w:rPr>
        <w:t>Andrew J. Greenlee Ph.D.</w:t>
      </w:r>
      <w:r w:rsidR="007842DC">
        <w:rPr>
          <w:sz w:val="24"/>
          <w:szCs w:val="24"/>
        </w:rPr>
        <w:t xml:space="preserve"> is</w:t>
      </w:r>
      <w:r w:rsidR="003F707E">
        <w:rPr>
          <w:sz w:val="24"/>
          <w:szCs w:val="24"/>
        </w:rPr>
        <w:t xml:space="preserve"> a</w:t>
      </w:r>
      <w:r w:rsidRPr="00115798">
        <w:rPr>
          <w:sz w:val="24"/>
          <w:szCs w:val="24"/>
        </w:rPr>
        <w:t xml:space="preserve"> Professor in the Department of Urban and Regional Planning at the University of Illinois at Urbana-Champaign. </w:t>
      </w:r>
      <w:r w:rsidR="001505EF">
        <w:rPr>
          <w:rFonts w:cs="OpenSans"/>
          <w:color w:val="262626"/>
          <w:sz w:val="24"/>
          <w:szCs w:val="24"/>
        </w:rPr>
        <w:t>Dr. Greenlee’s</w:t>
      </w:r>
      <w:r w:rsidRPr="00115798">
        <w:rPr>
          <w:rFonts w:cs="OpenSans"/>
          <w:color w:val="262626"/>
          <w:sz w:val="24"/>
          <w:szCs w:val="24"/>
        </w:rPr>
        <w:t xml:space="preserve"> research lies at the intersection of housing policy, </w:t>
      </w:r>
      <w:r>
        <w:rPr>
          <w:rFonts w:cs="OpenSans"/>
          <w:color w:val="262626"/>
          <w:sz w:val="24"/>
          <w:szCs w:val="24"/>
        </w:rPr>
        <w:t>poverty</w:t>
      </w:r>
      <w:r w:rsidRPr="00115798">
        <w:rPr>
          <w:rFonts w:cs="OpenSans"/>
          <w:color w:val="262626"/>
          <w:sz w:val="24"/>
          <w:szCs w:val="24"/>
        </w:rPr>
        <w:t xml:space="preserve">, and social equity </w:t>
      </w:r>
      <w:r w:rsidR="007842DC">
        <w:rPr>
          <w:rFonts w:cs="OpenSans"/>
          <w:color w:val="262626"/>
          <w:sz w:val="24"/>
          <w:szCs w:val="24"/>
        </w:rPr>
        <w:t>with</w:t>
      </w:r>
      <w:r w:rsidRPr="00115798">
        <w:rPr>
          <w:rFonts w:cs="OpenSans"/>
          <w:color w:val="262626"/>
          <w:sz w:val="24"/>
          <w:szCs w:val="24"/>
        </w:rPr>
        <w:t xml:space="preserve">in </w:t>
      </w:r>
      <w:r w:rsidR="007842DC">
        <w:rPr>
          <w:rFonts w:cs="OpenSans"/>
          <w:color w:val="262626"/>
          <w:sz w:val="24"/>
          <w:szCs w:val="24"/>
        </w:rPr>
        <w:t>cities and regions</w:t>
      </w:r>
      <w:r w:rsidRPr="00115798">
        <w:rPr>
          <w:rFonts w:cs="OpenSans"/>
          <w:color w:val="262626"/>
          <w:sz w:val="24"/>
          <w:szCs w:val="24"/>
        </w:rPr>
        <w:t xml:space="preserve">. His </w:t>
      </w:r>
      <w:r w:rsidR="007842DC">
        <w:rPr>
          <w:rFonts w:cs="OpenSans"/>
          <w:color w:val="262626"/>
          <w:sz w:val="24"/>
          <w:szCs w:val="24"/>
        </w:rPr>
        <w:t xml:space="preserve">current </w:t>
      </w:r>
      <w:r w:rsidRPr="00115798">
        <w:rPr>
          <w:rFonts w:cs="OpenSans"/>
          <w:color w:val="262626"/>
          <w:sz w:val="24"/>
          <w:szCs w:val="24"/>
        </w:rPr>
        <w:t>r</w:t>
      </w:r>
      <w:r w:rsidR="007842DC">
        <w:rPr>
          <w:rFonts w:cs="OpenSans"/>
          <w:color w:val="262626"/>
          <w:sz w:val="24"/>
          <w:szCs w:val="24"/>
        </w:rPr>
        <w:t xml:space="preserve">esearch examines </w:t>
      </w:r>
      <w:r w:rsidR="00C24F81">
        <w:rPr>
          <w:rFonts w:cs="OpenSans"/>
          <w:color w:val="262626"/>
          <w:sz w:val="24"/>
          <w:szCs w:val="24"/>
        </w:rPr>
        <w:t xml:space="preserve">neighborhood and metropolitan opportunity structures through residential mobility processes. </w:t>
      </w:r>
      <w:r w:rsidR="001505EF">
        <w:rPr>
          <w:rFonts w:cs="OpenSans"/>
          <w:color w:val="262626"/>
          <w:sz w:val="24"/>
          <w:szCs w:val="24"/>
        </w:rPr>
        <w:t xml:space="preserve">Greenlee’s other </w:t>
      </w:r>
      <w:r w:rsidR="007842DC">
        <w:rPr>
          <w:rFonts w:cs="OpenSans"/>
          <w:color w:val="262626"/>
          <w:sz w:val="24"/>
          <w:szCs w:val="24"/>
        </w:rPr>
        <w:t xml:space="preserve">ongoing research </w:t>
      </w:r>
      <w:r w:rsidR="001505EF">
        <w:rPr>
          <w:rFonts w:cs="OpenSans"/>
          <w:color w:val="262626"/>
          <w:sz w:val="24"/>
          <w:szCs w:val="24"/>
        </w:rPr>
        <w:t xml:space="preserve">examines </w:t>
      </w:r>
      <w:r w:rsidR="007842DC">
        <w:rPr>
          <w:rFonts w:cs="OpenSans"/>
          <w:color w:val="262626"/>
          <w:sz w:val="24"/>
          <w:szCs w:val="24"/>
        </w:rPr>
        <w:t xml:space="preserve">the influence of governance on spatial outcomes for public and subsidized housing participants, </w:t>
      </w:r>
      <w:r w:rsidR="001505EF">
        <w:rPr>
          <w:rFonts w:cs="OpenSans"/>
          <w:color w:val="262626"/>
          <w:sz w:val="24"/>
          <w:szCs w:val="24"/>
        </w:rPr>
        <w:t>and the dynamics of neighborhood change driven by</w:t>
      </w:r>
      <w:r w:rsidRPr="00115798">
        <w:rPr>
          <w:rFonts w:cs="OpenSans"/>
          <w:color w:val="262626"/>
          <w:sz w:val="24"/>
          <w:szCs w:val="24"/>
        </w:rPr>
        <w:t xml:space="preserve"> urban renewal processes </w:t>
      </w:r>
      <w:r>
        <w:rPr>
          <w:rFonts w:cs="OpenSans"/>
          <w:color w:val="262626"/>
          <w:sz w:val="24"/>
          <w:szCs w:val="24"/>
        </w:rPr>
        <w:t>and public housing transformation</w:t>
      </w:r>
      <w:r w:rsidRPr="00115798">
        <w:rPr>
          <w:rFonts w:cs="OpenSans"/>
          <w:color w:val="262626"/>
          <w:sz w:val="24"/>
          <w:szCs w:val="24"/>
        </w:rPr>
        <w:t xml:space="preserve">. </w:t>
      </w:r>
      <w:r w:rsidR="00472FA9">
        <w:rPr>
          <w:rFonts w:cs="OpenSans"/>
          <w:color w:val="262626"/>
          <w:sz w:val="24"/>
          <w:szCs w:val="24"/>
        </w:rPr>
        <w:t xml:space="preserve">As an expert in housing policy, Greenlee has testified before the U.N. Special Rapporteur on Housing, and has provided technical assistance to fair housing advocates, states, and local governments. </w:t>
      </w:r>
      <w:r w:rsidR="002B6A62">
        <w:rPr>
          <w:rFonts w:cs="OpenSans"/>
          <w:color w:val="262626"/>
          <w:sz w:val="24"/>
          <w:szCs w:val="24"/>
        </w:rPr>
        <w:t xml:space="preserve">At University of Illinois, Greenlee is a faculty affiliate of the Center for Social and Behavioral Sciences </w:t>
      </w:r>
      <w:r w:rsidR="003F342B">
        <w:rPr>
          <w:rFonts w:cs="OpenSans"/>
          <w:color w:val="262626"/>
          <w:sz w:val="24"/>
          <w:szCs w:val="24"/>
        </w:rPr>
        <w:t xml:space="preserve">at University of Illinois </w:t>
      </w:r>
      <w:r w:rsidR="002B6A62">
        <w:rPr>
          <w:rFonts w:cs="OpenSans"/>
          <w:color w:val="262626"/>
          <w:sz w:val="24"/>
          <w:szCs w:val="24"/>
        </w:rPr>
        <w:t>and the Institute of Government &amp; Public Affairs</w:t>
      </w:r>
      <w:r w:rsidR="003F342B">
        <w:rPr>
          <w:rFonts w:cs="OpenSans"/>
          <w:color w:val="262626"/>
          <w:sz w:val="24"/>
          <w:szCs w:val="24"/>
        </w:rPr>
        <w:t xml:space="preserve"> in the University of Illinois System</w:t>
      </w:r>
      <w:r w:rsidR="002B6A62">
        <w:rPr>
          <w:rFonts w:cs="OpenSans"/>
          <w:color w:val="262626"/>
          <w:sz w:val="24"/>
          <w:szCs w:val="24"/>
        </w:rPr>
        <w:t xml:space="preserve">. </w:t>
      </w:r>
      <w:r w:rsidRPr="00115798">
        <w:rPr>
          <w:rFonts w:cs="OpenSans"/>
          <w:color w:val="262626"/>
          <w:sz w:val="24"/>
          <w:szCs w:val="24"/>
        </w:rPr>
        <w:t>Greenlee received a B.A. from Grinnell College, a M.S. in Urban and Regional Planning from University of Iowa, and a Ph.D. in Urban Planning and Policy from University of Illinois at Chicago.</w:t>
      </w:r>
    </w:p>
    <w:sectPr w:rsidR="00115798" w:rsidRPr="007842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ans"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5798"/>
    <w:rsid w:val="00115798"/>
    <w:rsid w:val="001505EF"/>
    <w:rsid w:val="002B6A62"/>
    <w:rsid w:val="003F342B"/>
    <w:rsid w:val="003F707E"/>
    <w:rsid w:val="00472FA9"/>
    <w:rsid w:val="007842DC"/>
    <w:rsid w:val="009A6B77"/>
    <w:rsid w:val="00C24F81"/>
    <w:rsid w:val="00D017F4"/>
    <w:rsid w:val="00DC0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5E81B"/>
  <w15:chartTrackingRefBased/>
  <w15:docId w15:val="{097449B1-B4CE-49DE-98B5-DFDF52741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Greenlee</dc:creator>
  <cp:keywords/>
  <dc:description/>
  <cp:lastModifiedBy>Greenlee, Andrew Jordan</cp:lastModifiedBy>
  <cp:revision>6</cp:revision>
  <dcterms:created xsi:type="dcterms:W3CDTF">2016-07-01T13:54:00Z</dcterms:created>
  <dcterms:modified xsi:type="dcterms:W3CDTF">2023-08-16T23:56:00Z</dcterms:modified>
</cp:coreProperties>
</file>